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Times New Roman" w:hAnsi="Times New Roman" w:eastAsia="仿宋_GB2312" w:cs="Times New Roman"/>
          <w:sz w:val="36"/>
          <w:szCs w:val="36"/>
        </w:rPr>
      </w:pPr>
    </w:p>
    <w:p>
      <w:pPr>
        <w:spacing w:line="240" w:lineRule="auto"/>
        <w:rPr>
          <w:rFonts w:hint="default" w:ascii="Times New Roman" w:hAnsi="Times New Roman" w:eastAsia="仿宋_GB2312" w:cs="Times New Roman"/>
          <w:sz w:val="36"/>
          <w:szCs w:val="36"/>
        </w:rPr>
      </w:pPr>
    </w:p>
    <w:p>
      <w:pPr>
        <w:spacing w:line="240" w:lineRule="auto"/>
        <w:rPr>
          <w:rFonts w:hint="default" w:ascii="Times New Roman" w:hAnsi="Times New Roman" w:eastAsia="仿宋_GB2312" w:cs="Times New Roman"/>
          <w:sz w:val="36"/>
          <w:szCs w:val="36"/>
        </w:rPr>
      </w:pPr>
    </w:p>
    <w:p>
      <w:pPr>
        <w:adjustRightInd w:val="0"/>
        <w:snapToGrid w:val="0"/>
        <w:spacing w:line="240" w:lineRule="auto"/>
        <w:jc w:val="center"/>
        <w:outlineLvl w:val="0"/>
        <w:rPr>
          <w:rFonts w:hint="default" w:ascii="Times New Roman" w:hAnsi="Times New Roman" w:eastAsia="仿宋" w:cs="Times New Roman"/>
          <w:b/>
          <w:bCs w:val="0"/>
          <w:sz w:val="52"/>
          <w:szCs w:val="52"/>
        </w:rPr>
      </w:pPr>
      <w:r>
        <w:rPr>
          <w:rFonts w:hint="default" w:ascii="Times New Roman" w:hAnsi="Times New Roman" w:eastAsia="仿宋" w:cs="Times New Roman"/>
          <w:b/>
          <w:bCs w:val="0"/>
          <w:sz w:val="52"/>
          <w:szCs w:val="52"/>
        </w:rPr>
        <w:t>建设项目</w:t>
      </w:r>
      <w:r>
        <w:rPr>
          <w:rFonts w:hint="eastAsia" w:ascii="Times New Roman" w:hAnsi="Times New Roman" w:eastAsia="仿宋" w:cs="Times New Roman"/>
          <w:b/>
          <w:bCs w:val="0"/>
          <w:sz w:val="52"/>
          <w:szCs w:val="52"/>
          <w:lang w:val="en-US" w:eastAsia="zh-CN"/>
        </w:rPr>
        <w:t>生态</w:t>
      </w:r>
      <w:r>
        <w:rPr>
          <w:rFonts w:hint="default" w:ascii="Times New Roman" w:hAnsi="Times New Roman" w:eastAsia="仿宋" w:cs="Times New Roman"/>
          <w:b/>
          <w:bCs w:val="0"/>
          <w:sz w:val="52"/>
          <w:szCs w:val="52"/>
        </w:rPr>
        <w:t>环境影响报告表</w:t>
      </w:r>
    </w:p>
    <w:p>
      <w:pPr>
        <w:adjustRightInd w:val="0"/>
        <w:snapToGrid w:val="0"/>
        <w:spacing w:before="192" w:beforeLines="80" w:line="240" w:lineRule="auto"/>
        <w:jc w:val="center"/>
        <w:rPr>
          <w:rFonts w:hint="default" w:ascii="Times New Roman" w:hAnsi="Times New Roman" w:eastAsia="仿宋" w:cs="Times New Roman"/>
          <w:b/>
          <w:bCs w:val="0"/>
          <w:sz w:val="48"/>
          <w:szCs w:val="48"/>
        </w:rPr>
      </w:pPr>
      <w:r>
        <w:rPr>
          <w:rFonts w:hint="default" w:ascii="Times New Roman" w:hAnsi="Times New Roman" w:eastAsia="仿宋" w:cs="Times New Roman"/>
          <w:b/>
          <w:bCs w:val="0"/>
          <w:sz w:val="48"/>
          <w:szCs w:val="48"/>
        </w:rPr>
        <w:t>（污染影响类）</w:t>
      </w:r>
    </w:p>
    <w:p>
      <w:pPr>
        <w:adjustRightInd w:val="0"/>
        <w:snapToGrid w:val="0"/>
        <w:spacing w:line="288" w:lineRule="auto"/>
        <w:jc w:val="center"/>
        <w:outlineLvl w:val="0"/>
        <w:rPr>
          <w:rFonts w:hint="default" w:ascii="Times New Roman" w:hAnsi="Times New Roman" w:eastAsia="华文仿宋" w:cs="Times New Roman"/>
          <w:color w:val="000000"/>
          <w:kern w:val="44"/>
          <w:sz w:val="44"/>
          <w:szCs w:val="44"/>
        </w:rPr>
      </w:pPr>
    </w:p>
    <w:p>
      <w:pPr>
        <w:spacing w:line="240" w:lineRule="auto"/>
        <w:ind w:firstLine="1040"/>
        <w:rPr>
          <w:rFonts w:hint="default" w:ascii="Times New Roman" w:hAnsi="Times New Roman" w:eastAsia="仿宋" w:cs="Times New Roman"/>
          <w:sz w:val="44"/>
          <w:szCs w:val="44"/>
        </w:rPr>
      </w:pPr>
    </w:p>
    <w:p>
      <w:pPr>
        <w:spacing w:line="240" w:lineRule="auto"/>
        <w:ind w:firstLine="1040"/>
        <w:rPr>
          <w:rFonts w:hint="default" w:ascii="Times New Roman" w:hAnsi="Times New Roman" w:eastAsia="仿宋" w:cs="Times New Roman"/>
          <w:sz w:val="44"/>
          <w:szCs w:val="44"/>
        </w:rPr>
      </w:pPr>
    </w:p>
    <w:p>
      <w:pPr>
        <w:spacing w:line="240" w:lineRule="auto"/>
        <w:ind w:firstLine="1040"/>
        <w:rPr>
          <w:rFonts w:hint="default" w:ascii="Times New Roman" w:hAnsi="Times New Roman" w:eastAsia="仿宋" w:cs="Times New Roman"/>
          <w:sz w:val="44"/>
          <w:szCs w:val="44"/>
        </w:rPr>
      </w:pPr>
    </w:p>
    <w:p>
      <w:pPr>
        <w:spacing w:line="240" w:lineRule="auto"/>
        <w:ind w:firstLine="1040"/>
        <w:rPr>
          <w:rFonts w:hint="default" w:ascii="Times New Roman" w:hAnsi="Times New Roman" w:eastAsia="仿宋" w:cs="Times New Roman"/>
          <w:sz w:val="44"/>
          <w:szCs w:val="44"/>
        </w:rPr>
      </w:pPr>
    </w:p>
    <w:p>
      <w:pPr>
        <w:spacing w:line="240" w:lineRule="auto"/>
        <w:ind w:firstLine="1040"/>
        <w:rPr>
          <w:rFonts w:hint="default" w:ascii="Times New Roman" w:hAnsi="Times New Roman" w:eastAsia="仿宋" w:cs="Times New Roman"/>
          <w:sz w:val="44"/>
          <w:szCs w:val="44"/>
        </w:rPr>
      </w:pPr>
    </w:p>
    <w:p>
      <w:pPr>
        <w:spacing w:line="240" w:lineRule="auto"/>
        <w:ind w:firstLine="1040"/>
        <w:rPr>
          <w:rFonts w:hint="default" w:ascii="Times New Roman" w:hAnsi="Times New Roman" w:eastAsia="仿宋" w:cs="Times New Roman"/>
          <w:sz w:val="44"/>
          <w:szCs w:val="44"/>
        </w:rPr>
      </w:pPr>
    </w:p>
    <w:p>
      <w:pPr>
        <w:spacing w:line="240" w:lineRule="auto"/>
        <w:ind w:firstLine="1040"/>
        <w:rPr>
          <w:rFonts w:hint="default" w:ascii="Times New Roman" w:hAnsi="Times New Roman" w:eastAsia="仿宋" w:cs="Times New Roman"/>
          <w:sz w:val="44"/>
          <w:szCs w:val="44"/>
        </w:rPr>
      </w:pPr>
    </w:p>
    <w:p>
      <w:pPr>
        <w:keepNext w:val="0"/>
        <w:keepLines w:val="0"/>
        <w:pageBreakBefore w:val="0"/>
        <w:widowControl w:val="0"/>
        <w:kinsoku/>
        <w:wordWrap/>
        <w:overflowPunct/>
        <w:topLinePunct w:val="0"/>
        <w:autoSpaceDE/>
        <w:autoSpaceDN/>
        <w:bidi w:val="0"/>
        <w:adjustRightInd w:val="0"/>
        <w:snapToGrid w:val="0"/>
        <w:spacing w:line="360" w:lineRule="auto"/>
        <w:ind w:firstLine="723" w:firstLineChars="200"/>
        <w:textAlignment w:val="auto"/>
        <w:rPr>
          <w:rFonts w:hint="default" w:ascii="Times New Roman" w:hAnsi="Times New Roman" w:eastAsia="仿宋_GB2312" w:cs="Times New Roman"/>
          <w:b/>
          <w:bCs/>
          <w:sz w:val="36"/>
          <w:szCs w:val="36"/>
          <w:u w:val="single"/>
        </w:rPr>
      </w:pPr>
    </w:p>
    <w:p>
      <w:pPr>
        <w:keepNext w:val="0"/>
        <w:keepLines w:val="0"/>
        <w:pageBreakBefore w:val="0"/>
        <w:widowControl w:val="0"/>
        <w:kinsoku/>
        <w:wordWrap/>
        <w:overflowPunct/>
        <w:topLinePunct w:val="0"/>
        <w:autoSpaceDE/>
        <w:autoSpaceDN/>
        <w:bidi w:val="0"/>
        <w:adjustRightInd w:val="0"/>
        <w:snapToGrid w:val="0"/>
        <w:spacing w:line="360" w:lineRule="auto"/>
        <w:ind w:left="2244" w:leftChars="304" w:hanging="1606" w:hangingChars="500"/>
        <w:jc w:val="left"/>
        <w:textAlignment w:val="auto"/>
        <w:rPr>
          <w:rFonts w:hint="default" w:ascii="Times New Roman" w:hAnsi="Times New Roman" w:eastAsia="仿宋_GB2312" w:cs="Times New Roman"/>
          <w:b/>
          <w:bCs/>
          <w:sz w:val="32"/>
          <w:szCs w:val="32"/>
          <w:u w:val="single"/>
          <w:lang w:val="en-US" w:eastAsia="zh-CN"/>
        </w:rPr>
      </w:pPr>
      <w:r>
        <w:rPr>
          <w:rFonts w:hint="default" w:ascii="Times New Roman" w:hAnsi="Times New Roman" w:eastAsia="仿宋_GB2312" w:cs="Times New Roman"/>
          <w:b/>
          <w:bCs/>
          <w:sz w:val="32"/>
          <w:szCs w:val="32"/>
          <w:u w:val="none"/>
        </w:rPr>
        <w:t>项目名称：</w:t>
      </w:r>
      <w:r>
        <w:rPr>
          <w:rFonts w:hint="eastAsia" w:ascii="Times New Roman" w:hAnsi="Times New Roman" w:eastAsia="仿宋_GB2312" w:cs="Times New Roman"/>
          <w:b/>
          <w:bCs/>
          <w:sz w:val="32"/>
          <w:szCs w:val="32"/>
          <w:u w:val="single"/>
          <w:lang w:val="en-US" w:eastAsia="zh-CN"/>
        </w:rPr>
        <w:t>巴州中意新材料有限公司新材料生产线项目2号厂房项目</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Times New Roman" w:hAnsi="Times New Roman" w:eastAsia="仿宋_GB2312" w:cs="Times New Roman"/>
          <w:b/>
          <w:bCs/>
          <w:sz w:val="32"/>
          <w:szCs w:val="32"/>
          <w:u w:val="single"/>
        </w:rPr>
      </w:pPr>
      <w:r>
        <w:rPr>
          <w:rFonts w:hint="default" w:ascii="Times New Roman" w:hAnsi="Times New Roman" w:eastAsia="仿宋_GB2312" w:cs="Times New Roman"/>
          <w:b/>
          <w:bCs/>
          <w:sz w:val="32"/>
          <w:szCs w:val="32"/>
        </w:rPr>
        <w:t>建设单位（盖章）：</w:t>
      </w:r>
      <w:r>
        <w:rPr>
          <w:rFonts w:hint="default" w:ascii="Times New Roman" w:hAnsi="Times New Roman" w:eastAsia="仿宋_GB2312" w:cs="Times New Roman"/>
          <w:b/>
          <w:bCs/>
          <w:sz w:val="32"/>
          <w:szCs w:val="32"/>
          <w:u w:val="single"/>
        </w:rPr>
        <w:t xml:space="preserve"> </w:t>
      </w:r>
      <w:r>
        <w:rPr>
          <w:rFonts w:hint="default" w:ascii="Times New Roman" w:hAnsi="Times New Roman" w:eastAsia="仿宋_GB2312" w:cs="Times New Roman"/>
          <w:b/>
          <w:bCs/>
          <w:sz w:val="32"/>
          <w:szCs w:val="32"/>
          <w:u w:val="single"/>
          <w:lang w:val="en-US" w:eastAsia="zh-CN"/>
        </w:rPr>
        <w:t xml:space="preserve">     新疆中意新材料有限公司   </w:t>
      </w:r>
      <w:r>
        <w:rPr>
          <w:rFonts w:hint="default" w:ascii="Times New Roman" w:hAnsi="Times New Roman" w:eastAsia="仿宋_GB2312" w:cs="Times New Roman"/>
          <w:b/>
          <w:bCs/>
          <w:sz w:val="32"/>
          <w:szCs w:val="32"/>
          <w:u w:val="single"/>
        </w:rPr>
        <w:t xml:space="preserve"> </w:t>
      </w:r>
      <w:r>
        <w:rPr>
          <w:rFonts w:hint="default" w:ascii="Times New Roman" w:hAnsi="Times New Roman" w:eastAsia="仿宋_GB2312" w:cs="Times New Roman"/>
          <w:b/>
          <w:bCs/>
          <w:sz w:val="32"/>
          <w:szCs w:val="32"/>
          <w:u w:val="single"/>
          <w:lang w:val="en-US" w:eastAsia="zh-CN"/>
        </w:rPr>
        <w:t xml:space="preserve"> </w:t>
      </w:r>
      <w:r>
        <w:rPr>
          <w:rFonts w:hint="default" w:ascii="Times New Roman" w:hAnsi="Times New Roman" w:eastAsia="仿宋_GB2312" w:cs="Times New Roman"/>
          <w:b/>
          <w:bCs/>
          <w:sz w:val="32"/>
          <w:szCs w:val="32"/>
          <w:u w:val="single"/>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default" w:ascii="Times New Roman" w:hAnsi="Times New Roman" w:eastAsia="仿宋_GB2312" w:cs="Times New Roman"/>
          <w:sz w:val="36"/>
          <w:szCs w:val="36"/>
          <w:u w:val="single"/>
        </w:rPr>
      </w:pPr>
      <w:r>
        <w:rPr>
          <w:rFonts w:hint="default" w:ascii="Times New Roman" w:hAnsi="Times New Roman" w:eastAsia="仿宋_GB2312" w:cs="Times New Roman"/>
          <w:b/>
          <w:bCs/>
          <w:sz w:val="32"/>
          <w:szCs w:val="32"/>
        </w:rPr>
        <w:t>编制日期：</w:t>
      </w:r>
      <w:r>
        <w:rPr>
          <w:rFonts w:hint="default" w:ascii="Times New Roman" w:hAnsi="Times New Roman" w:eastAsia="仿宋_GB2312" w:cs="Times New Roman"/>
          <w:b/>
          <w:bCs/>
          <w:sz w:val="32"/>
          <w:szCs w:val="32"/>
          <w:u w:val="single"/>
        </w:rPr>
        <w:t xml:space="preserve">  </w:t>
      </w:r>
      <w:r>
        <w:rPr>
          <w:rFonts w:hint="default" w:ascii="Times New Roman" w:hAnsi="Times New Roman" w:eastAsia="仿宋_GB2312" w:cs="Times New Roman"/>
          <w:b/>
          <w:bCs/>
          <w:sz w:val="32"/>
          <w:szCs w:val="32"/>
          <w:u w:val="single"/>
          <w:lang w:val="en-US" w:eastAsia="zh-CN"/>
        </w:rPr>
        <w:t xml:space="preserve">              2026年9月</w:t>
      </w:r>
      <w:r>
        <w:rPr>
          <w:rFonts w:hint="default" w:ascii="Times New Roman" w:hAnsi="Times New Roman" w:eastAsia="仿宋_GB2312" w:cs="Times New Roman"/>
          <w:b/>
          <w:bCs/>
          <w:sz w:val="32"/>
          <w:szCs w:val="32"/>
          <w:u w:val="single"/>
        </w:rPr>
        <w:t xml:space="preserve">            </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6"/>
          <w:szCs w:val="36"/>
          <w:u w:val="single"/>
        </w:rPr>
        <w:t xml:space="preserve">        </w:t>
      </w:r>
    </w:p>
    <w:p>
      <w:pPr>
        <w:adjustRightInd w:val="0"/>
        <w:snapToGrid w:val="0"/>
        <w:spacing w:line="288" w:lineRule="auto"/>
        <w:ind w:firstLine="1040"/>
        <w:rPr>
          <w:rFonts w:hint="default" w:ascii="Times New Roman" w:hAnsi="Times New Roman" w:eastAsia="仿宋_GB2312" w:cs="Times New Roman"/>
          <w:sz w:val="36"/>
          <w:szCs w:val="36"/>
          <w:u w:val="single"/>
        </w:rPr>
      </w:pPr>
      <w:bookmarkStart w:id="0" w:name="_Hlk57884087"/>
    </w:p>
    <w:p>
      <w:pPr>
        <w:adjustRightInd w:val="0"/>
        <w:snapToGrid w:val="0"/>
        <w:spacing w:line="288" w:lineRule="auto"/>
        <w:rPr>
          <w:rFonts w:hint="default" w:ascii="Times New Roman" w:hAnsi="Times New Roman" w:eastAsia="仿宋_GB2312" w:cs="Times New Roman"/>
          <w:sz w:val="36"/>
          <w:szCs w:val="36"/>
        </w:rPr>
      </w:pPr>
    </w:p>
    <w:p>
      <w:pPr>
        <w:rPr>
          <w:rFonts w:hint="default" w:ascii="Times New Roman" w:hAnsi="Times New Roman" w:cs="Times New Roman"/>
        </w:rPr>
      </w:pPr>
    </w:p>
    <w:bookmarkEnd w:id="0"/>
    <w:p>
      <w:pPr>
        <w:adjustRightInd w:val="0"/>
        <w:snapToGrid w:val="0"/>
        <w:spacing w:line="288" w:lineRule="auto"/>
        <w:jc w:val="center"/>
        <w:rPr>
          <w:rFonts w:hint="default" w:ascii="Times New Roman" w:hAnsi="Times New Roman" w:eastAsia="楷体_GB2312" w:cs="Times New Roman"/>
          <w:sz w:val="36"/>
          <w:szCs w:val="36"/>
        </w:rPr>
      </w:pPr>
      <w:r>
        <w:rPr>
          <w:rFonts w:hint="default" w:ascii="Times New Roman" w:hAnsi="Times New Roman" w:eastAsia="楷体_GB2312" w:cs="Times New Roman"/>
          <w:sz w:val="36"/>
          <w:szCs w:val="36"/>
        </w:rPr>
        <w:t>中华人民共和国生态环境部制</w:t>
      </w:r>
    </w:p>
    <w:p>
      <w:pPr>
        <w:adjustRightInd w:val="0"/>
        <w:snapToGrid w:val="0"/>
        <w:spacing w:line="288" w:lineRule="auto"/>
        <w:jc w:val="both"/>
        <w:rPr>
          <w:rFonts w:hint="default" w:ascii="Times New Roman" w:hAnsi="Times New Roman" w:eastAsia="楷体_GB2312" w:cs="Times New Roman"/>
          <w:sz w:val="36"/>
          <w:szCs w:val="36"/>
        </w:rPr>
      </w:pPr>
    </w:p>
    <w:p>
      <w:pPr>
        <w:adjustRightInd w:val="0"/>
        <w:snapToGrid w:val="0"/>
        <w:spacing w:line="288" w:lineRule="auto"/>
        <w:ind w:firstLine="1040"/>
        <w:rPr>
          <w:rFonts w:hint="default" w:ascii="Times New Roman" w:hAnsi="Times New Roman" w:eastAsia="仿宋_GB2312" w:cs="Times New Roman"/>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32"/>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一、建设项目基本情况</w:t>
      </w:r>
    </w:p>
    <w:tbl>
      <w:tblPr>
        <w:tblStyle w:val="35"/>
        <w:tblW w:w="498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29"/>
        <w:gridCol w:w="2625"/>
        <w:gridCol w:w="1260"/>
        <w:gridCol w:w="3819"/>
        <w:gridCol w:w="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After w:val="1"/>
          <w:wAfter w:w="9" w:type="pct"/>
          <w:trHeight w:val="51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建设项目名称</w:t>
            </w:r>
          </w:p>
        </w:tc>
        <w:tc>
          <w:tcPr>
            <w:tcW w:w="4352" w:type="pct"/>
            <w:gridSpan w:val="3"/>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eastAsia" w:ascii="Times New Roman" w:hAnsi="Times New Roman" w:cs="Times New Roman"/>
                <w:color w:val="000000" w:themeColor="text1"/>
                <w:spacing w:val="0"/>
                <w:kern w:val="0"/>
                <w:sz w:val="24"/>
                <w:shd w:val="clear" w:color="auto" w:fill="auto"/>
                <w:lang w:val="en-US" w:eastAsia="zh-CN"/>
                <w14:textFill>
                  <w14:solidFill>
                    <w14:schemeClr w14:val="tx1"/>
                  </w14:solidFill>
                </w14:textFill>
              </w:rPr>
              <w:t>巴州中意新材料有限公司新材料生产线项目2号厂房项目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项目代码</w:t>
            </w:r>
          </w:p>
        </w:tc>
        <w:tc>
          <w:tcPr>
            <w:tcW w:w="4362" w:type="pct"/>
            <w:gridSpan w:val="4"/>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2608-652823-07-03-604118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建设单位联系人</w:t>
            </w:r>
          </w:p>
        </w:tc>
        <w:tc>
          <w:tcPr>
            <w:tcW w:w="1483"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p>
        </w:tc>
        <w:tc>
          <w:tcPr>
            <w:tcW w:w="711"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联系方式</w:t>
            </w:r>
          </w:p>
        </w:tc>
        <w:tc>
          <w:tcPr>
            <w:tcW w:w="2166" w:type="pct"/>
            <w:gridSpan w:val="2"/>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建设地点</w:t>
            </w:r>
          </w:p>
        </w:tc>
        <w:tc>
          <w:tcPr>
            <w:tcW w:w="4362" w:type="pct"/>
            <w:gridSpan w:val="4"/>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地理坐标</w:t>
            </w:r>
          </w:p>
        </w:tc>
        <w:tc>
          <w:tcPr>
            <w:tcW w:w="4362" w:type="pct"/>
            <w:gridSpan w:val="4"/>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国民经济</w:t>
            </w:r>
          </w:p>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行业类别</w:t>
            </w:r>
          </w:p>
        </w:tc>
        <w:tc>
          <w:tcPr>
            <w:tcW w:w="1483" w:type="pct"/>
            <w:noWrap/>
            <w:vAlign w:val="center"/>
          </w:tcPr>
          <w:p>
            <w:pPr>
              <w:keepNext w:val="0"/>
              <w:keepLines w:val="0"/>
              <w:pageBreakBefore w:val="0"/>
              <w:wordWrap/>
              <w:topLinePunct w:val="0"/>
              <w:bidi w:val="0"/>
              <w:adjustRightInd w:val="0"/>
              <w:snapToGrid w:val="0"/>
              <w:ind w:left="0" w:leftChars="0" w:right="0" w:rightChars="0"/>
              <w:jc w:val="left"/>
              <w:rPr>
                <w:rFonts w:hint="default" w:ascii="Times New Roman" w:hAnsi="Times New Roman" w:eastAsia="宋体" w:cs="Times New Roman"/>
                <w:color w:val="000000" w:themeColor="text1"/>
                <w:spacing w:val="0"/>
                <w:sz w:val="24"/>
                <w:shd w:val="clear" w:color="auto" w:fill="auto"/>
                <w:lang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C</w:t>
            </w: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3062</w:t>
            </w:r>
            <w:r>
              <w:rPr>
                <w:rFonts w:hint="default" w:ascii="Times New Roman" w:hAnsi="Times New Roman" w:cs="Times New Roman"/>
                <w:color w:val="000000" w:themeColor="text1"/>
                <w:spacing w:val="0"/>
                <w:sz w:val="24"/>
                <w:shd w:val="clear" w:color="auto" w:fill="auto"/>
                <w14:textFill>
                  <w14:solidFill>
                    <w14:schemeClr w14:val="tx1"/>
                  </w14:solidFill>
                </w14:textFill>
              </w:rPr>
              <w:t>玻璃纤维增强塑料制品制造</w:t>
            </w:r>
            <w:r>
              <w:rPr>
                <w:rFonts w:hint="default" w:ascii="Times New Roman" w:hAnsi="Times New Roman" w:cs="Times New Roman"/>
                <w:color w:val="000000" w:themeColor="text1"/>
                <w:spacing w:val="0"/>
                <w:sz w:val="24"/>
                <w:shd w:val="clear" w:color="auto" w:fill="auto"/>
                <w:lang w:eastAsia="zh-CN"/>
                <w14:textFill>
                  <w14:solidFill>
                    <w14:schemeClr w14:val="tx1"/>
                  </w14:solidFill>
                </w14:textFill>
              </w:rPr>
              <w:t>；</w:t>
            </w:r>
          </w:p>
        </w:tc>
        <w:tc>
          <w:tcPr>
            <w:tcW w:w="711"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建设项目</w:t>
            </w:r>
          </w:p>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行业类别</w:t>
            </w:r>
          </w:p>
        </w:tc>
        <w:tc>
          <w:tcPr>
            <w:tcW w:w="2166" w:type="pct"/>
            <w:gridSpan w:val="2"/>
            <w:noWrap/>
            <w:vAlign w:val="center"/>
          </w:tcPr>
          <w:p>
            <w:pPr>
              <w:keepNext w:val="0"/>
              <w:keepLines w:val="0"/>
              <w:pageBreakBefore w:val="0"/>
              <w:wordWrap/>
              <w:topLinePunct w:val="0"/>
              <w:bidi w:val="0"/>
              <w:adjustRightInd w:val="0"/>
              <w:snapToGrid w:val="0"/>
              <w:ind w:left="0" w:leftChars="0" w:right="0" w:rightChars="0"/>
              <w:jc w:val="left"/>
              <w:rPr>
                <w:rFonts w:hint="default" w:ascii="Times New Roman" w:hAnsi="Times New Roman" w:eastAsia="宋体" w:cs="Times New Roman"/>
                <w:color w:val="000000" w:themeColor="text1"/>
                <w:spacing w:val="0"/>
                <w:sz w:val="24"/>
                <w:shd w:val="clear" w:color="auto" w:fill="auto"/>
                <w:lang w:eastAsia="zh-CN"/>
                <w14:textFill>
                  <w14:solidFill>
                    <w14:schemeClr w14:val="tx1"/>
                  </w14:solidFill>
                </w14:textFill>
              </w:rPr>
            </w:pPr>
            <w: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t>二十七、非金属矿物制品业</w:t>
            </w: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w:t>
            </w:r>
            <w: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t>玻璃纤维和玻璃纤维增强塑料制品制造306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建设性质</w:t>
            </w:r>
          </w:p>
        </w:tc>
        <w:tc>
          <w:tcPr>
            <w:tcW w:w="1483" w:type="pct"/>
            <w:noWrap/>
            <w:vAlign w:val="center"/>
          </w:tcPr>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□新建</w:t>
            </w:r>
          </w:p>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□改建</w:t>
            </w:r>
          </w:p>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eastAsia="zh-CN"/>
                <w14:textFill>
                  <w14:solidFill>
                    <w14:schemeClr w14:val="tx1"/>
                  </w14:solidFill>
                </w14:textFill>
              </w:rPr>
              <w:t>☑</w:t>
            </w:r>
            <w:r>
              <w:rPr>
                <w:rFonts w:hint="default" w:ascii="Times New Roman" w:hAnsi="Times New Roman" w:cs="Times New Roman"/>
                <w:color w:val="000000" w:themeColor="text1"/>
                <w:spacing w:val="0"/>
                <w:sz w:val="24"/>
                <w:shd w:val="clear" w:color="auto" w:fill="auto"/>
                <w14:textFill>
                  <w14:solidFill>
                    <w14:schemeClr w14:val="tx1"/>
                  </w14:solidFill>
                </w14:textFill>
              </w:rPr>
              <w:t>扩建</w:t>
            </w:r>
          </w:p>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□技术改造</w:t>
            </w:r>
          </w:p>
        </w:tc>
        <w:tc>
          <w:tcPr>
            <w:tcW w:w="711"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建设项目</w:t>
            </w:r>
          </w:p>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申报情形</w:t>
            </w:r>
          </w:p>
        </w:tc>
        <w:tc>
          <w:tcPr>
            <w:tcW w:w="2166" w:type="pct"/>
            <w:gridSpan w:val="2"/>
            <w:noWrap/>
            <w:vAlign w:val="center"/>
          </w:tcPr>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eastAsia="zh-CN"/>
                <w14:textFill>
                  <w14:solidFill>
                    <w14:schemeClr w14:val="tx1"/>
                  </w14:solidFill>
                </w14:textFill>
              </w:rPr>
              <w:t>☑</w:t>
            </w:r>
            <w:r>
              <w:rPr>
                <w:rFonts w:hint="default" w:ascii="Times New Roman" w:hAnsi="Times New Roman" w:cs="Times New Roman"/>
                <w:color w:val="000000" w:themeColor="text1"/>
                <w:spacing w:val="0"/>
                <w:sz w:val="24"/>
                <w:shd w:val="clear" w:color="auto" w:fill="auto"/>
                <w14:textFill>
                  <w14:solidFill>
                    <w14:schemeClr w14:val="tx1"/>
                  </w14:solidFill>
                </w14:textFill>
              </w:rPr>
              <w:t>首次申报项目</w:t>
            </w:r>
          </w:p>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□不予批准后再次申报项目</w:t>
            </w:r>
          </w:p>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□超五年重新审核项目</w:t>
            </w:r>
          </w:p>
          <w:p>
            <w:pPr>
              <w:keepNext w:val="0"/>
              <w:keepLines w:val="0"/>
              <w:pageBreakBefore w:val="0"/>
              <w:wordWrap/>
              <w:topLinePunct w:val="0"/>
              <w:bidi w:val="0"/>
              <w:adjustRightInd w:val="0"/>
              <w:snapToGrid w:val="0"/>
              <w:ind w:left="0" w:leftChars="0" w:right="0" w:rightChars="0"/>
              <w:jc w:val="left"/>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eastAsia="zh-CN"/>
                <w14:textFill>
                  <w14:solidFill>
                    <w14:schemeClr w14:val="tx1"/>
                  </w14:solidFill>
                </w14:textFill>
              </w:rPr>
              <w:t>□</w:t>
            </w:r>
            <w:r>
              <w:rPr>
                <w:rFonts w:hint="default" w:ascii="Times New Roman" w:hAnsi="Times New Roman" w:cs="Times New Roman"/>
                <w:color w:val="000000" w:themeColor="text1"/>
                <w:spacing w:val="0"/>
                <w:sz w:val="24"/>
                <w:shd w:val="clear" w:color="auto" w:fill="auto"/>
                <w14:textFill>
                  <w14:solidFill>
                    <w14:schemeClr w14:val="tx1"/>
                  </w14:solidFill>
                </w14:textFill>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项目审批部门</w:t>
            </w:r>
          </w:p>
        </w:tc>
        <w:tc>
          <w:tcPr>
            <w:tcW w:w="1483" w:type="pct"/>
            <w:noWrap/>
            <w:vAlign w:val="center"/>
          </w:tcPr>
          <w:p>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尉犁县发展和改革委员会</w:t>
            </w:r>
          </w:p>
        </w:tc>
        <w:tc>
          <w:tcPr>
            <w:tcW w:w="711"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项目审批文号</w:t>
            </w:r>
          </w:p>
        </w:tc>
        <w:tc>
          <w:tcPr>
            <w:tcW w:w="2166" w:type="pct"/>
            <w:gridSpan w:val="2"/>
            <w:noWrap/>
            <w:vAlign w:val="center"/>
          </w:tcPr>
          <w:p>
            <w:pPr>
              <w:keepNext w:val="0"/>
              <w:keepLines w:val="0"/>
              <w:pageBreakBefore w:val="0"/>
              <w:widowControl w:val="0"/>
              <w:kinsoku/>
              <w:wordWrap/>
              <w:overflowPunct/>
              <w:topLinePunct w:val="0"/>
              <w:autoSpaceDE/>
              <w:autoSpaceDN/>
              <w:bidi w:val="0"/>
              <w:adjustRightInd w:val="0"/>
              <w:snapToGrid w:val="0"/>
              <w:ind w:left="0" w:leftChars="0" w:right="0" w:rightChars="0"/>
              <w:jc w:val="center"/>
              <w:textAlignment w:val="auto"/>
              <w:rPr>
                <w:rFonts w:hint="default" w:ascii="Times New Roman" w:hAnsi="Times New Roman" w:eastAsia="宋体" w:cs="Times New Roman"/>
                <w:color w:val="000000" w:themeColor="text1"/>
                <w:spacing w:val="0"/>
                <w:kern w:val="2"/>
                <w:sz w:val="24"/>
                <w:szCs w:val="24"/>
                <w:shd w:val="clear" w:color="auto" w:fill="auto"/>
                <w:lang w:val="en-US" w:eastAsia="zh-CN" w:bidi="ar-SA"/>
                <w14:textFill>
                  <w14:solidFill>
                    <w14:schemeClr w14:val="tx1"/>
                  </w14:solidFill>
                </w14:textFill>
              </w:rPr>
            </w:pPr>
            <w:r>
              <w:rPr>
                <w:rFonts w:hint="default" w:ascii="Times New Roman" w:hAnsi="Times New Roman" w:cs="Times New Roman"/>
                <w:color w:val="000000" w:themeColor="text1"/>
                <w:spacing w:val="0"/>
                <w:kern w:val="2"/>
                <w:sz w:val="24"/>
                <w:szCs w:val="24"/>
                <w:shd w:val="clear" w:color="auto" w:fill="auto"/>
                <w:lang w:val="en-US" w:eastAsia="zh-CN" w:bidi="ar-SA"/>
                <w14:textFill>
                  <w14:solidFill>
                    <w14:schemeClr w14:val="tx1"/>
                  </w14:solidFill>
                </w14:textFill>
              </w:rPr>
              <w:t>2609111165652823000157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t>总投资（万元）</w:t>
            </w:r>
          </w:p>
        </w:tc>
        <w:tc>
          <w:tcPr>
            <w:tcW w:w="1483"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highlight w:val="none"/>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lang w:val="en-US" w:eastAsia="zh-CN"/>
                <w14:textFill>
                  <w14:solidFill>
                    <w14:schemeClr w14:val="tx1"/>
                  </w14:solidFill>
                </w14:textFill>
              </w:rPr>
              <w:t>550</w:t>
            </w:r>
          </w:p>
        </w:tc>
        <w:tc>
          <w:tcPr>
            <w:tcW w:w="711"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t>环保投资（万元）</w:t>
            </w:r>
          </w:p>
        </w:tc>
        <w:tc>
          <w:tcPr>
            <w:tcW w:w="2166" w:type="pct"/>
            <w:gridSpan w:val="2"/>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highlight w:val="none"/>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lang w:val="en-US" w:eastAsia="zh-CN"/>
                <w14:textFill>
                  <w14:solidFill>
                    <w14:schemeClr w14:val="tx1"/>
                  </w14:solidFill>
                </w14:textFill>
              </w:rPr>
              <w:t>48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t>环保投资占比（%）</w:t>
            </w:r>
          </w:p>
        </w:tc>
        <w:tc>
          <w:tcPr>
            <w:tcW w:w="1483" w:type="pct"/>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4"/>
                <w:szCs w:val="28"/>
                <w:shd w:val="clear" w:color="auto" w:fill="auto"/>
                <w:lang w:val="en-US" w:eastAsia="zh-CN"/>
                <w14:textFill>
                  <w14:solidFill>
                    <w14:schemeClr w14:val="tx1"/>
                  </w14:solidFill>
                </w14:textFill>
              </w:rPr>
              <w:t>8.73</w:t>
            </w:r>
            <w:r>
              <w:rPr>
                <w:rFonts w:hint="default" w:ascii="Times New Roman" w:hAnsi="Times New Roman" w:cs="Times New Roman"/>
                <w:color w:val="000000" w:themeColor="text1"/>
                <w:spacing w:val="0"/>
                <w:kern w:val="0"/>
                <w:sz w:val="24"/>
                <w:szCs w:val="28"/>
                <w:shd w:val="clear" w:color="auto" w:fill="auto"/>
                <w:lang w:val="en-US" w:eastAsia="zh-CN"/>
                <w14:textFill>
                  <w14:solidFill>
                    <w14:schemeClr w14:val="tx1"/>
                  </w14:solidFill>
                </w14:textFill>
              </w:rPr>
              <w:t>%</w:t>
            </w:r>
          </w:p>
        </w:tc>
        <w:tc>
          <w:tcPr>
            <w:tcW w:w="711"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t>施工工期</w:t>
            </w:r>
          </w:p>
        </w:tc>
        <w:tc>
          <w:tcPr>
            <w:tcW w:w="2166" w:type="pct"/>
            <w:gridSpan w:val="2"/>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highlight w:val="none"/>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highlight w:val="none"/>
                <w:shd w:val="clear" w:color="auto" w:fill="auto"/>
                <w:lang w:val="en-US" w:eastAsia="zh-CN"/>
                <w14:textFill>
                  <w14:solidFill>
                    <w14:schemeClr w14:val="tx1"/>
                  </w14:solidFill>
                </w14:textFill>
              </w:rPr>
              <w:t>2个月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637"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是否开工建设</w:t>
            </w:r>
          </w:p>
        </w:tc>
        <w:tc>
          <w:tcPr>
            <w:tcW w:w="1483" w:type="pct"/>
            <w:noWrap/>
            <w:vAlign w:val="center"/>
          </w:tcPr>
          <w:p>
            <w:pPr>
              <w:keepNext w:val="0"/>
              <w:keepLines w:val="0"/>
              <w:pageBreakBefore w:val="0"/>
              <w:wordWrap/>
              <w:topLinePunct w:val="0"/>
              <w:bidi w:val="0"/>
              <w:adjustRightInd w:val="0"/>
              <w:snapToGrid w:val="0"/>
              <w:ind w:left="0" w:leftChars="0" w:right="0" w:rightChars="0"/>
              <w:rPr>
                <w:rFonts w:hint="default" w:ascii="Times New Roman" w:hAnsi="Times New Roman" w:cs="Times New Roman"/>
                <w:color w:val="000000" w:themeColor="text1"/>
                <w:spacing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□否</w:t>
            </w:r>
          </w:p>
          <w:p>
            <w:pPr>
              <w:keepNext w:val="0"/>
              <w:keepLines w:val="0"/>
              <w:pageBreakBefore w:val="0"/>
              <w:wordWrap/>
              <w:topLinePunct w:val="0"/>
              <w:bidi w:val="0"/>
              <w:adjustRightInd w:val="0"/>
              <w:snapToGrid w:val="0"/>
              <w:ind w:left="0" w:leftChars="0" w:right="0" w:rightChars="0"/>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eastAsia="zh-CN"/>
                <w14:textFill>
                  <w14:solidFill>
                    <w14:schemeClr w14:val="tx1"/>
                  </w14:solidFill>
                </w14:textFill>
              </w:rPr>
              <w:t>☑是：</w:t>
            </w:r>
            <w:r>
              <w:rPr>
                <w:rFonts w:hint="eastAsia" w:cs="Times New Roman"/>
                <w:color w:val="000000" w:themeColor="text1"/>
                <w:spacing w:val="0"/>
                <w:sz w:val="24"/>
                <w:u w:val="single"/>
                <w:shd w:val="clear" w:color="auto" w:fill="auto"/>
                <w:lang w:val="en-US" w:eastAsia="zh-CN"/>
                <w14:textFill>
                  <w14:solidFill>
                    <w14:schemeClr w14:val="tx1"/>
                  </w14:solidFill>
                </w14:textFill>
              </w:rPr>
              <w:t>二</w:t>
            </w:r>
            <w:r>
              <w:rPr>
                <w:rFonts w:hint="default" w:ascii="Times New Roman" w:hAnsi="Times New Roman" w:cs="Times New Roman"/>
                <w:color w:val="000000" w:themeColor="text1"/>
                <w:spacing w:val="0"/>
                <w:sz w:val="24"/>
                <w:u w:val="single"/>
                <w:shd w:val="clear" w:color="auto" w:fill="auto"/>
                <w:lang w:eastAsia="zh-CN"/>
                <w14:textFill>
                  <w14:solidFill>
                    <w14:schemeClr w14:val="tx1"/>
                  </w14:solidFill>
                </w14:textFill>
              </w:rPr>
              <w:t>期厂房2023年11月开工建设，2024年2月部分厂房建设完成，完成后即开始安装设备，部分设备于2024年3月建设完成。玻璃钢管道生产线、PE管生产线目前已建设完成</w:t>
            </w:r>
            <w:r>
              <w:rPr>
                <w:rFonts w:hint="eastAsia" w:cs="Times New Roman"/>
                <w:color w:val="000000" w:themeColor="text1"/>
                <w:spacing w:val="0"/>
                <w:sz w:val="24"/>
                <w:u w:val="single"/>
                <w:shd w:val="clear" w:color="auto" w:fill="auto"/>
                <w:lang w:eastAsia="zh-CN"/>
                <w14:textFill>
                  <w14:solidFill>
                    <w14:schemeClr w14:val="tx1"/>
                  </w14:solidFill>
                </w14:textFill>
              </w:rPr>
              <w:t>，</w:t>
            </w:r>
            <w:r>
              <w:rPr>
                <w:rFonts w:hint="eastAsia" w:cs="Times New Roman"/>
                <w:color w:val="000000" w:themeColor="text1"/>
                <w:spacing w:val="0"/>
                <w:sz w:val="24"/>
                <w:u w:val="single"/>
                <w:shd w:val="clear" w:color="auto" w:fill="auto"/>
                <w:lang w:val="en-US" w:eastAsia="zh-CN"/>
                <w14:textFill>
                  <w14:solidFill>
                    <w14:schemeClr w14:val="tx1"/>
                  </w14:solidFill>
                </w14:textFill>
              </w:rPr>
              <w:t>目前尚未投产</w:t>
            </w:r>
            <w:r>
              <w:rPr>
                <w:rFonts w:hint="default" w:ascii="Times New Roman" w:hAnsi="Times New Roman" w:cs="Times New Roman"/>
                <w:color w:val="000000" w:themeColor="text1"/>
                <w:spacing w:val="0"/>
                <w:sz w:val="24"/>
                <w:u w:val="single"/>
                <w:shd w:val="clear" w:color="auto" w:fill="auto"/>
                <w:lang w:eastAsia="zh-CN"/>
                <w14:textFill>
                  <w14:solidFill>
                    <w14:schemeClr w14:val="tx1"/>
                  </w14:solidFill>
                </w14:textFill>
              </w:rPr>
              <w:t>。目前尚</w:t>
            </w:r>
            <w:r>
              <w:rPr>
                <w:rFonts w:hint="eastAsia" w:ascii="Times New Roman" w:hAnsi="Times New Roman" w:cs="Times New Roman"/>
                <w:color w:val="000000" w:themeColor="text1"/>
                <w:spacing w:val="0"/>
                <w:sz w:val="24"/>
                <w:u w:val="single"/>
                <w:shd w:val="clear" w:color="auto" w:fill="auto"/>
                <w:lang w:val="en-US" w:eastAsia="zh-CN"/>
                <w14:textFill>
                  <w14:solidFill>
                    <w14:schemeClr w14:val="tx1"/>
                  </w14:solidFill>
                </w14:textFill>
              </w:rPr>
              <w:t>收</w:t>
            </w:r>
            <w:r>
              <w:rPr>
                <w:rFonts w:hint="default" w:ascii="Times New Roman" w:hAnsi="Times New Roman" w:cs="Times New Roman"/>
                <w:color w:val="000000" w:themeColor="text1"/>
                <w:spacing w:val="0"/>
                <w:sz w:val="24"/>
                <w:u w:val="single"/>
                <w:shd w:val="clear" w:color="auto" w:fill="auto"/>
                <w:lang w:eastAsia="zh-CN"/>
                <w14:textFill>
                  <w14:solidFill>
                    <w14:schemeClr w14:val="tx1"/>
                  </w14:solidFill>
                </w14:textFill>
              </w:rPr>
              <w:t>受到处罚。</w:t>
            </w:r>
          </w:p>
        </w:tc>
        <w:tc>
          <w:tcPr>
            <w:tcW w:w="711" w:type="pct"/>
            <w:noWrap/>
            <w:tcMar>
              <w:top w:w="16" w:type="dxa"/>
              <w:left w:w="16" w:type="dxa"/>
              <w:right w:w="16" w:type="dxa"/>
            </w:tcMar>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pPr>
            <w: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t>用地面积（m</w:t>
            </w:r>
            <w:r>
              <w:rPr>
                <w:rFonts w:hint="default" w:ascii="Times New Roman" w:hAnsi="Times New Roman" w:cs="Times New Roman"/>
                <w:color w:val="000000" w:themeColor="text1"/>
                <w:spacing w:val="0"/>
                <w:sz w:val="24"/>
                <w:highlight w:val="none"/>
                <w:shd w:val="clear" w:color="auto" w:fill="auto"/>
                <w:vertAlign w:val="superscript"/>
                <w14:textFill>
                  <w14:solidFill>
                    <w14:schemeClr w14:val="tx1"/>
                  </w14:solidFill>
                </w14:textFill>
              </w:rPr>
              <w:t>2</w:t>
            </w:r>
            <w:r>
              <w:rPr>
                <w:rFonts w:hint="default" w:ascii="Times New Roman" w:hAnsi="Times New Roman" w:cs="Times New Roman"/>
                <w:color w:val="000000" w:themeColor="text1"/>
                <w:spacing w:val="0"/>
                <w:sz w:val="24"/>
                <w:highlight w:val="none"/>
                <w:shd w:val="clear" w:color="auto" w:fill="auto"/>
                <w14:textFill>
                  <w14:solidFill>
                    <w14:schemeClr w14:val="tx1"/>
                  </w14:solidFill>
                </w14:textFill>
              </w:rPr>
              <w:t>）</w:t>
            </w:r>
          </w:p>
        </w:tc>
        <w:tc>
          <w:tcPr>
            <w:tcW w:w="2166" w:type="pct"/>
            <w:gridSpan w:val="2"/>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color w:val="000000" w:themeColor="text1"/>
                <w:spacing w:val="0"/>
                <w:sz w:val="24"/>
                <w:highlight w:val="none"/>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highlight w:val="none"/>
                <w:shd w:val="clear" w:color="auto" w:fill="auto"/>
                <w:lang w:val="en-US" w:eastAsia="zh-CN"/>
                <w14:textFill>
                  <w14:solidFill>
                    <w14:schemeClr w14:val="tx1"/>
                  </w14:solidFill>
                </w14:textFill>
              </w:rPr>
              <w:t>0（依托一期现有用地，无新增用地）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noWrap/>
            <w:vAlign w:val="center"/>
          </w:tcPr>
          <w:p>
            <w:pPr>
              <w:keepNext w:val="0"/>
              <w:keepLines w:val="0"/>
              <w:pageBreakBefore w:val="0"/>
              <w:wordWrap/>
              <w:topLinePunct w:val="0"/>
              <w:autoSpaceDE w:val="0"/>
              <w:autoSpaceDN w:val="0"/>
              <w:bidi w:val="0"/>
              <w:adjustRightInd w:val="0"/>
              <w:snapToGrid w:val="0"/>
              <w:ind w:left="0" w:leftChars="0" w:right="0" w:rightChars="0"/>
              <w:jc w:val="center"/>
              <w:rPr>
                <w:rFonts w:hint="default" w:ascii="Times New Roman" w:hAnsi="Times New Roman" w:cs="Times New Roman"/>
                <w:color w:val="000000" w:themeColor="text1"/>
                <w:spacing w:val="0"/>
                <w:kern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kern w:val="0"/>
                <w:sz w:val="24"/>
                <w:shd w:val="clear" w:color="auto" w:fill="auto"/>
                <w14:textFill>
                  <w14:solidFill>
                    <w14:schemeClr w14:val="tx1"/>
                  </w14:solidFill>
                </w14:textFill>
              </w:rPr>
              <w:t>专项评价设置</w:t>
            </w:r>
          </w:p>
          <w:p>
            <w:pPr>
              <w:keepNext w:val="0"/>
              <w:keepLines w:val="0"/>
              <w:pageBreakBefore w:val="0"/>
              <w:wordWrap/>
              <w:topLinePunct w:val="0"/>
              <w:autoSpaceDE w:val="0"/>
              <w:autoSpaceDN w:val="0"/>
              <w:bidi w:val="0"/>
              <w:adjustRightInd w:val="0"/>
              <w:snapToGrid w:val="0"/>
              <w:ind w:left="0" w:leftChars="0" w:right="0" w:rightChars="0"/>
              <w:jc w:val="center"/>
              <w:rPr>
                <w:rFonts w:hint="default" w:ascii="Times New Roman" w:hAnsi="Times New Roman" w:cs="Times New Roman"/>
                <w:color w:val="000000" w:themeColor="text1"/>
                <w:spacing w:val="0"/>
                <w:kern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kern w:val="0"/>
                <w:sz w:val="24"/>
                <w:shd w:val="clear" w:color="auto" w:fill="auto"/>
                <w14:textFill>
                  <w14:solidFill>
                    <w14:schemeClr w14:val="tx1"/>
                  </w14:solidFill>
                </w14:textFill>
              </w:rPr>
              <w:t>情况</w:t>
            </w:r>
          </w:p>
        </w:tc>
        <w:tc>
          <w:tcPr>
            <w:tcW w:w="4362" w:type="pct"/>
            <w:gridSpan w:val="4"/>
            <w:noWrap/>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cs="Times New Roman"/>
                <w:b w:val="0"/>
                <w:bCs w:val="0"/>
                <w:color w:val="000000" w:themeColor="text1"/>
                <w:spacing w:val="0"/>
                <w:kern w:val="0"/>
                <w:shd w:val="clear" w:color="auto" w:fill="auto"/>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37" w:type="pct"/>
            <w:noWrap/>
            <w:vAlign w:val="center"/>
          </w:tcPr>
          <w:p>
            <w:pPr>
              <w:keepNext w:val="0"/>
              <w:keepLines w:val="0"/>
              <w:pageBreakBefore w:val="0"/>
              <w:wordWrap/>
              <w:topLinePunct w:val="0"/>
              <w:autoSpaceDE w:val="0"/>
              <w:autoSpaceDN w:val="0"/>
              <w:bidi w:val="0"/>
              <w:adjustRightInd w:val="0"/>
              <w:snapToGrid w:val="0"/>
              <w:ind w:left="0" w:leftChars="0" w:right="0" w:rightChars="0"/>
              <w:jc w:val="center"/>
              <w:rPr>
                <w:rFonts w:hint="default" w:ascii="Times New Roman" w:hAnsi="Times New Roman" w:cs="Times New Roman"/>
                <w:color w:val="000000" w:themeColor="text1"/>
                <w:spacing w:val="0"/>
                <w:kern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sz w:val="24"/>
                <w:shd w:val="clear" w:color="auto" w:fill="auto"/>
                <w14:textFill>
                  <w14:solidFill>
                    <w14:schemeClr w14:val="tx1"/>
                  </w14:solidFill>
                </w14:textFill>
              </w:rPr>
              <w:t>规划情况</w:t>
            </w:r>
          </w:p>
        </w:tc>
        <w:tc>
          <w:tcPr>
            <w:tcW w:w="4362" w:type="pct"/>
            <w:gridSpan w:val="4"/>
            <w:noWrap/>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left"/>
              <w:textAlignment w:val="auto"/>
              <w:rPr>
                <w:rFonts w:hint="default" w:ascii="Times New Roman" w:hAnsi="Times New Roman" w:eastAsia="宋体"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《尉犁工业园区国土空间专项规划（2024-2035年）》，该规划正在审批中。</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noWrap/>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eastAsia="宋体" w:cs="Times New Roman"/>
                <w:color w:val="000000" w:themeColor="text1"/>
                <w:spacing w:val="0"/>
                <w:sz w:val="24"/>
                <w:szCs w:val="24"/>
                <w:highlight w:val="yellow"/>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highlight w:val="none"/>
                <w:shd w:val="clear" w:color="auto" w:fill="auto"/>
                <w14:textFill>
                  <w14:solidFill>
                    <w14:schemeClr w14:val="tx1"/>
                  </w14:solidFill>
                </w14:textFill>
              </w:rPr>
              <w:t>规划环境影响评价情况</w:t>
            </w:r>
          </w:p>
        </w:tc>
        <w:tc>
          <w:tcPr>
            <w:tcW w:w="4362" w:type="pct"/>
            <w:gridSpan w:val="4"/>
            <w:noWrap/>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left"/>
              <w:textAlignment w:val="auto"/>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t>规划环评名称：尉犁工业园区国土空间专项规划（2024-2035年）环境影响报告书</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left"/>
              <w:textAlignment w:val="auto"/>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t>召集审查机关：新疆维吾尔自治区生态环境厅</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left"/>
              <w:textAlignment w:val="auto"/>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t>审查文件名称：关于《尉犁工业园区国土空间专项规划(2024-2035年)环境影响报告书》的审查意见</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rightChars="0" w:firstLine="480" w:firstLineChars="200"/>
              <w:jc w:val="left"/>
              <w:textAlignment w:val="auto"/>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t>文号：新环审〔2025〕261号。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noWrap/>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center"/>
              <w:textAlignment w:val="auto"/>
              <w:rPr>
                <w:rFonts w:hint="default" w:ascii="Times New Roman" w:hAnsi="Times New Roman" w:cs="Times New Roman"/>
                <w:color w:val="000000" w:themeColor="text1"/>
                <w:spacing w:val="0"/>
                <w:sz w:val="24"/>
                <w:szCs w:val="24"/>
                <w:highlight w:val="none"/>
                <w:shd w:val="clear" w:color="auto" w:fill="auto"/>
                <w14:textFill>
                  <w14:solidFill>
                    <w14:schemeClr w14:val="tx1"/>
                  </w14:solidFill>
                </w14:textFill>
              </w:rPr>
            </w:pPr>
            <w:r>
              <w:rPr>
                <w:rFonts w:hint="default" w:ascii="Times New Roman" w:hAnsi="Times New Roman" w:cs="Times New Roman"/>
                <w:color w:val="000000" w:themeColor="text1"/>
                <w:spacing w:val="0"/>
                <w:sz w:val="24"/>
                <w:szCs w:val="24"/>
                <w:highlight w:val="none"/>
                <w:shd w:val="clear" w:color="auto" w:fill="auto"/>
                <w14:textFill>
                  <w14:solidFill>
                    <w14:schemeClr w14:val="tx1"/>
                  </w14:solidFill>
                </w14:textFill>
              </w:rPr>
              <w:t>规划及规划环境影响评价符合性分析</w:t>
            </w:r>
          </w:p>
        </w:tc>
        <w:tc>
          <w:tcPr>
            <w:tcW w:w="4362" w:type="pct"/>
            <w:gridSpan w:val="4"/>
            <w:noWrap/>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jc w:val="left"/>
              <w:textAlignment w:val="auto"/>
              <w:rPr>
                <w:rFonts w:hint="default" w:ascii="Times New Roman" w:hAnsi="Times New Roman" w:cs="Times New Roman"/>
                <w:b/>
                <w:bCs/>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4"/>
                <w:szCs w:val="24"/>
                <w:highlight w:val="none"/>
                <w:shd w:val="clear" w:color="auto" w:fill="auto"/>
                <w:lang w:val="en-US" w:eastAsia="zh-CN"/>
                <w14:textFill>
                  <w14:solidFill>
                    <w14:schemeClr w14:val="tx1"/>
                  </w14:solidFill>
                </w14:textFill>
              </w:rPr>
              <w:t>1、与</w:t>
            </w:r>
            <w:r>
              <w:rPr>
                <w:rFonts w:hint="default" w:ascii="Times New Roman" w:hAnsi="Times New Roman" w:cs="Times New Roman"/>
                <w:b/>
                <w:bCs/>
                <w:i w:val="0"/>
                <w:iCs w:val="0"/>
                <w:caps w:val="0"/>
                <w:color w:val="000000" w:themeColor="text1"/>
                <w:spacing w:val="0"/>
                <w:sz w:val="24"/>
                <w:szCs w:val="24"/>
                <w:shd w:val="clear" w:color="auto" w:fill="auto"/>
                <w:lang w:val="en-US" w:eastAsia="zh-CN"/>
                <w14:textFill>
                  <w14:solidFill>
                    <w14:schemeClr w14:val="tx1"/>
                  </w14:solidFill>
                </w14:textFill>
              </w:rPr>
              <w:t>尉犁工业园区国土空间专项规划（2024-2035年）的符合性分析</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根据《尉犁工业园区国土空间专项规划（2024-2035年）》（以下简称“本规划”），2024年8月15日，新疆维吾尔自治区人民政府出具《关于同意尉犁工业园区扩区的批复》（新政函〔2024〕161号），原则同意尉犁工业园区扩区8.41平方公里。扩区后园区总规划用地面积增至10.11平方公里，按“一园三区”布局，包括尉北工业区1.7平方公里、主园区6.64平方公里、化工产业集中区1.77平方公里。</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规划产业定位为：以棉麻（棉花和罗布麻）全产业链为支撑的纺织服装产业和特色农副产品精深加工产业为主的两大主导产业；以矿产品精深加工、硅基新材料加工产业、机械装备制造产业和新型建材加工产业为辅助产业；以仓储物流产业和现代服务产业为配套产业，形成“两主四辅两配套”的产业体系。</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位于尉犁工业园区主园区，东环路以西、创业路以东、敬业路以南。主园区规划空间结构呈现为“一心、一轴、八组团”，其中“机械装备制造产业组团”是主园区核心产业组团之一，重点布局和发展机械装备制造产业。</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本项目玻璃钢管道及复合材料制品生产，属于装备制造产业链的重要配套环节，选址明确位于机械装备制造产业组团范围内，与规划用地布局及产业分区一致。</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left"/>
              <w:textAlignment w:val="auto"/>
              <w:rPr>
                <w:rFonts w:hint="default" w:ascii="Times New Roman" w:hAnsi="Times New Roman" w:cs="Times New Roman"/>
                <w:b/>
                <w:bCs/>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bCs/>
                <w:i w:val="0"/>
                <w:iCs w:val="0"/>
                <w:caps w:val="0"/>
                <w:color w:val="000000" w:themeColor="text1"/>
                <w:spacing w:val="0"/>
                <w:sz w:val="24"/>
                <w:szCs w:val="24"/>
                <w:shd w:val="clear" w:color="auto" w:fill="auto"/>
                <w:lang w:val="en-US" w:eastAsia="zh-CN"/>
                <w14:textFill>
                  <w14:solidFill>
                    <w14:schemeClr w14:val="tx1"/>
                  </w14:solidFill>
                </w14:textFill>
              </w:rPr>
              <w:t>2、与《尉犁工业园区国土空间专项规划（2024-2035年）环境影响报告书》中结论的符合性分析</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根据《尉犁工业园区国土空间专项规划（2024-2035年）环境影响报告书》结论及相关要求，</w:t>
            </w:r>
            <w:r>
              <w:rPr>
                <w:rFonts w:hint="eastAsia"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巴州中意新材料有限公司新材料生产线项目2号厂房项目</w:t>
            </w: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与该规划环评结论的符合性分析如下：</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（1）产业定位与布局符合性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规划环评明确，尉犁工业园区主园区重点打造以棉麻全产业链纺织服装、农副产品精深加工为主导，以机械装备制造、新型建材等为辅助的综合产业体系，园区产业定位形成“两主四辅两配套”格局。本项目位于主园区机械装备制造产业组团，规划环评表2.1.1-2显示主园区规划工矿用地面积398.91公顷（占主园区总用地的60.07%），本项目从事玻璃钢管道及复合材料制品生产，属于装备制造产业的关键配套环节，符合规划环评对机械装备制造产业组团的发展定位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（2）规划环评资源利用要求符合性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规划环评提出园区实施“以水定产”原则，限制入园企业的规模和耗水规模，鼓励发展用水效率高的产业，禁止使用地下水作为工业用水水源。</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本项目生活污水排入园区污水管网，最终进入尉犁县污水处理厂处理，不新增工业取水指标，符合规划环评水资源利用要求。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（3）规划环评大气污染防治要求符合性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规划环评要求入园企业排放的废气须经处理达到相应的行业排放标准或《大气污染物综合排放标准》中的二级标准；涉VOCs排放企业应按照《挥发性有机物无组织排放控制标准》（GB37822-2019）要求落实无组织排放管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有机废气采用活性炭吸附/脱附+催化燃烧装置处理，非甲烷总烃、苯乙烯排放浓度均满足《合成树脂工业污染物排放标准》（GB31572-2015含2024年修改单）表5中特别排放限值，臭气浓度经处理后约1200（无量纲），满足《恶臭污染物排放标准》（GB14554-93）表2排放标准，符合规划环评提出的末端治理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（4）规划环评环境准入要求符合性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规划环评提出：园区应严格执行国家产业政策，新建项目须严格落实《产业结构调整指导目录》要求，对限制类或淘汰类项目一律禁止建设；禁止限制类、淘汰类产业进入园区。</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本项目属于《产业结构调整指导目录（2024年本）》鼓励类项目（“十二、建材-5-连续缠绕成型复合材料管道”），不在《市场准入负面清单（2025年版）》禁止准入类事项内，符合规划环评环境准入条件。</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（5）规划环评环境影响减缓措施符合性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规划环评要求入区项目应按照工艺特点和产污情况，采用国家先进污染防治技术，确保各污染物有效处置后达标排放。</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本项目废气处理工艺（活性炭吸附/脱附+催化燃烧、布袋除尘器）属于《排污许可证申请与核发技术规范 橡胶和塑料制品工业》（HJ1122-2020）表A.2中的可行技术；固废按照“减量化、资源化、无害化”原则进行分类处置，危险废物执行《危险废物贮存污染控制标准》（GB18597-2023）要求，</w:t>
            </w:r>
            <w:r>
              <w:rPr>
                <w:rFonts w:hint="eastAsia"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一般工业固废</w:t>
            </w: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执行《一般工业固体废物贮存和填埋污染控制标准》（GB18599-2020），符合规划环评固废处置要求。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（6）规划环评环境风险防范要求符合性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规划环评要求存在环境风险的项目应提出有效的环境风险防范措施及环境风险应急预案，纳入区域环境风险应急联动机制。</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本项目环境风险潜势为Ⅰ，拟编制突发环境事件应急预案并备案，符合规划环评对入园企业风险防控的要求。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综上，</w:t>
            </w:r>
            <w:r>
              <w:rPr>
                <w:rFonts w:hint="eastAsia"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巴州中意新材料有限公司新材料生产线项目2号厂房项目</w:t>
            </w: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在产业定位、资源利用、污染防治、环境准入、风险防控等方面均符合《尉犁工业园区国土空间专项规划（2024-2035年）环境影响报告书》结论及相关要求。</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left"/>
              <w:textAlignment w:val="auto"/>
              <w:rPr>
                <w:rFonts w:hint="default" w:ascii="Times New Roman" w:hAnsi="Times New Roman" w:cs="Times New Roman"/>
                <w:b/>
                <w:bCs/>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b/>
                <w:bCs/>
                <w:i w:val="0"/>
                <w:iCs w:val="0"/>
                <w:caps w:val="0"/>
                <w:color w:val="000000" w:themeColor="text1"/>
                <w:spacing w:val="0"/>
                <w:sz w:val="24"/>
                <w:szCs w:val="24"/>
                <w:shd w:val="clear" w:color="auto" w:fill="auto"/>
                <w:lang w:val="en-US" w:eastAsia="zh-CN"/>
                <w14:textFill>
                  <w14:solidFill>
                    <w14:schemeClr w14:val="tx1"/>
                  </w14:solidFill>
                </w14:textFill>
              </w:rPr>
              <w:t>3、与关于《尉犁工业园区国土空间专项规划(2024-2035年)环境影响报告书》的审查意见的符合性分析</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根据新疆维吾尔自治区生态环境厅《关于〈尉犁工业园区国土空间专项规划（2024-2035年）环境影响报告书〉的审查意见》（新环审〔2025〕261号），</w:t>
            </w:r>
            <w:r>
              <w:rPr>
                <w:rFonts w:hint="eastAsia"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巴州中意新材料有限公司新材料生产线项目2号厂房项目</w:t>
            </w: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与该审查意见各项要求的符合性分析如下：</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（1）与发展定位及产业布局的符合性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审查意见指出，园区应“坚持以生态环境质量改善为核心，遵循生态优先、绿色发展原则”，“严格按照集约开发的原则，进一步优化土地用地布局，促进产业集聚”。园区产业发展定位为以棉麻全产业链纺织服装和特色农副产品精深加工为主，以矿产品精深加工、硅基新材料加工、机械装备制造和新型建材加工为辅的产业体系。</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本项目位于主园区机械装备制造产业组团，从事玻璃钢管道及复合材料制品生产，属于装备制造产业链配套环节，符合园区辅助产业中机械装备制造产业的发展方向，有利于促进园区产业集聚和土地集约利用。</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（2）与“严格环境准入”要求的符合性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审查意见要求“引进项目的生产工艺、设备、污染治理技术，以及单位产品能耗、物耗、污染物排放和资源利用率均需达到同行业国内先进水平”。</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缠绕固化废气采用“活性炭吸附/脱附+催化燃烧”工艺，切割修整废气采用袋式除尘器处理，废气收集效率≥90%，处理效率≥90%（有机废气）和99%（颗粒物），治理技术属于《排污许可证申请与核发技术规范 橡胶和塑料制品工业》（HJ1122-2020）表A.2中的可行技术。非甲烷总烃、苯乙烯排放浓度均满足《合成树脂工业污染物排放标准》（GB31572-2015含2024年修改单）表5中特别排放限值。清洁生产水平可达到国内先进水平。</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（3）与“污染物排放管控”要求的符合性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审查意见明确“采取有效措施减少氮氧化物、挥发性有机物等污染物排放量，各类污染物排放须满足国家及自治区最新污染物排放标准要求”。本项目有机废气经处理后达标排放，满足挥发性有机物排放控制要求。本项目不涉及氮氧化物排放，VOCs有组织排放量为7.507t/a，挥发性有机物排放得到有效控制。生活污水排入园区污水管网，符合废水管控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（4）与“环境风险防控”要求的符合性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审查意见要求“强化环境风险监控和管理，建立健全园区环境风险防控体系”，“足额配备应急物资，定期开展应急演练”。本项目环境风险潜势为Ⅰ，拟编制突发环境事件应急预案并备案，配备灭火器等应急物资，符合园区环境风险防控管理要求。</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（5）与建设项目环评简化指导意见的符合性</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审查意见明确，“规划环评结论及审查意见被园区管理机构和规划审批机关采纳的，入驻园区建设项目的环评内容可以适当简化。简化内容包括：符合规划环评结论及审查意见的入园建设项目政策符合性分析、选址的环境合理性和可行性论证”。本项目选址于规划确定的机械装备制造产业组团，符合园区产业定位和用地规划要求，在后续环评审批中可依据该条款适当简化政策符合性分析及选址论证内容。</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482" w:firstLineChars="200"/>
              <w:jc w:val="both"/>
              <w:textAlignment w:val="auto"/>
              <w:rPr>
                <w:rFonts w:hint="default" w:ascii="Times New Roman" w:hAnsi="Times New Roman" w:cs="Times New Roman"/>
                <w:b/>
                <w:bCs/>
                <w:color w:val="000000" w:themeColor="text1"/>
                <w:spacing w:val="0"/>
                <w:sz w:val="24"/>
                <w:szCs w:val="24"/>
                <w:shd w:val="clear" w:color="auto" w:fill="auto"/>
                <w:vertAlign w:val="baseline"/>
                <w:lang w:val="en-US" w:eastAsia="zh-CN"/>
                <w14:textFill>
                  <w14:solidFill>
                    <w14:schemeClr w14:val="tx1"/>
                  </w14:solidFill>
                </w14:textFill>
              </w:rPr>
            </w:pPr>
            <w:r>
              <w:rPr>
                <w:rFonts w:hint="default" w:ascii="Times New Roman" w:hAnsi="Times New Roman" w:cs="Times New Roman"/>
                <w:b/>
                <w:bCs/>
                <w:color w:val="000000" w:themeColor="text1"/>
                <w:spacing w:val="0"/>
                <w:sz w:val="24"/>
                <w:szCs w:val="24"/>
                <w:shd w:val="clear" w:color="auto" w:fill="auto"/>
                <w:lang w:val="en-US" w:eastAsia="zh-CN"/>
                <w14:textFill>
                  <w14:solidFill>
                    <w14:schemeClr w14:val="tx1"/>
                  </w14:solidFill>
                </w14:textFill>
              </w:rPr>
              <w:t>表1-1本项目与规划环评审查意见要求符合性一览表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279"/>
              <w:gridCol w:w="41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94"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审查意见要求</w:t>
                  </w:r>
                </w:p>
              </w:tc>
              <w:tc>
                <w:tcPr>
                  <w:tcW w:w="280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本项目情况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94"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坚持绿色发展，优化产业结构、规划布局；促进产业集聚，提高土地集约利用效率</w:t>
                  </w:r>
                </w:p>
              </w:tc>
              <w:tc>
                <w:tcPr>
                  <w:tcW w:w="280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选址于主园区机械装备制造产业组团，土地利用率高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94"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引进项目清洁生产水平须达到同行业国内先进水平</w:t>
                  </w:r>
                </w:p>
              </w:tc>
              <w:tc>
                <w:tcPr>
                  <w:tcW w:w="280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废气治理工艺为HJ1122-2020可行技术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94"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采取有效措施减少NOx、VOCs排放，污染物排放满足最新标准要求</w:t>
                  </w:r>
                </w:p>
              </w:tc>
              <w:tc>
                <w:tcPr>
                  <w:tcW w:w="280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VOCs有组织排放量8.019t/a，排放浓度满足GB31572-2015限值；不涉及NOx排放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94"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以水定产、量水而行，优先采用中水，提高水资源利用率</w:t>
                  </w:r>
                </w:p>
              </w:tc>
              <w:tc>
                <w:tcPr>
                  <w:tcW w:w="280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生活污水经园区管网送污水处理厂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94"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强化环境风险监控，足额配备应急物资，定期开展应急演练</w:t>
                  </w:r>
                </w:p>
              </w:tc>
              <w:tc>
                <w:tcPr>
                  <w:tcW w:w="280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000000" w:themeColor="text1"/>
                      <w:spacing w:val="0"/>
                      <w:sz w:val="18"/>
                      <w:szCs w:val="18"/>
                      <w:shd w:val="clear" w:color="auto" w:fill="auto"/>
                      <w:vertAlign w:val="baseline"/>
                      <w:lang w:val="en-US" w:eastAsia="zh-CN"/>
                      <w14:textFill>
                        <w14:solidFill>
                          <w14:schemeClr w14:val="tx1"/>
                        </w14:solidFill>
                      </w14:textFill>
                    </w:rPr>
                  </w:pPr>
                  <w:r>
                    <w:rPr>
                      <w:rFonts w:hint="default" w:ascii="Times New Roman" w:hAnsi="Times New Roman" w:cs="Times New Roman"/>
                      <w:color w:val="000000" w:themeColor="text1"/>
                      <w:spacing w:val="0"/>
                      <w:sz w:val="18"/>
                      <w:szCs w:val="18"/>
                      <w:shd w:val="clear" w:color="auto" w:fill="auto"/>
                      <w:lang w:val="en-US" w:eastAsia="zh-CN"/>
                      <w14:textFill>
                        <w14:solidFill>
                          <w14:schemeClr w14:val="tx1"/>
                        </w14:solidFill>
                      </w14:textFill>
                    </w:rPr>
                    <w:t>拟编制突发环境事件应急预案并备案，配备应急物资</w:t>
                  </w:r>
                </w:p>
              </w:tc>
            </w:tr>
          </w:tbl>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cs="Times New Roman"/>
                <w:b w:val="0"/>
                <w:bCs w:val="0"/>
                <w:i w:val="0"/>
                <w:iCs w:val="0"/>
                <w:caps w:val="0"/>
                <w:color w:val="000000" w:themeColor="text1"/>
                <w:spacing w:val="0"/>
                <w:sz w:val="24"/>
                <w:szCs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综上，</w:t>
            </w:r>
            <w:r>
              <w:rPr>
                <w:rFonts w:hint="eastAsia"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巴州中意新材料有限公司新材料生产线项目2号厂房项目</w:t>
            </w: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在产业定位布局、清洁生产水平、污染物排放管控、环境风险防控等方面均符合《尉犁工业园区国土空间专项规划（2024-2035年）环境影响报告书》审查意见（新环审〔2025〕261号）的相关要求。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tcBorders>
              <w:left w:val="single" w:color="auto" w:sz="4" w:space="0"/>
              <w:bottom w:val="single" w:color="auto" w:sz="4" w:space="0"/>
            </w:tcBorders>
            <w:noWrap/>
            <w:vAlign w:val="center"/>
          </w:tcPr>
          <w:p>
            <w:pPr>
              <w:keepNext w:val="0"/>
              <w:keepLines w:val="0"/>
              <w:pageBreakBefore w:val="0"/>
              <w:wordWrap/>
              <w:topLinePunct w:val="0"/>
              <w:autoSpaceDE w:val="0"/>
              <w:autoSpaceDN w:val="0"/>
              <w:bidi w:val="0"/>
              <w:adjustRightInd w:val="0"/>
              <w:snapToGrid w:val="0"/>
              <w:ind w:left="0" w:leftChars="0" w:right="0" w:rightChars="0"/>
              <w:jc w:val="center"/>
              <w:rPr>
                <w:rFonts w:hint="default" w:ascii="Times New Roman" w:hAnsi="Times New Roman" w:cs="Times New Roman"/>
                <w:color w:val="000000" w:themeColor="text1"/>
                <w:spacing w:val="0"/>
                <w:kern w:val="0"/>
                <w:sz w:val="24"/>
                <w:shd w:val="clear" w:color="auto" w:fill="auto"/>
                <w14:textFill>
                  <w14:solidFill>
                    <w14:schemeClr w14:val="tx1"/>
                  </w14:solidFill>
                </w14:textFill>
              </w:rPr>
            </w:pPr>
            <w:r>
              <w:rPr>
                <w:rFonts w:hint="default" w:ascii="Times New Roman" w:hAnsi="Times New Roman" w:cs="Times New Roman"/>
                <w:color w:val="000000" w:themeColor="text1"/>
                <w:spacing w:val="0"/>
                <w:kern w:val="0"/>
                <w:sz w:val="24"/>
                <w:shd w:val="clear" w:color="auto" w:fill="auto"/>
                <w14:textFill>
                  <w14:solidFill>
                    <w14:schemeClr w14:val="tx1"/>
                  </w14:solidFill>
                </w14:textFill>
              </w:rPr>
              <w:t>其他符合性分析</w:t>
            </w:r>
          </w:p>
        </w:tc>
        <w:tc>
          <w:tcPr>
            <w:tcW w:w="4362" w:type="pct"/>
            <w:gridSpan w:val="4"/>
            <w:tcBorders>
              <w:bottom w:val="single" w:color="auto" w:sz="4" w:space="0"/>
              <w:right w:val="single" w:color="auto" w:sz="4" w:space="0"/>
            </w:tcBorders>
            <w:noWrap/>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rightChars="0" w:firstLine="482" w:firstLineChars="200"/>
              <w:jc w:val="both"/>
              <w:textAlignment w:val="auto"/>
              <w:rPr>
                <w:rFonts w:hint="default" w:ascii="Times New Roman" w:hAnsi="Times New Roman" w:eastAsia="宋体" w:cs="Times New Roman"/>
                <w:b/>
                <w:color w:val="000000" w:themeColor="text1"/>
                <w:spacing w:val="0"/>
                <w:szCs w:val="24"/>
                <w:shd w:val="clear" w:color="auto" w:fill="auto"/>
                <w:lang w:val="en-US" w:eastAsia="zh-CN"/>
                <w14:textFill>
                  <w14:solidFill>
                    <w14:schemeClr w14:val="tx1"/>
                  </w14:solidFill>
                </w14:textFill>
              </w:rPr>
            </w:pPr>
            <w:r>
              <w:rPr>
                <w:rFonts w:hint="default" w:ascii="Times New Roman" w:hAnsi="Times New Roman" w:cs="Times New Roman"/>
                <w:b/>
                <w:color w:val="000000" w:themeColor="text1"/>
                <w:spacing w:val="0"/>
                <w:szCs w:val="24"/>
                <w:shd w:val="clear" w:color="auto" w:fill="auto"/>
                <w14:textFill>
                  <w14:solidFill>
                    <w14:schemeClr w14:val="tx1"/>
                  </w14:solidFill>
                </w14:textFill>
              </w:rPr>
              <w:t>1、产业政策符合性</w:t>
            </w:r>
            <w:r>
              <w:rPr>
                <w:rFonts w:hint="default" w:ascii="Times New Roman" w:hAnsi="Times New Roman" w:cs="Times New Roman"/>
                <w:b/>
                <w:color w:val="000000" w:themeColor="text1"/>
                <w:spacing w:val="0"/>
                <w:szCs w:val="24"/>
                <w:shd w:val="clear" w:color="auto" w:fill="auto"/>
                <w:lang w:val="en-US" w:eastAsia="zh-CN"/>
                <w14:textFill>
                  <w14:solidFill>
                    <w14:schemeClr w14:val="tx1"/>
                  </w14:solidFill>
                </w14:textFill>
              </w:rPr>
              <w:t>分析</w:t>
            </w:r>
          </w:p>
          <w:p>
            <w:pPr>
              <w:pStyle w:val="32"/>
              <w:keepNext w:val="0"/>
              <w:keepLines w:val="0"/>
              <w:pageBreakBefore w:val="0"/>
              <w:kinsoku/>
              <w:wordWrap/>
              <w:overflowPunct/>
              <w:topLinePunct w:val="0"/>
              <w:bidi w:val="0"/>
              <w:adjustRightInd w:val="0"/>
              <w:snapToGrid w:val="0"/>
              <w:spacing w:before="0" w:beforeAutospacing="0" w:after="0" w:afterAutospacing="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本项目玻璃钢管道制造为连续缠绕成型工艺，属于《产业结构调整指导目录（2024年本）》（国家发展改革委令2023年第7号）鼓励类中的“</w:t>
            </w:r>
            <w:r>
              <w:rPr>
                <w:rFonts w:hint="default" w:ascii="Times New Roman" w:hAnsi="Times New Roman" w:cs="Times New Roman"/>
                <w:color w:val="000000" w:themeColor="text1"/>
                <w:spacing w:val="0"/>
                <w:sz w:val="24"/>
                <w:szCs w:val="24"/>
                <w:highlight w:val="none"/>
                <w:shd w:val="clear" w:color="auto" w:fill="auto"/>
                <w:lang w:val="en-US" w:eastAsia="zh-CN"/>
                <w14:textFill>
                  <w14:solidFill>
                    <w14:schemeClr w14:val="tx1"/>
                  </w14:solidFill>
                </w14:textFill>
              </w:rPr>
              <w:t>十二、建材-5-连续缠绕成型复合材料管道”；本项目建设内容</w:t>
            </w:r>
            <w:r>
              <w:rPr>
                <w:rFonts w:hint="default" w:ascii="Times New Roman" w:hAnsi="Times New Roman" w:cs="Times New Roman"/>
                <w:color w:val="000000" w:themeColor="text1"/>
                <w:spacing w:val="0"/>
                <w:sz w:val="24"/>
                <w:szCs w:val="24"/>
                <w:shd w:val="clear" w:color="auto" w:fill="auto"/>
                <w:lang w:val="en-US" w:eastAsia="zh-CN"/>
                <w14:textFill>
                  <w14:solidFill>
                    <w14:schemeClr w14:val="tx1"/>
                  </w14:solidFill>
                </w14:textFill>
              </w:rPr>
              <w:t>不属于《市场准入负面清单（2025年版）》（发改体改规（2025）466号）中禁止准入类项目，故本项目符合产业政策。</w:t>
            </w:r>
          </w:p>
          <w:p>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right="0" w:rightChars="0" w:firstLine="422" w:firstLineChars="200"/>
              <w:jc w:val="both"/>
              <w:textAlignment w:val="auto"/>
              <w:rPr>
                <w:rFonts w:hint="default" w:ascii="Times New Roman" w:hAnsi="Times New Roman" w:cs="Times New Roman"/>
                <w:color w:val="000000" w:themeColor="text1"/>
                <w:spacing w:val="0"/>
                <w:shd w:val="clear" w:color="auto" w:fill="auto"/>
                <w:lang w:val="en-US" w:eastAsia="zh-CN"/>
                <w14:textFill>
                  <w14:solidFill>
                    <w14:schemeClr w14:val="tx1"/>
                  </w14:solidFill>
                </w14:textFill>
              </w:rPr>
            </w:pPr>
            <w:r>
              <w:rPr>
                <w:rFonts w:hint="default" w:ascii="Times New Roman" w:hAnsi="Times New Roman" w:cs="Times New Roman"/>
                <w:b/>
                <w:color w:val="000000" w:themeColor="text1"/>
                <w:spacing w:val="0"/>
                <w:szCs w:val="24"/>
                <w:shd w:val="clear" w:color="auto" w:fill="auto"/>
                <w:lang w:val="en-US" w:eastAsia="zh-CN"/>
                <w14:textFill>
                  <w14:solidFill>
                    <w14:schemeClr w14:val="tx1"/>
                  </w14:solidFill>
                </w14:textFill>
              </w:rPr>
              <w:t>2</w:t>
            </w:r>
            <w:r>
              <w:rPr>
                <w:rFonts w:hint="default" w:ascii="Times New Roman" w:hAnsi="Times New Roman" w:cs="Times New Roman"/>
                <w:b/>
                <w:color w:val="000000" w:themeColor="text1"/>
                <w:spacing w:val="0"/>
                <w:szCs w:val="24"/>
                <w:shd w:val="clear" w:color="auto" w:fill="auto"/>
                <w14:textFill>
                  <w14:solidFill>
                    <w14:schemeClr w14:val="tx1"/>
                  </w14:solidFill>
                </w14:textFill>
              </w:rPr>
              <w:t>、</w:t>
            </w:r>
            <w:r>
              <w:rPr>
                <w:rFonts w:hint="default" w:ascii="Times New Roman" w:hAnsi="Times New Roman" w:eastAsia="宋体" w:cs="Times New Roman"/>
                <w:b/>
                <w:bCs/>
                <w:snapToGrid w:val="0"/>
                <w:color w:val="000000" w:themeColor="text1"/>
                <w:spacing w:val="0"/>
                <w:kern w:val="0"/>
                <w:sz w:val="24"/>
                <w:szCs w:val="24"/>
                <w:highlight w:val="none"/>
                <w:shd w:val="clear" w:color="auto" w:fill="auto"/>
                <w:lang w:val="en-US" w:eastAsia="zh-CN" w:bidi="ar"/>
                <w14:textFill>
                  <w14:solidFill>
                    <w14:schemeClr w14:val="tx1"/>
                  </w14:solidFill>
                </w14:textFill>
              </w:rPr>
              <w:t>《新疆维吾尔自治区生态环境分区管控动态更新成果》符合性分析</w:t>
            </w:r>
          </w:p>
          <w:p>
            <w:pPr>
              <w:pStyle w:val="13"/>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80" w:firstLineChars="200"/>
              <w:jc w:val="left"/>
              <w:rPr>
                <w:rFonts w:hint="default" w:ascii="Times New Roman" w:hAnsi="Times New Roman" w:eastAsia="宋体" w:cs="Times New Roman"/>
                <w:color w:val="000000" w:themeColor="text1"/>
                <w:spacing w:val="0"/>
                <w:sz w:val="24"/>
                <w:szCs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4"/>
                <w:szCs w:val="24"/>
                <w:highlight w:val="none"/>
                <w:shd w:val="clear" w:color="auto" w:fill="auto"/>
                <w:lang w:val="en-US" w:eastAsia="zh-CN"/>
                <w14:textFill>
                  <w14:solidFill>
                    <w14:schemeClr w14:val="tx1"/>
                  </w14:solidFill>
                </w14:textFill>
              </w:rPr>
              <w:t>本项目与《新疆维吾尔自治区生态环境分区管控动态更新成果》（新环环评发〔2024〕157号）的符合性分析见表1-</w:t>
            </w:r>
            <w:r>
              <w:rPr>
                <w:rFonts w:hint="default" w:ascii="Times New Roman" w:hAnsi="Times New Roman" w:cs="Times New Roman"/>
                <w:color w:val="000000" w:themeColor="text1"/>
                <w:spacing w:val="0"/>
                <w:sz w:val="24"/>
                <w:szCs w:val="24"/>
                <w:highlight w:val="none"/>
                <w:shd w:val="clear" w:color="auto" w:fill="auto"/>
                <w:lang w:val="en-US" w:eastAsia="zh-CN"/>
                <w14:textFill>
                  <w14:solidFill>
                    <w14:schemeClr w14:val="tx1"/>
                  </w14:solidFill>
                </w14:textFill>
              </w:rPr>
              <w:t>2</w:t>
            </w:r>
          </w:p>
          <w:p>
            <w:pPr>
              <w:keepNext w:val="0"/>
              <w:keepLines w:val="0"/>
              <w:pageBreakBefore w:val="0"/>
              <w:widowControl/>
              <w:suppressLineNumbers w:val="0"/>
              <w:kinsoku/>
              <w:wordWrap/>
              <w:overflowPunct/>
              <w:topLinePunct w:val="0"/>
              <w:autoSpaceDE w:val="0"/>
              <w:autoSpaceDN w:val="0"/>
              <w:bidi w:val="0"/>
              <w:adjustRightInd w:val="0"/>
              <w:snapToGrid w:val="0"/>
              <w:ind w:left="0" w:leftChars="0" w:right="0" w:rightChars="0" w:firstLine="0" w:firstLineChars="0"/>
              <w:jc w:val="center"/>
              <w:textAlignment w:val="auto"/>
              <w:rPr>
                <w:rFonts w:hint="default" w:ascii="Times New Roman" w:hAnsi="Times New Roman" w:eastAsia="宋体" w:cs="Times New Roman"/>
                <w:b/>
                <w:bCs/>
                <w:color w:val="000000" w:themeColor="text1"/>
                <w:spacing w:val="0"/>
                <w:kern w:val="0"/>
                <w:sz w:val="21"/>
                <w:szCs w:val="21"/>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shd w:val="clear" w:color="auto" w:fill="auto"/>
                <w:lang w:val="en-US" w:eastAsia="zh-CN" w:bidi="ar"/>
                <w14:textFill>
                  <w14:solidFill>
                    <w14:schemeClr w14:val="tx1"/>
                  </w14:solidFill>
                </w14:textFill>
              </w:rPr>
              <w:t>表</w:t>
            </w:r>
            <w:r>
              <w:rPr>
                <w:rFonts w:hint="default" w:ascii="Times New Roman" w:hAnsi="Times New Roman" w:cs="Times New Roman"/>
                <w:b/>
                <w:bCs/>
                <w:color w:val="000000" w:themeColor="text1"/>
                <w:spacing w:val="0"/>
                <w:kern w:val="0"/>
                <w:sz w:val="21"/>
                <w:szCs w:val="21"/>
                <w:highlight w:val="none"/>
                <w:shd w:val="clear" w:color="auto" w:fill="auto"/>
                <w:lang w:val="en-US" w:eastAsia="zh-CN" w:bidi="ar"/>
                <w14:textFill>
                  <w14:solidFill>
                    <w14:schemeClr w14:val="tx1"/>
                  </w14:solidFill>
                </w14:textFill>
              </w:rPr>
              <w:t xml:space="preserve">1-2  </w:t>
            </w:r>
            <w:r>
              <w:rPr>
                <w:rFonts w:hint="default" w:ascii="Times New Roman" w:hAnsi="Times New Roman" w:eastAsia="宋体" w:cs="Times New Roman"/>
                <w:b/>
                <w:bCs/>
                <w:color w:val="000000" w:themeColor="text1"/>
                <w:spacing w:val="0"/>
                <w:kern w:val="0"/>
                <w:sz w:val="21"/>
                <w:szCs w:val="21"/>
                <w:highlight w:val="none"/>
                <w:shd w:val="clear" w:color="auto" w:fill="auto"/>
                <w:lang w:val="en-US" w:eastAsia="zh-CN" w:bidi="ar"/>
                <w14:textFill>
                  <w14:solidFill>
                    <w14:schemeClr w14:val="tx1"/>
                  </w14:solidFill>
                </w14:textFill>
              </w:rPr>
              <w:t>与《新疆维吾尔自治区生态环境分区管控动态更新成果》符合性分析</w:t>
            </w:r>
          </w:p>
          <w:tbl>
            <w:tblPr>
              <w:tblStyle w:val="3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99"/>
              <w:gridCol w:w="514"/>
              <w:gridCol w:w="3618"/>
              <w:gridCol w:w="2415"/>
              <w:gridCol w:w="4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19" w:type="dxa"/>
                  <w:gridSpan w:val="2"/>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b/>
                      <w:bCs/>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b/>
                      <w:bCs/>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管控维度</w:t>
                  </w:r>
                </w:p>
              </w:tc>
              <w:tc>
                <w:tcPr>
                  <w:tcW w:w="365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b/>
                      <w:bCs/>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b/>
                      <w:bCs/>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管控要求</w:t>
                  </w:r>
                </w:p>
              </w:tc>
              <w:tc>
                <w:tcPr>
                  <w:tcW w:w="244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b/>
                      <w:bCs/>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b/>
                      <w:bCs/>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项目情况</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b/>
                      <w:bCs/>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2"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空间布局约束</w:t>
                  </w:r>
                </w:p>
              </w:tc>
              <w:tc>
                <w:tcPr>
                  <w:tcW w:w="517"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禁止开发建设的活动</w:t>
                  </w:r>
                </w:p>
              </w:tc>
              <w:tc>
                <w:tcPr>
                  <w:tcW w:w="3657" w:type="dxa"/>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top"/>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〔A1.1-1〕禁止新建、扩建《产业结构调整指导目录（2024年本）》中淘汰类项目。禁止引入《市场准入负面清单（2022年版）》禁止准入类事项。</w:t>
                  </w:r>
                </w:p>
              </w:tc>
              <w:tc>
                <w:tcPr>
                  <w:tcW w:w="2441" w:type="dxa"/>
                  <w:tcBorders>
                    <w:tl2br w:val="nil"/>
                    <w:tr2bl w:val="nil"/>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top"/>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本项目不属于《产业结构调整指导目录（2024年本）》中淘汰类项目和《市场准入负面清单（2025年版）》禁止准入类事项</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2"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p>
              </w:tc>
              <w:tc>
                <w:tcPr>
                  <w:tcW w:w="517"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p>
              </w:tc>
              <w:tc>
                <w:tcPr>
                  <w:tcW w:w="365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244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lang w:val="en-US"/>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本项目用地类型为工业用地，不占用基本农田。</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污染物排放管控</w:t>
                  </w:r>
                </w:p>
              </w:tc>
              <w:tc>
                <w:tcPr>
                  <w:tcW w:w="51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污染控制措施要求</w:t>
                  </w:r>
                </w:p>
              </w:tc>
              <w:tc>
                <w:tcPr>
                  <w:tcW w:w="365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大宗货物“公转铁”）、柴油货车治理、锅炉炉窑综合治理等工程项目。全面推行绿色施工，持续推动城市建成区重污染企业搬迁或关闭退出。</w:t>
                  </w:r>
                </w:p>
              </w:tc>
              <w:tc>
                <w:tcPr>
                  <w:tcW w:w="244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18"/>
                      <w:szCs w:val="18"/>
                      <w:shd w:val="clear" w:color="auto" w:fill="auto"/>
                      <w14:textFill>
                        <w14:solidFill>
                          <w14:schemeClr w14:val="tx1"/>
                        </w14:solidFill>
                      </w14:textFill>
                    </w:rPr>
                    <w:t>本项目</w:t>
                  </w:r>
                  <w:r>
                    <w:rPr>
                      <w:rFonts w:hint="default" w:ascii="Times New Roman" w:hAnsi="Times New Roman" w:cs="Times New Roman"/>
                      <w:i w:val="0"/>
                      <w:iCs w:val="0"/>
                      <w:caps w:val="0"/>
                      <w:color w:val="000000" w:themeColor="text1"/>
                      <w:spacing w:val="0"/>
                      <w:sz w:val="18"/>
                      <w:szCs w:val="18"/>
                      <w:shd w:val="clear" w:color="auto" w:fill="auto"/>
                      <w:lang w:val="en-US" w:eastAsia="zh-CN"/>
                      <w14:textFill>
                        <w14:solidFill>
                          <w14:schemeClr w14:val="tx1"/>
                        </w14:solidFill>
                      </w14:textFill>
                    </w:rPr>
                    <w:t>有机</w:t>
                  </w:r>
                  <w:r>
                    <w:rPr>
                      <w:rFonts w:hint="default" w:ascii="Times New Roman" w:hAnsi="Times New Roman" w:eastAsia="宋体" w:cs="Times New Roman"/>
                      <w:i w:val="0"/>
                      <w:iCs w:val="0"/>
                      <w:caps w:val="0"/>
                      <w:color w:val="000000" w:themeColor="text1"/>
                      <w:spacing w:val="0"/>
                      <w:sz w:val="18"/>
                      <w:szCs w:val="18"/>
                      <w:shd w:val="clear" w:color="auto" w:fill="auto"/>
                      <w14:textFill>
                        <w14:solidFill>
                          <w14:schemeClr w14:val="tx1"/>
                        </w14:solidFill>
                      </w14:textFill>
                    </w:rPr>
                    <w:t>废气经集气罩/集气管道收集后通过</w:t>
                  </w:r>
                  <w:r>
                    <w:rPr>
                      <w:rFonts w:hint="default" w:ascii="Times New Roman" w:hAnsi="Times New Roman" w:eastAsia="宋体" w:cs="Times New Roman"/>
                      <w:i w:val="0"/>
                      <w:iCs w:val="0"/>
                      <w:cap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18"/>
                      <w:szCs w:val="18"/>
                      <w:shd w:val="clear" w:color="auto" w:fill="auto"/>
                      <w14:textFill>
                        <w14:solidFill>
                          <w14:schemeClr w14:val="tx1"/>
                        </w14:solidFill>
                      </w14:textFill>
                    </w:rPr>
                    <w:t>活性炭吸附/脱附+催化燃烧</w:t>
                  </w:r>
                  <w:r>
                    <w:rPr>
                      <w:rFonts w:hint="default" w:ascii="Times New Roman" w:hAnsi="Times New Roman" w:eastAsia="宋体" w:cs="Times New Roman"/>
                      <w:i w:val="0"/>
                      <w:iCs w:val="0"/>
                      <w:cap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18"/>
                      <w:szCs w:val="18"/>
                      <w:shd w:val="clear" w:color="auto" w:fill="auto"/>
                      <w14:textFill>
                        <w14:solidFill>
                          <w14:schemeClr w14:val="tx1"/>
                        </w14:solidFill>
                      </w14:textFill>
                    </w:rPr>
                    <w:t>处理，非甲烷总烃</w:t>
                  </w:r>
                  <w:r>
                    <w:rPr>
                      <w:rFonts w:hint="default" w:ascii="Times New Roman" w:hAnsi="Times New Roman" w:cs="Times New Roman"/>
                      <w:i w:val="0"/>
                      <w:iCs w:val="0"/>
                      <w:cap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18"/>
                      <w:szCs w:val="18"/>
                      <w:shd w:val="clear" w:color="auto" w:fill="auto"/>
                      <w14:textFill>
                        <w14:solidFill>
                          <w14:schemeClr w14:val="tx1"/>
                        </w14:solidFill>
                      </w14:textFill>
                    </w:rPr>
                    <w:t>苯乙烯排放浓度满足GB31572-2015标准要求</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2"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环境风险防控</w:t>
                  </w:r>
                </w:p>
              </w:tc>
              <w:tc>
                <w:tcPr>
                  <w:tcW w:w="517"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联防联控要求</w:t>
                  </w:r>
                </w:p>
              </w:tc>
              <w:tc>
                <w:tcPr>
                  <w:tcW w:w="365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244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本项目危险废物暂存于危废贮存点，定期委托有资质单位处置。</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2"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p>
              </w:tc>
              <w:tc>
                <w:tcPr>
                  <w:tcW w:w="517"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ind w:left="0" w:leftChars="0" w:right="0" w:rightChars="0"/>
                    <w:jc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p>
              </w:tc>
              <w:tc>
                <w:tcPr>
                  <w:tcW w:w="365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44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拟编制突发环境事件应急预案并备案，定期开展应急演练。</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5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资源开发效率要求</w:t>
                  </w:r>
                </w:p>
              </w:tc>
              <w:tc>
                <w:tcPr>
                  <w:tcW w:w="51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资源综合利用</w:t>
                  </w:r>
                </w:p>
              </w:tc>
              <w:tc>
                <w:tcPr>
                  <w:tcW w:w="3657"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研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w:t>
                  </w:r>
                </w:p>
              </w:tc>
              <w:tc>
                <w:tcPr>
                  <w:tcW w:w="244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lang w:val="en-US" w:eastAsia="zh-CN"/>
                      <w14:textFill>
                        <w14:solidFill>
                          <w14:schemeClr w14:val="tx1"/>
                        </w14:solidFill>
                      </w14:textFill>
                    </w:rPr>
                    <w:t>本项目</w:t>
                  </w:r>
                  <w:r>
                    <w:rPr>
                      <w:rFonts w:hint="eastAsia" w:cs="Times New Roman"/>
                      <w:b w:val="0"/>
                      <w:bCs w:val="0"/>
                      <w:color w:val="000000" w:themeColor="text1"/>
                      <w:spacing w:val="0"/>
                      <w:sz w:val="18"/>
                      <w:szCs w:val="18"/>
                      <w:highlight w:val="none"/>
                      <w:shd w:val="clear" w:color="auto" w:fill="auto"/>
                      <w:lang w:val="en-US" w:eastAsia="zh-CN"/>
                      <w14:textFill>
                        <w14:solidFill>
                          <w14:schemeClr w14:val="tx1"/>
                        </w14:solidFill>
                      </w14:textFill>
                    </w:rPr>
                    <w:t>一般工业固废</w:t>
                  </w:r>
                  <w:r>
                    <w:rPr>
                      <w:rFonts w:hint="default" w:ascii="Times New Roman" w:hAnsi="Times New Roman" w:eastAsia="宋体" w:cs="Times New Roman"/>
                      <w:b w:val="0"/>
                      <w:bCs w:val="0"/>
                      <w:color w:val="000000" w:themeColor="text1"/>
                      <w:spacing w:val="0"/>
                      <w:sz w:val="18"/>
                      <w:szCs w:val="18"/>
                      <w:highlight w:val="none"/>
                      <w:shd w:val="clear" w:color="auto" w:fill="auto"/>
                      <w:lang w:val="en-US" w:eastAsia="zh-CN"/>
                      <w14:textFill>
                        <w14:solidFill>
                          <w14:schemeClr w14:val="tx1"/>
                        </w14:solidFill>
                      </w14:textFill>
                    </w:rPr>
                    <w:t>（废包装材料、不合格产品）外售综合利用，除尘灰回用于生产；危险废物委托有资质单位处置；生活垃圾由环卫部门清运</w:t>
                  </w:r>
                </w:p>
              </w:tc>
              <w:tc>
                <w:tcPr>
                  <w:tcW w:w="42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ind w:left="0" w:leftChars="0" w:right="0" w:rightChars="0"/>
                    <w:jc w:val="center"/>
                    <w:textAlignment w:val="center"/>
                    <w:rPr>
                      <w:rFonts w:hint="default" w:ascii="Times New Roman" w:hAnsi="Times New Roman" w:eastAsia="宋体" w:cs="Times New Roman"/>
                      <w:i w:val="0"/>
                      <w:iCs w:val="0"/>
                      <w:color w:val="000000" w:themeColor="text1"/>
                      <w:spacing w:val="0"/>
                      <w:sz w:val="18"/>
                      <w:szCs w:val="18"/>
                      <w:highlight w:val="none"/>
                      <w:u w:val="none"/>
                      <w:shd w:val="clear" w:color="auto" w:fill="auto"/>
                      <w14:textFill>
                        <w14:solidFill>
                          <w14:schemeClr w14:val="tx1"/>
                        </w14:solidFill>
                      </w14:textFill>
                    </w:rPr>
                  </w:pPr>
                  <w:r>
                    <w:rPr>
                      <w:rFonts w:hint="default" w:ascii="Times New Roman" w:hAnsi="Times New Roman" w:eastAsia="宋体" w:cs="Times New Roman"/>
                      <w:i w:val="0"/>
                      <w:iCs w:val="0"/>
                      <w:snapToGrid w:val="0"/>
                      <w:color w:val="000000" w:themeColor="text1"/>
                      <w:spacing w:val="0"/>
                      <w:kern w:val="0"/>
                      <w:sz w:val="18"/>
                      <w:szCs w:val="18"/>
                      <w:highlight w:val="none"/>
                      <w:u w:val="none"/>
                      <w:shd w:val="clear" w:color="auto" w:fill="auto"/>
                      <w:lang w:val="en-US" w:eastAsia="zh-CN" w:bidi="ar"/>
                      <w14:textFill>
                        <w14:solidFill>
                          <w14:schemeClr w14:val="tx1"/>
                        </w14:solidFill>
                      </w14:textFill>
                    </w:rPr>
                    <w:t>符合</w:t>
                  </w:r>
                </w:p>
              </w:tc>
            </w:tr>
          </w:tbl>
          <w:p>
            <w:pPr>
              <w:pStyle w:val="13"/>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sz w:val="24"/>
                <w:szCs w:val="24"/>
                <w:highlight w:val="none"/>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4"/>
                <w:szCs w:val="24"/>
                <w:highlight w:val="none"/>
                <w:shd w:val="clear" w:color="auto" w:fill="auto"/>
                <w:lang w:val="en-US" w:eastAsia="zh-CN"/>
                <w14:textFill>
                  <w14:solidFill>
                    <w14:schemeClr w14:val="tx1"/>
                  </w14:solidFill>
                </w14:textFill>
              </w:rPr>
              <w:t>综上，本项目符合《新疆维吾尔自治区生态环境分区管控动态更新成果》（新环环评发〔2024〕157号）的相关要求。</w:t>
            </w:r>
          </w:p>
          <w:p>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rPr>
                <w:rFonts w:hint="default" w:ascii="Times New Roman" w:hAnsi="Times New Roman" w:eastAsia="宋体" w:cs="Times New Roman"/>
                <w:b/>
                <w:bCs/>
                <w:snapToGrid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bCs/>
                <w:snapToGrid w:val="0"/>
                <w:color w:val="000000" w:themeColor="text1"/>
                <w:spacing w:val="0"/>
                <w:kern w:val="0"/>
                <w:sz w:val="24"/>
                <w:szCs w:val="24"/>
                <w:highlight w:val="none"/>
                <w:shd w:val="clear" w:color="auto" w:fill="auto"/>
                <w:lang w:val="en-US" w:eastAsia="zh-CN" w:bidi="ar"/>
                <w14:textFill>
                  <w14:solidFill>
                    <w14:schemeClr w14:val="tx1"/>
                  </w14:solidFill>
                </w14:textFill>
              </w:rPr>
              <w:t>3、与《巴音郭楞蒙古自治州生态环境准入清单（2023年）》符合性分析</w:t>
            </w:r>
          </w:p>
          <w:p>
            <w:pPr>
              <w:keepNext w:val="0"/>
              <w:keepLines w:val="0"/>
              <w:pageBreakBefore w:val="0"/>
              <w:kinsoku/>
              <w:wordWrap/>
              <w:overflowPunct/>
              <w:topLinePunct w:val="0"/>
              <w:autoSpaceDE w:val="0"/>
              <w:autoSpaceDN w:val="0"/>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t>本项目位于尉犁工业园区主园区，对应尉犁工业园区重点管控单元（ZH65282320005），具体符合性分析如下：</w:t>
            </w:r>
          </w:p>
          <w:p>
            <w:pPr>
              <w:keepNext w:val="0"/>
              <w:keepLines w:val="0"/>
              <w:pageBreakBefore w:val="0"/>
              <w:widowControl/>
              <w:suppressLineNumbers w:val="0"/>
              <w:kinsoku/>
              <w:wordWrap/>
              <w:overflowPunct/>
              <w:topLinePunct w:val="0"/>
              <w:autoSpaceDE w:val="0"/>
              <w:autoSpaceDN w:val="0"/>
              <w:bidi w:val="0"/>
              <w:adjustRightInd w:val="0"/>
              <w:snapToGrid w:val="0"/>
              <w:ind w:left="0" w:leftChars="0" w:right="0" w:rightChars="0" w:firstLine="0" w:firstLineChars="0"/>
              <w:jc w:val="center"/>
              <w:textAlignment w:val="auto"/>
              <w:rPr>
                <w:rFonts w:hint="default" w:ascii="Times New Roman" w:hAnsi="Times New Roman" w:eastAsia="宋体" w:cs="Times New Roman"/>
                <w:b/>
                <w:bCs/>
                <w:color w:val="000000" w:themeColor="text1"/>
                <w:spacing w:val="0"/>
                <w:kern w:val="0"/>
                <w:sz w:val="21"/>
                <w:szCs w:val="21"/>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shd w:val="clear" w:color="auto" w:fill="auto"/>
                <w:lang w:val="en-US" w:eastAsia="zh-CN" w:bidi="ar"/>
                <w14:textFill>
                  <w14:solidFill>
                    <w14:schemeClr w14:val="tx1"/>
                  </w14:solidFill>
                </w14:textFill>
              </w:rPr>
              <w:t>表1-3与《巴音郭楞蒙古自治州生态环境准入清单（2023年）》符合性分析表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7"/>
              <w:gridCol w:w="3083"/>
              <w:gridCol w:w="3277"/>
              <w:gridCol w:w="4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7"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管控类别</w:t>
                  </w: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原文管控要求</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本项目情况</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7" w:type="pct"/>
                  <w:vMerge w:val="restar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空间布局约束</w:t>
                  </w: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“有行业准入条件的需满足准入条件。进入尉犁工业园区产业项目在招商引资的过程中，要根据产业发展规划，有针对性的进行产业类型引导。”</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本项目位于主园区机械装备制造产业组团，从事玻璃钢管道制造，属于制造业，符合主园区“机械装备制造产业组团”产业定位及产业发展规划。</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国家环保和节能减排要求，排放污染物必须达到国家和自治区污染物排放标准，严禁国家明文规定的限制类、淘汰类项目进入园区；不得采用国家、自治区淘汰或禁止使用的生产工艺、技术和设备；入园项目必须严格执行环境影响评价制度和‘三同时’制度。”</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①本项目属于《产业结构调整指导目录（2024年本）》鼓励类项目（十二、建材-5-连续缠绕成型复合材料管道）；②采用连续缠绕成型工艺，不属于淘汰或禁止类工艺；③废气排放满足GB31572-2015限值，废水达标排放；④正在依法办理环评手续，承诺落实“三同时”。</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7" w:type="pct"/>
                  <w:vMerge w:val="restar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污染物排放管控</w:t>
                  </w: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“入园企业生产设施排放的废气须经处理达到相应的行业排放标准或《大气污染物综合排放标准》中的二级标准。”</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本项目非甲烷总烃</w:t>
                  </w:r>
                  <w:r>
                    <w:rPr>
                      <w:rFonts w:hint="default" w:ascii="Times New Roman" w:hAnsi="Times New Roman"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苯乙烯</w:t>
                  </w:r>
                  <w:r>
                    <w:rPr>
                      <w:rFonts w:hint="default" w:ascii="Times New Roman" w:hAnsi="Times New Roman"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w:t>
                  </w: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颗粒物排放浓度满足《合成树脂工业污染物排放标准》（GB31572-2015含2024年修改单）表</w:t>
                  </w:r>
                  <w:r>
                    <w:rPr>
                      <w:rFonts w:hint="default" w:ascii="Times New Roman" w:hAnsi="Times New Roman"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5中特别排放</w:t>
                  </w: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限值。</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园区企业污水处理后需(高浓度盐水除外)满足《城市污水再生利用工业用水水质》(GB/T19923-2005)标准的要求，用于园区绿化及荒漠灌溉；②园区内企业生活污水同时还需满足《城镇下水道水质标准》(GB/T31962-2015)后接入尉犁县污水管网，最终排入尉犁县污水处理厂。”</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生活污水经隔油池预处理后排入园区污水管网，最终进入尉犁县污水处理厂处理，满足</w:t>
                  </w:r>
                  <w:r>
                    <w:rPr>
                      <w:rFonts w:hint="eastAsia"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接管</w:t>
                  </w: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要求。</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restar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环境风险防控</w:t>
                  </w: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“各企业污水处理设施附近应修建应急事故池，事故池容积应满足应急要求。”</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本项目不涉及污水处理设施</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“工业用地固废临时堆放点均按相关要求做好防渗措施，防止贮存过程发生溢漏、导致地下水污染。”</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本项目危废贮存点按照《危险废物贮存污染控制标准》（GB18597-2023）要求建设，地面及墙裙采取重点防渗措施（渗透系数≤10</w:t>
                  </w:r>
                  <w:r>
                    <w:rPr>
                      <w:rFonts w:hint="default" w:ascii="Times New Roman" w:hAnsi="Times New Roman" w:cs="Times New Roman"/>
                      <w:b w:val="0"/>
                      <w:bCs w:val="0"/>
                      <w:i w:val="0"/>
                      <w:iCs w:val="0"/>
                      <w:caps w:val="0"/>
                      <w:color w:val="000000" w:themeColor="text1"/>
                      <w:spacing w:val="0"/>
                      <w:kern w:val="0"/>
                      <w:sz w:val="18"/>
                      <w:szCs w:val="18"/>
                      <w:shd w:val="clear" w:color="auto" w:fill="auto"/>
                      <w:vertAlign w:val="superscript"/>
                      <w:lang w:val="en-US" w:eastAsia="zh-CN" w:bidi="ar"/>
                      <w14:textFill>
                        <w14:solidFill>
                          <w14:schemeClr w14:val="tx1"/>
                        </w14:solidFill>
                      </w14:textFill>
                    </w:rPr>
                    <w:t>-10</w:t>
                  </w: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cm/s），设置围堰或防渗托盘，满足防渗漏要求。</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“对于工业园区内各生产企业如有危险废物产生的，各企业应严格按《危险废物贮存污染控制标准》执行，贮存设施应设置警示标志，做好地面防渗工程，避免雨淋对地下水影响，满足危险废物临时贮存要求。”</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废催化剂、废活性炭、废机油等危险废物采用专用密闭容器收集，分区存放于危废贮存点，危废贮存点设置危险废物识别标志及警示标志，满足防风、防雨、防晒、防渗漏“四防”要求，定期委托有资质单位处置。</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“入园项目要符合建设项目环评文件中大气环境防护距离或卫生防护距离的要求。”</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根据大气预测结果，本项目各污染物厂界浓度满足相应标准限值，无需设置大气环境防护距离。</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“重点排污单位应当根据所在地重污染天气应急预案，编制本单位重污染天气应急响应方案。根据重污染天气的预警等级，及时启动重污染天气应急预案，并采取与预警等级对应的响应措施。”</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本项目拟按照《巴音郭楞蒙古自治州重污染天气应急预案》要求，编制重污染天气应急响应方案并备案，明确不同预警等级下的减排措施。</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restar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资源开发利用要求</w:t>
                  </w: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结合产业结构调整，大力发展循环经济，推行清洁生产，促进企业采用高新技术改造传统产业，实现污染物防治从单纯末端治理向预防为主和全过程控制转变，达到节能降耗、综合利用，减少生产过程中污染物的排放。”</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①本项目采用“活性炭吸附/脱附+催化燃烧”组合工艺处理有机废气，属于HJ1122-2020表A.2可行技术；②试压废水三级沉淀后循环使用，不外排；③废包装材料、不合格产品外售综合利用，实现废物资源化。</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7" w:type="pct"/>
                  <w:vMerge w:val="continue"/>
                  <w:tcBorders>
                    <w:tl2br w:val="nil"/>
                    <w:tr2bl w:val="nil"/>
                  </w:tcBorders>
                  <w:vAlign w:val="center"/>
                </w:tcPr>
                <w:p>
                  <w:pPr>
                    <w:keepNext w:val="0"/>
                    <w:keepLines w:val="0"/>
                    <w:pageBreakBefore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p>
              </w:tc>
              <w:tc>
                <w:tcPr>
                  <w:tcW w:w="2061"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“围绕资源高效循环利用，加大先进节能技术和减排技术的推广应用，推动结构性、技术性和制度性节能减排。严格落实项目能评和环评制度，加强源头控制。”</w:t>
                  </w:r>
                </w:p>
              </w:tc>
              <w:tc>
                <w:tcPr>
                  <w:tcW w:w="2192"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本项目依法开展环境影响评价；能源消耗主要为电能，不涉及燃煤等高污染燃料，符合节能要求。</w:t>
                  </w:r>
                </w:p>
              </w:tc>
              <w:tc>
                <w:tcPr>
                  <w:tcW w:w="278" w:type="pct"/>
                  <w:tcBorders>
                    <w:tl2br w:val="nil"/>
                    <w:tr2bl w:val="nil"/>
                  </w:tcBorders>
                  <w:vAlign w:val="center"/>
                </w:tcPr>
                <w:p>
                  <w:pPr>
                    <w:keepNext w:val="0"/>
                    <w:keepLines w:val="0"/>
                    <w:pageBreakBefore w:val="0"/>
                    <w:widowControl/>
                    <w:suppressLineNumbers w:val="0"/>
                    <w:wordWrap/>
                    <w:topLinePunct w:val="0"/>
                    <w:bidi w:val="0"/>
                    <w:adjustRightInd w:val="0"/>
                    <w:snapToGrid w:val="0"/>
                    <w:ind w:left="0" w:leftChars="0" w:right="0" w:rightChars="0"/>
                    <w:jc w:val="center"/>
                    <w:rPr>
                      <w:rFonts w:hint="default" w:ascii="Times New Roman" w:hAnsi="Times New Roman" w:eastAsia="宋体" w:cs="Times New Roman"/>
                      <w:b w:val="0"/>
                      <w:bCs w:val="0"/>
                      <w:color w:val="000000" w:themeColor="text1"/>
                      <w:spacing w:val="0"/>
                      <w:kern w:val="0"/>
                      <w:sz w:val="18"/>
                      <w:szCs w:val="18"/>
                      <w:highlight w:val="none"/>
                      <w:shd w:val="clear" w:color="auto" w:fill="auto"/>
                      <w:vertAlign w:val="baseline"/>
                      <w:lang w:val="en-US" w:eastAsia="zh-CN" w:bidi="ar"/>
                      <w14:textFill>
                        <w14:solidFill>
                          <w14:schemeClr w14:val="tx1"/>
                        </w14:solidFill>
                      </w14:textFill>
                    </w:rPr>
                  </w:pPr>
                  <w:r>
                    <w:rPr>
                      <w:rFonts w:hint="default" w:ascii="Times New Roman" w:hAnsi="Times New Roman" w:eastAsia="宋体" w:cs="Times New Roman"/>
                      <w:b w:val="0"/>
                      <w:bCs w:val="0"/>
                      <w:i w:val="0"/>
                      <w:iCs w:val="0"/>
                      <w:caps w:val="0"/>
                      <w:color w:val="000000" w:themeColor="text1"/>
                      <w:spacing w:val="0"/>
                      <w:kern w:val="0"/>
                      <w:sz w:val="18"/>
                      <w:szCs w:val="18"/>
                      <w:shd w:val="clear" w:color="auto" w:fill="auto"/>
                      <w:lang w:val="en-US" w:eastAsia="zh-CN" w:bidi="ar"/>
                      <w14:textFill>
                        <w14:solidFill>
                          <w14:schemeClr w14:val="tx1"/>
                        </w14:solidFill>
                      </w14:textFill>
                    </w:rPr>
                    <w:t>符合</w:t>
                  </w:r>
                </w:p>
              </w:tc>
            </w:tr>
          </w:tbl>
          <w:p>
            <w:pPr>
              <w:keepNext w:val="0"/>
              <w:keepLines w:val="0"/>
              <w:pageBreakBefore w:val="0"/>
              <w:kinsoku/>
              <w:wordWrap/>
              <w:overflowPunct/>
              <w:topLinePunct w:val="0"/>
              <w:autoSpaceDE w:val="0"/>
              <w:autoSpaceDN w:val="0"/>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eastAsia="宋体" w:cs="Times New Roman"/>
                <w:color w:val="000000" w:themeColor="text1"/>
                <w:spacing w:val="0"/>
                <w:sz w:val="24"/>
                <w:shd w:val="clear" w:color="auto" w:fill="auto"/>
                <w:lang w:val="en-US" w:eastAsia="zh-CN"/>
                <w14:textFill>
                  <w14:solidFill>
                    <w14:schemeClr w14:val="tx1"/>
                  </w14:solidFill>
                </w14:textFill>
              </w:rPr>
              <w:t>结论：本项目在空间布局、污染物排放管控、环境风险防控、资源开发利用等方面均满足尉犁工业园区重点管控单元（ZH65282320005）的相关管控要求，符合《巴音郭楞蒙古自治州生态环境准入清单（2023年）》的规定。</w:t>
            </w:r>
          </w:p>
          <w:p>
            <w:pPr>
              <w:pStyle w:val="49"/>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82" w:firstLineChars="200"/>
              <w:jc w:val="both"/>
              <w:textAlignment w:val="auto"/>
              <w:rPr>
                <w:rFonts w:hint="default" w:ascii="Times New Roman" w:hAnsi="Times New Roman" w:eastAsia="宋体" w:cs="Times New Roman"/>
                <w:b/>
                <w:color w:val="000000" w:themeColor="text1"/>
                <w:spacing w:val="0"/>
                <w:shd w:val="clear" w:color="auto" w:fill="auto"/>
                <w:lang w:val="en-US" w:eastAsia="zh-CN"/>
                <w14:textFill>
                  <w14:solidFill>
                    <w14:schemeClr w14:val="tx1"/>
                  </w14:solidFill>
                </w14:textFill>
              </w:rPr>
            </w:pPr>
            <w:r>
              <w:rPr>
                <w:rFonts w:hint="default" w:ascii="Times New Roman" w:hAnsi="Times New Roman" w:eastAsia="宋体" w:cs="Times New Roman"/>
                <w:b/>
                <w:color w:val="000000" w:themeColor="text1"/>
                <w:spacing w:val="0"/>
                <w:shd w:val="clear" w:color="auto" w:fill="auto"/>
                <w:lang w:val="en-US" w:eastAsia="zh-CN"/>
                <w14:textFill>
                  <w14:solidFill>
                    <w14:schemeClr w14:val="tx1"/>
                  </w14:solidFill>
                </w14:textFill>
              </w:rPr>
              <w:t>4、与《挥发性有机物VOCs污染防治技术政策》（生态环境部公告2013年第31号）符合性分析</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shd w:val="clear" w:color="auto" w:fill="auto"/>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t>表1-</w:t>
            </w: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 xml:space="preserve">4  </w:t>
            </w:r>
            <w:r>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t>与《挥发性有机物VOCs污染防治技术政策》的相符性</w:t>
            </w:r>
          </w:p>
          <w:tbl>
            <w:tblPr>
              <w:tblStyle w:val="3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9"/>
              <w:gridCol w:w="4476"/>
              <w:gridCol w:w="2049"/>
              <w:gridCol w:w="5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序号</w:t>
                  </w:r>
                </w:p>
              </w:tc>
              <w:tc>
                <w:tcPr>
                  <w:tcW w:w="299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要求</w:t>
                  </w:r>
                </w:p>
              </w:tc>
              <w:tc>
                <w:tcPr>
                  <w:tcW w:w="1371"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符合性分析</w:t>
                  </w:r>
                </w:p>
              </w:tc>
              <w:tc>
                <w:tcPr>
                  <w:tcW w:w="333"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符合情况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1</w:t>
                  </w:r>
                </w:p>
              </w:tc>
              <w:tc>
                <w:tcPr>
                  <w:tcW w:w="299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鼓励使用通过环境标志产品认证的环保型涂料、油墨、胶粘剂和清洗剂；根据涂装工艺的不同，鼓励使用水性涂料、高固份涂料、粉末涂料、紫外光固化（UV）涂料等环保型涂料；推广采用静电喷涂、淋涂、辊涂、浸涂等效率较高的涂装工艺；应尽量避免无VOCs净化、回收措施的露天喷涂作业；含VOCs产品的使用过程中，应采取废气收集措施，提高废气收集效率，减少废气的无组织排放与逸散，并对收集后的废气进行回收或处理后达标排放。</w:t>
                  </w:r>
                </w:p>
              </w:tc>
              <w:tc>
                <w:tcPr>
                  <w:tcW w:w="1371"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本项目</w:t>
                  </w:r>
                  <w:r>
                    <w:rPr>
                      <w:rFonts w:hint="default" w:ascii="Times New Roman" w:hAnsi="Times New Roman"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有机废气</w:t>
                  </w: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由集气罩收集后经活性炭吸附/脱附+催化燃烧处理后通过15m高排气筒外排废气达标排放。</w:t>
                  </w:r>
                </w:p>
              </w:tc>
              <w:tc>
                <w:tcPr>
                  <w:tcW w:w="333"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2</w:t>
                  </w:r>
                </w:p>
              </w:tc>
              <w:tc>
                <w:tcPr>
                  <w:tcW w:w="299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对于含中等浓度VOCs的废气，可采用吸附技术回收有机溶剂，或采用催化燃烧和热力焚烧技术净化后达标排放。</w:t>
                  </w:r>
                </w:p>
              </w:tc>
              <w:tc>
                <w:tcPr>
                  <w:tcW w:w="1371"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lang w:val="en-US" w:eastAsia="zh-CN"/>
                      <w14:textFill>
                        <w14:solidFill>
                          <w14:schemeClr w14:val="tx1"/>
                        </w14:solidFill>
                      </w14:textFill>
                    </w:rPr>
                    <w:t>本项目</w:t>
                  </w:r>
                  <w:r>
                    <w:rPr>
                      <w:rFonts w:hint="default" w:ascii="Times New Roman" w:hAnsi="Times New Roman"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有机废气</w:t>
                  </w: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由集气罩收集后经活性炭吸附/脱附+催化燃烧处理后通过15m高排气筒外排废气达标排放</w:t>
                  </w:r>
                  <w:r>
                    <w:rPr>
                      <w:rFonts w:hint="default" w:ascii="Times New Roman" w:hAnsi="Times New Roman" w:eastAsia="宋体" w:cs="Times New Roman"/>
                      <w:b w:val="0"/>
                      <w:bCs w:val="0"/>
                      <w:color w:val="000000" w:themeColor="text1"/>
                      <w:spacing w:val="0"/>
                      <w:sz w:val="18"/>
                      <w:szCs w:val="18"/>
                      <w:highlight w:val="none"/>
                      <w:shd w:val="clear" w:color="auto" w:fill="auto"/>
                      <w:lang w:val="en-US" w:eastAsia="zh-CN"/>
                      <w14:textFill>
                        <w14:solidFill>
                          <w14:schemeClr w14:val="tx1"/>
                        </w14:solidFill>
                      </w14:textFill>
                    </w:rPr>
                    <w:t>。</w:t>
                  </w:r>
                </w:p>
              </w:tc>
              <w:tc>
                <w:tcPr>
                  <w:tcW w:w="333"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0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3</w:t>
                  </w:r>
                </w:p>
              </w:tc>
              <w:tc>
                <w:tcPr>
                  <w:tcW w:w="299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当采用吸附回收（浓缩）、催化燃烧、热力焚烧、等离子体等方法进行末端治理时，应编制本单位事故火灾、爆炸等应急救援预案，配备应急救援人员和器材，并开展应急演练。</w:t>
                  </w:r>
                </w:p>
              </w:tc>
              <w:tc>
                <w:tcPr>
                  <w:tcW w:w="1371"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本项目正式运行前应修订事故火灾、爆炸等应急救援预案，配备应急救援人员和器材，运行后应开展应急演练</w:t>
                  </w:r>
                </w:p>
              </w:tc>
              <w:tc>
                <w:tcPr>
                  <w:tcW w:w="333"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both"/>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bl>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rPr>
                <w:rFonts w:hint="default" w:ascii="Times New Roman" w:hAnsi="Times New Roman" w:eastAsia="宋体" w:cs="Times New Roman"/>
                <w:b/>
                <w:bCs/>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bCs/>
                <w:color w:val="000000" w:themeColor="text1"/>
                <w:spacing w:val="0"/>
                <w:kern w:val="0"/>
                <w:sz w:val="24"/>
                <w:szCs w:val="24"/>
                <w:shd w:val="clear" w:color="auto" w:fill="auto"/>
                <w:lang w:val="en-US" w:eastAsia="zh-CN" w:bidi="ar"/>
                <w14:textFill>
                  <w14:solidFill>
                    <w14:schemeClr w14:val="tx1"/>
                  </w14:solidFill>
                </w14:textFill>
              </w:rPr>
              <w:t>5、与《空气质量持续改善行动计划》的通知（国发〔2023〕24号）的符合性分析。</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空气质量持续改善行动计划》第二十一条指出：强化VOCs全流程、全环节综合治理。鼓励储罐使用低泄漏的呼吸阀、紧急泄压阀，定期开展密封性检测。汽车罐车推广使用密封式快速接头。污水处理场所高浓度有机废气要单独收集处理；含VOCs有机废水储罐、装置区集水井（池）有机废气要密闭收集处理。重点区域石化、化工行业集中的城市和重点工业园区，2024年年底前建立统一的泄漏检测与修复信息管理平台。企业开停工、检维修期间，及时收集处理退料、清洗、吹扫等作业产生的VOCs废气。企业不得将火炬燃烧装置作为日常大气污染处理设施。</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本项目</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有机废气</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由集气罩收集</w:t>
            </w: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后经活性炭吸附/脱附+催化燃烧处理</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后通过15m高排气筒排放，符合《通知》中的要求。</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bCs/>
                <w:color w:val="000000" w:themeColor="text1"/>
                <w:spacing w:val="0"/>
                <w:kern w:val="0"/>
                <w:sz w:val="24"/>
                <w:szCs w:val="24"/>
                <w:shd w:val="clear" w:color="auto" w:fill="auto"/>
                <w:lang w:val="en-US" w:eastAsia="zh-CN" w:bidi="ar"/>
                <w14:textFill>
                  <w14:solidFill>
                    <w14:schemeClr w14:val="tx1"/>
                  </w14:solidFill>
                </w14:textFill>
              </w:rPr>
              <w:t>6、与《固体废物综合治理行动计划》（国发〔2025〕14号）的符合性分析</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固体废物综合治理行动计划》第四条指出：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本项目产生的一般工业固废暂存于一般工业固废贮存区，危险废物暂存于危废</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贮存点</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，危废</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贮存点</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内用过道或隔板进行分区，各类危废在</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贮存点</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内分区贮存；生活垃圾存放于垃圾箱。一般工业固废中的废包装材料、不合格产品外售；废树脂、固化剂、促进剂包装桶厂家回收；边角料、废滤袋集中收集后送填埋场；除尘灰回用于生产；废催化剂、废活性炭、废弃含油抹布、劳保用品、废润滑油、废油桶贮存于危废</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贮存点</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，定期由具有危废处置资质的公司接收处置；生活垃圾收集后由环卫部门定期清运。各类固废均得到有效的处理。故符合《计划》中的要求。</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bCs/>
                <w:color w:val="000000" w:themeColor="text1"/>
                <w:spacing w:val="0"/>
                <w:kern w:val="0"/>
                <w:sz w:val="24"/>
                <w:szCs w:val="24"/>
                <w:shd w:val="clear" w:color="auto" w:fill="auto"/>
                <w:lang w:val="en-US" w:eastAsia="zh-CN" w:bidi="ar"/>
                <w14:textFill>
                  <w14:solidFill>
                    <w14:schemeClr w14:val="tx1"/>
                  </w14:solidFill>
                </w14:textFill>
              </w:rPr>
              <w:t>7、与《关于加快解决当前挥发性有机物治理突出问题的通知》（环大气〔2021〕65号）的符合性分析</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通知》中废气收集设施治理要求：产生VOCs的生产环节优先采用密闭设备、在密闭空间中操作或采用全密闭集气罩收集方式，并保持负压运行。无尘等级要求车间需设置成正压的，宜建设内层正压、外层微负压的双层整体密闭收集空间（本项目不涉及无尘车间，该条款不适用）。</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本项目缠绕、固化工序生产设备为一体式设备，设备自带密闭式集气罩，进行负压收集，废气收集方式满足《通知》中要求。</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通知》中有机废气治理设施治理要求：新建治理设施或对现有治理设施实施改造，应依据排放废气特征、VOCs组分及浓度、生产工况等，合理选择治理技术；对治理难度大、单一治理工艺难以稳定达标的，宜采用多种技术的组合工艺；除恶臭异味治理外，一般不使用低温等离子、光催化、光氧化等技术。</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加强运行维护管理，做到治理设施较生产设备</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先启后停</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在治理设施达到正常运行条件后方可启动生产设备，在生产设备停止、残留VOCs废气收集处理完毕后，方可停运治理设施；及时清理、更换吸附剂、吸收剂、催化剂、蓄热体、过滤棉、灯管、电器元件等治理设施耗材，确保设施能够稳定高效运行；做好生产设备和治理设施启停机时间、检维修情况、治理设施耗材维护更换、处置情况等台账记录；对于VOCs治理设施产生的废过滤棉、废催化剂、废吸附剂、废吸收剂、废有机溶剂等，应及时清运，属于危险废物的应交有资质的单位处理处置。</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本项目有机废气采用活性炭吸附/脱附+催化燃烧设备，处理有机废气，活性炭、催化剂定</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期更</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换确保有机废气的治理效率。更换后的废活性炭、废催化剂暂存于危废</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贮存点</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，定期由有资质的单位处理。符合《通知》中的要求。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firstLine="482" w:firstLineChars="200"/>
              <w:jc w:val="both"/>
              <w:textAlignment w:val="auto"/>
              <w:rPr>
                <w:rFonts w:hint="default" w:ascii="Times New Roman" w:hAnsi="Times New Roman" w:cs="Times New Roman" w:eastAsiaTheme="minorEastAsia"/>
                <w:b/>
                <w:bCs/>
                <w:color w:val="000000" w:themeColor="text1"/>
                <w:spacing w:val="0"/>
                <w:kern w:val="0"/>
                <w:sz w:val="28"/>
                <w:szCs w:val="28"/>
                <w:shd w:val="clear" w:color="auto" w:fill="auto"/>
                <w:lang w:val="en-US" w:eastAsia="zh-CN" w:bidi="ar-SA"/>
                <w14:textFill>
                  <w14:solidFill>
                    <w14:schemeClr w14:val="tx1"/>
                  </w14:solidFill>
                </w14:textFill>
              </w:rPr>
            </w:pPr>
            <w:r>
              <w:rPr>
                <w:rFonts w:hint="default" w:ascii="Times New Roman" w:hAnsi="Times New Roman" w:cs="Times New Roman"/>
                <w:b/>
                <w:bCs/>
                <w:color w:val="000000" w:themeColor="text1"/>
                <w:spacing w:val="0"/>
                <w:kern w:val="0"/>
                <w:sz w:val="24"/>
                <w:szCs w:val="24"/>
                <w:shd w:val="clear" w:color="auto" w:fill="auto"/>
                <w:lang w:val="en-US" w:eastAsia="zh-CN" w:bidi="ar"/>
                <w14:textFill>
                  <w14:solidFill>
                    <w14:schemeClr w14:val="tx1"/>
                  </w14:solidFill>
                </w14:textFill>
              </w:rPr>
              <w:t>8</w:t>
            </w:r>
            <w:r>
              <w:rPr>
                <w:rFonts w:hint="default" w:ascii="Times New Roman" w:hAnsi="Times New Roman" w:eastAsia="宋体" w:cs="Times New Roman"/>
                <w:b/>
                <w:bCs/>
                <w:color w:val="000000" w:themeColor="text1"/>
                <w:spacing w:val="0"/>
                <w:kern w:val="0"/>
                <w:sz w:val="24"/>
                <w:szCs w:val="24"/>
                <w:shd w:val="clear" w:color="auto" w:fill="auto"/>
                <w:lang w:val="en-US" w:eastAsia="zh-CN" w:bidi="ar"/>
                <w14:textFill>
                  <w14:solidFill>
                    <w14:schemeClr w14:val="tx1"/>
                  </w14:solidFill>
                </w14:textFill>
              </w:rPr>
              <w:t>、与</w:t>
            </w:r>
            <w:r>
              <w:rPr>
                <w:rFonts w:hint="default" w:ascii="Times New Roman" w:hAnsi="Times New Roman" w:cs="Times New Roman"/>
                <w:b/>
                <w:bCs/>
                <w:color w:val="000000" w:themeColor="text1"/>
                <w:spacing w:val="0"/>
                <w:kern w:val="0"/>
                <w:sz w:val="24"/>
                <w:szCs w:val="24"/>
                <w:shd w:val="clear" w:color="auto" w:fill="auto"/>
                <w:lang w:val="en-US" w:eastAsia="zh-CN" w:bidi="ar"/>
                <w14:textFill>
                  <w14:solidFill>
                    <w14:schemeClr w14:val="tx1"/>
                  </w14:solidFill>
                </w14:textFill>
              </w:rPr>
              <w:t>《新疆维吾尔自治区2025年空气质量持续改善行动实施方案的通知》（新政办发〔2024〕58号）的符合性分析</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为了持续改善全区空气质量，新疆维吾尔自治区制定了《2025年空气质量持续改善行动实施方案》</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fldChar w:fldCharType="begin"/>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instrText xml:space="preserve"> HYPERLINK "https://www.xinjiang.gov.cn/xinjiang/zfgbml/202502/1786c53d8b794a99aadca9cc0848c9a6.shtml" \t "https://chat.deepseek.com/a/chat/s/_blank" </w:instrTex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fldChar w:fldCharType="separate"/>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fldChar w:fldCharType="end"/>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。本项目与该方案相关要求的符合性分析见表1-</w:t>
            </w:r>
            <w:r>
              <w:rPr>
                <w:rFonts w:hint="default" w:ascii="Times New Roman" w:hAnsi="Times New Roman" w:cs="Times New Roman"/>
                <w:b w:val="0"/>
                <w:bCs w:val="0"/>
                <w:color w:val="000000" w:themeColor="text1"/>
                <w:spacing w:val="0"/>
                <w:kern w:val="0"/>
                <w:sz w:val="24"/>
                <w:szCs w:val="24"/>
                <w:shd w:val="clear" w:color="auto" w:fill="auto"/>
                <w:lang w:val="en-US" w:eastAsia="zh-CN" w:bidi="ar"/>
                <w14:textFill>
                  <w14:solidFill>
                    <w14:schemeClr w14:val="tx1"/>
                  </w14:solidFill>
                </w14:textFill>
              </w:rPr>
              <w:t>5</w:t>
            </w:r>
            <w:r>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t>。</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t>表1-</w:t>
            </w: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5</w:t>
            </w:r>
            <w:r>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t xml:space="preserve">  与《新疆维吾尔自治区2025年空气质量持续改善行动实施方案的通知》（新政办发〔2024〕58号）的相符性</w:t>
            </w:r>
          </w:p>
          <w:tbl>
            <w:tblPr>
              <w:tblStyle w:val="3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56"/>
              <w:gridCol w:w="4011"/>
              <w:gridCol w:w="6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1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要求</w:t>
                  </w:r>
                </w:p>
              </w:tc>
              <w:tc>
                <w:tcPr>
                  <w:tcW w:w="268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符合性分析</w:t>
                  </w:r>
                </w:p>
              </w:tc>
              <w:tc>
                <w:tcPr>
                  <w:tcW w:w="405"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符合情况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1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cs="Times New Roman"/>
                      <w:b w:val="0"/>
                      <w:bCs w:val="0"/>
                      <w:color w:val="000000" w:themeColor="text1"/>
                      <w:spacing w:val="0"/>
                      <w:sz w:val="18"/>
                      <w:szCs w:val="18"/>
                      <w:shd w:val="clear" w:color="auto" w:fill="auto"/>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坚决遏制高耗能、高排放、低水平项目盲目上马</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新改扩建项目严格落实国家和自治区产业规划、产业政策、生态环境分区管控方案、规划环评、项目环评等要求</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p>
              </w:tc>
              <w:tc>
                <w:tcPr>
                  <w:tcW w:w="268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cs="Times New Roman"/>
                      <w:b w:val="0"/>
                      <w:bCs w:val="0"/>
                      <w:color w:val="000000" w:themeColor="text1"/>
                      <w:spacing w:val="0"/>
                      <w:sz w:val="18"/>
                      <w:szCs w:val="18"/>
                      <w:shd w:val="clear" w:color="auto" w:fill="auto"/>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本项目为《产业结构调整指导目录（2024年本）》中鼓励类项目，符合国家产业政策。经分析，项目符合《新疆维吾尔自治区生态环境分区管控动态更新成果》及《</w:t>
                  </w:r>
                  <w:r>
                    <w:rPr>
                      <w:rFonts w:hint="default" w:ascii="Times New Roman" w:hAnsi="Times New Roman" w:cs="Times New Roman"/>
                      <w:b w:val="0"/>
                      <w:bCs w:val="0"/>
                      <w:color w:val="000000" w:themeColor="text1"/>
                      <w:spacing w:val="0"/>
                      <w:sz w:val="18"/>
                      <w:szCs w:val="18"/>
                      <w:shd w:val="clear" w:color="auto" w:fill="auto"/>
                      <w:lang w:val="en-US" w:eastAsia="zh-CN"/>
                      <w14:textFill>
                        <w14:solidFill>
                          <w14:schemeClr w14:val="tx1"/>
                        </w14:solidFill>
                      </w14:textFill>
                    </w:rPr>
                    <w:t>巴音郭楞蒙古自治州生态环境准入清单（2023年）</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》要求。项目不属于“两高”项目。</w:t>
                  </w:r>
                </w:p>
              </w:tc>
              <w:tc>
                <w:tcPr>
                  <w:tcW w:w="405"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1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推进传统产业集群升级改造</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因地制宜建设集中喷涂中心、活性炭集中再生中心等。</w:t>
                  </w:r>
                </w:p>
              </w:tc>
              <w:tc>
                <w:tcPr>
                  <w:tcW w:w="268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本项目产生的有机废气</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非甲烷总烃、苯乙烯</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采用</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活性炭吸附/脱附+催化燃烧</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工艺进行处理，实现了活性炭的场内再生和循环使用，减少了危废产生量和处置压力，符合集中再生、源头减排的治理方向。</w:t>
                  </w:r>
                </w:p>
              </w:tc>
              <w:tc>
                <w:tcPr>
                  <w:tcW w:w="405"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1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持续开展重点行业污染深度治理</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强化治污设施运行维护，减少非正常工况排放，逐步取消烟气及含VOCs废气旁路</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p>
              </w:tc>
              <w:tc>
                <w:tcPr>
                  <w:tcW w:w="268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t>本项目环保设施与生产设备将实现“同启同停”，并安排专人定期维护，确保稳定运行。项目废气治理设施不设日常排放旁路，可有效杜绝非正常排放。</w:t>
                  </w:r>
                </w:p>
              </w:tc>
              <w:tc>
                <w:tcPr>
                  <w:tcW w:w="405"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1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强化挥发性有机物和氨氧化物综合治理</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优化含VOCs原辅材料和产品结构，加快推进源头替代</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实施重点行业VOCs深度治理</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p>
              </w:tc>
              <w:tc>
                <w:tcPr>
                  <w:tcW w:w="268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本项目使用的玻璃钢管道缠绕树脂为不饱和聚酯树脂，是行业通用成熟原料。项目采用密闭生产设备和高效的</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活性炭吸附/脱附+催化燃烧</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末端治理技术，对VOCs进行深度治理，有组织排放浓度远低于标准限值。</w:t>
                  </w:r>
                </w:p>
              </w:tc>
              <w:tc>
                <w:tcPr>
                  <w:tcW w:w="405"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910"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全面加强面源污染治理</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施工场地严格落实“六个百分百"要求，扬尘污染防治费用纳入工程造价</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p>
              </w:tc>
              <w:tc>
                <w:tcPr>
                  <w:tcW w:w="2684"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highlight w:val="none"/>
                      <w:shd w:val="clear" w:color="auto" w:fill="auto"/>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在“施工期环境保护措施”章节中，已明确要求施工场地采取设置围挡、洒水抑尘、车辆冲洗等“六个百分百</w:t>
                  </w:r>
                  <w:r>
                    <w:rPr>
                      <w:rFonts w:hint="default" w:ascii="Times New Roman" w:hAnsi="Times New Roman" w:cs="Times New Roman"/>
                      <w:b w:val="0"/>
                      <w:bCs w:val="0"/>
                      <w:color w:val="000000" w:themeColor="text1"/>
                      <w:spacing w:val="0"/>
                      <w:sz w:val="18"/>
                      <w:szCs w:val="18"/>
                      <w:shd w:val="clear" w:color="auto" w:fill="auto"/>
                      <w:lang w:eastAsia="zh-CN"/>
                      <w14:textFill>
                        <w14:solidFill>
                          <w14:schemeClr w14:val="tx1"/>
                        </w14:solidFill>
                      </w14:textFill>
                    </w:rPr>
                    <w:t>”</w:t>
                  </w:r>
                  <w:r>
                    <w:rPr>
                      <w:rFonts w:hint="default" w:ascii="Times New Roman" w:hAnsi="Times New Roman" w:cs="Times New Roman"/>
                      <w:b w:val="0"/>
                      <w:bCs w:val="0"/>
                      <w:color w:val="000000" w:themeColor="text1"/>
                      <w:spacing w:val="0"/>
                      <w:sz w:val="18"/>
                      <w:szCs w:val="18"/>
                      <w:shd w:val="clear" w:color="auto" w:fill="auto"/>
                      <w14:textFill>
                        <w14:solidFill>
                          <w14:schemeClr w14:val="tx1"/>
                        </w14:solidFill>
                      </w14:textFill>
                    </w:rPr>
                    <w:t>防尘措施，有效控制施工扬尘。</w:t>
                  </w:r>
                </w:p>
              </w:tc>
              <w:tc>
                <w:tcPr>
                  <w:tcW w:w="405" w:type="pct"/>
                  <w:tcBorders>
                    <w:tl2br w:val="nil"/>
                    <w:tr2bl w:val="nil"/>
                  </w:tcBorders>
                  <w:vAlign w:val="center"/>
                </w:tcPr>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jc w:val="center"/>
                    <w:textAlignment w:val="baseline"/>
                    <w:outlineLvl w:val="9"/>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pPr>
                  <w:r>
                    <w:rPr>
                      <w:rFonts w:hint="default" w:ascii="Times New Roman" w:hAnsi="Times New Roman" w:eastAsia="宋体" w:cs="Times New Roman"/>
                      <w:b w:val="0"/>
                      <w:bCs w:val="0"/>
                      <w:color w:val="000000" w:themeColor="text1"/>
                      <w:spacing w:val="0"/>
                      <w:sz w:val="18"/>
                      <w:szCs w:val="18"/>
                      <w:shd w:val="clear" w:color="auto" w:fill="auto"/>
                      <w14:textFill>
                        <w14:solidFill>
                          <w14:schemeClr w14:val="tx1"/>
                        </w14:solidFill>
                      </w14:textFill>
                    </w:rPr>
                    <w:t>符合</w:t>
                  </w:r>
                </w:p>
              </w:tc>
            </w:tr>
          </w:tbl>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综上所述，本项目的建设符合《新疆维吾尔自治区2025年空气质量持续改善行动实施方案》（新政办发〔2024〕58号）中的相关要求，项目采取的挥发性有机物深度治理措施是该方案鼓励的方向，对区域空气质量改善具有积极意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firstLine="482" w:firstLineChars="200"/>
              <w:jc w:val="both"/>
              <w:textAlignment w:val="auto"/>
              <w:rPr>
                <w:rFonts w:hint="default" w:ascii="Times New Roman" w:hAnsi="Times New Roman" w:cs="Times New Roman"/>
                <w:b/>
                <w:bCs/>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cs="Times New Roman"/>
                <w:b/>
                <w:bCs/>
                <w:color w:val="000000" w:themeColor="text1"/>
                <w:spacing w:val="0"/>
                <w:kern w:val="0"/>
                <w:sz w:val="24"/>
                <w:szCs w:val="24"/>
                <w:shd w:val="clear" w:color="auto" w:fill="auto"/>
                <w:lang w:val="en-US" w:eastAsia="zh-CN" w:bidi="ar"/>
                <w14:textFill>
                  <w14:solidFill>
                    <w14:schemeClr w14:val="tx1"/>
                  </w14:solidFill>
                </w14:textFill>
              </w:rPr>
              <w:t>9、与《新疆生态环境保护“十四五”规划》符合性分析</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新疆生态环境保护“十四五”规划》第三章“坚持创新引领，推动绿色低碳发展”提出，坚持高质量发展与严格环境准入标准相结合，坚持淘汰落后与鼓励先进相结合，引导产业向绿色生产、清洁生产、循环生产转变，加快推进产业转型升级。</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本项目属于《产业结构调整指导目录（2024年本）》鼓励类项目，采用连续缠绕成型工艺，有机废气治理采用“活性炭吸附/脱附+催化燃烧”组合工艺，该技术属于《排污许可证申请与核发技术规范 橡胶和塑料制品工业》（HJ1122-2020）表A.2中的可行技术，体现了清洁生产和循环生产理念，符合规划提出的产业绿色转型要求。同时，规划要求坚决遏制“两高”项目盲目发展，严格落实“三线一单”生态环境分区管控要求。本项目产品为玻璃钢管道，行业类别为C3062玻璃纤维增强塑料制品制造，不属于《自治区“两高”项目管理名录（2024年版）》中“两高”项目范畴。</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规划第五章“加强协同控制，改善大气环境”明确提出实施VOCs排放总量控制，重点推进石化、化工、包装印刷、工业涂装等重点行业VOCs污染防治，加强重点行业精细化管控，全面推进使用低VOCs含量涂料、油墨、胶粘剂、清洗剂等。</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本项目</w:t>
            </w:r>
            <w:r>
              <w:rPr>
                <w:rFonts w:hint="default" w:ascii="Times New Roman" w:hAnsi="Times New Roman"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有机</w:t>
            </w: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废气采用“活性炭吸附/脱附+催化燃烧”装置处理，非甲烷总烃</w:t>
            </w:r>
            <w:r>
              <w:rPr>
                <w:rFonts w:hint="default" w:ascii="Times New Roman" w:hAnsi="Times New Roman"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w:t>
            </w: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苯乙烯排放浓度满足《合成树脂工业污染物排放标准》（GB31572-2015含2024年修改单）表</w:t>
            </w:r>
            <w:r>
              <w:rPr>
                <w:rFonts w:hint="default" w:ascii="Times New Roman" w:hAnsi="Times New Roman"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5中特别排放</w:t>
            </w: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限值要求，VOCs得到有效控制。</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规划第六章“强化‘三水’统筹，提升水生态环境”提出加强工业水循环利用，鼓励高耗水企业废水深度处理回用。本项目生活污水经隔油池预处理后排入园区污水管网，最终进入</w:t>
            </w:r>
            <w:r>
              <w:rPr>
                <w:rFonts w:hint="default" w:ascii="Times New Roman" w:hAnsi="Times New Roman"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尉犁县</w:t>
            </w: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污水处理厂处理，符合节水减污的要求。规划第十章“强化风险防控，严守生态环境底线”提出加强固体废物源头减量和资源化利用，最大限度减少填埋量。本项目</w:t>
            </w:r>
            <w:r>
              <w:rPr>
                <w:rFonts w:hint="eastAsia"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一般工业固废</w:t>
            </w:r>
            <w:r>
              <w:rPr>
                <w:rFonts w:hint="default" w:ascii="Times New Roman" w:hAnsi="Times New Roman" w:eastAsia="宋体" w:cs="Times New Roman"/>
                <w:b w:val="0"/>
                <w:bCs w:val="0"/>
                <w:color w:val="000000" w:themeColor="text1"/>
                <w:spacing w:val="0"/>
                <w:kern w:val="0"/>
                <w:sz w:val="24"/>
                <w:szCs w:val="24"/>
                <w:highlight w:val="none"/>
                <w:shd w:val="clear" w:color="auto" w:fill="auto"/>
                <w:lang w:val="en-US" w:eastAsia="zh-CN" w:bidi="ar"/>
                <w14:textFill>
                  <w14:solidFill>
                    <w14:schemeClr w14:val="tx1"/>
                  </w14:solidFill>
                </w14:textFill>
              </w:rPr>
              <w:t>分类收集后外售综合利用，危险废物委托有资质单位处置，体现了固体废物减量化、资源化的要求。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right="0" w:rightChars="0" w:firstLine="482" w:firstLineChars="200"/>
              <w:jc w:val="both"/>
              <w:textAlignment w:val="auto"/>
              <w:rPr>
                <w:rFonts w:hint="default" w:ascii="Times New Roman" w:hAnsi="Times New Roman" w:cs="Times New Roman"/>
                <w:b/>
                <w:bCs/>
                <w:color w:val="000000" w:themeColor="text1"/>
                <w:spacing w:val="0"/>
                <w:kern w:val="0"/>
                <w:sz w:val="24"/>
                <w:szCs w:val="24"/>
                <w:shd w:val="clear" w:color="auto" w:fill="auto"/>
                <w:lang w:val="en-US" w:eastAsia="zh-CN" w:bidi="ar"/>
                <w14:textFill>
                  <w14:solidFill>
                    <w14:schemeClr w14:val="tx1"/>
                  </w14:solidFill>
                </w14:textFill>
              </w:rPr>
            </w:pPr>
            <w:r>
              <w:rPr>
                <w:rFonts w:hint="default" w:ascii="Times New Roman" w:hAnsi="Times New Roman" w:cs="Times New Roman"/>
                <w:b/>
                <w:bCs/>
                <w:color w:val="000000" w:themeColor="text1"/>
                <w:spacing w:val="0"/>
                <w:kern w:val="0"/>
                <w:sz w:val="24"/>
                <w:szCs w:val="24"/>
                <w:shd w:val="clear" w:color="auto" w:fill="auto"/>
                <w:lang w:val="en-US" w:eastAsia="zh-CN" w:bidi="ar"/>
                <w14:textFill>
                  <w14:solidFill>
                    <w14:schemeClr w14:val="tx1"/>
                  </w14:solidFill>
                </w14:textFill>
              </w:rPr>
              <w:t>10、与《巴音郭楞蒙古自治州生态环境保护“十四五”规划》符合性分析</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巴音郭楞蒙古自治州生态环境保护“十四五”规划》第三章“坚持创新引领，推动绿色低碳发展”提出，坚决遏制“两高”项目盲目发展，落实“三线一单”生态环境分区管控要求，守住生态保护红线、环境质量底线和自然资源利用上线，实施统一的生态环境准入清单管控。</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本项目位于尉犁工业园区重点管控单元（ZH65282320005），从空间布局约束、污染物排放管控、环境风险防控、资源开发利用要求等方面进行对照分析，本项目均满足该管控单元的准入要求，符合规划对工业园区项目准入的管控要求。</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规划同时提出推动重点行业绿色转型，大力推进企业清洁生产技术提标改造，积极引导水泥、钢铁、石化等重点行业全面实施能效提升、清洁生产、强化治污、循环利用等专项技术提标改造，提升行业清洁生产水平。</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本项目有机废气治理采用可行技术。</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规划第五章“强化大气联防联治，持续改善空气质量”提出，加强重点行业VOCs协同控制，切实推进重点行业VOCs污染治理，重点推进石化、化工、包装印刷、工业涂装等重点行业VOCs污染防治，持续削减重点企业VOCs排放量。</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pPr>
            <w:r>
              <w:rPr>
                <w:rFonts w:hint="default" w:ascii="Times New Roman" w:hAnsi="Times New Roman" w:cs="Times New Roman"/>
                <w:color w:val="000000" w:themeColor="text1"/>
                <w:spacing w:val="0"/>
                <w:sz w:val="24"/>
                <w:shd w:val="clear" w:color="auto" w:fill="auto"/>
                <w:lang w:val="en-US" w:eastAsia="zh-CN"/>
                <w14:textFill>
                  <w14:solidFill>
                    <w14:schemeClr w14:val="tx1"/>
                  </w14:solidFill>
                </w14:textFill>
              </w:rPr>
              <w:t>本项目VOCs有组织排放浓度满足排放标准要求，高效治理技术确保VOCs排放得到有效削减。</w:t>
            </w: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p>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rPr>
                <w:rFonts w:hint="default" w:ascii="Times New Roman" w:hAnsi="Times New Roman" w:eastAsia="宋体" w:cs="Times New Roman"/>
                <w:b w:val="0"/>
                <w:bCs w:val="0"/>
                <w:color w:val="000000" w:themeColor="text1"/>
                <w:spacing w:val="0"/>
                <w:kern w:val="0"/>
                <w:sz w:val="24"/>
                <w:szCs w:val="24"/>
                <w:shd w:val="clear" w:color="auto" w:fill="auto"/>
                <w:lang w:val="en-US" w:eastAsia="zh-CN" w:bidi="ar"/>
                <w14:textFill>
                  <w14:solidFill>
                    <w14:schemeClr w14:val="tx1"/>
                  </w14:solidFill>
                </w14:textFill>
              </w:rPr>
            </w:pPr>
          </w:p>
        </w:tc>
      </w:tr>
    </w:tbl>
    <w:p>
      <w:pPr>
        <w:spacing w:line="360" w:lineRule="auto"/>
        <w:outlineLvl w:val="0"/>
        <w:rPr>
          <w:rFonts w:hint="default" w:ascii="Times New Roman" w:hAnsi="Times New Roman" w:eastAsia="黑体" w:cs="Times New Roman"/>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numberInDash" w:start="1"/>
          <w:cols w:space="720" w:num="1"/>
          <w:docGrid w:linePitch="312" w:charSpace="0"/>
        </w:sectPr>
      </w:pPr>
    </w:p>
    <w:p>
      <w:pPr>
        <w:pStyle w:val="32"/>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二、建设项目工程分析</w:t>
      </w:r>
    </w:p>
    <w:tbl>
      <w:tblPr>
        <w:tblStyle w:val="3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80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pPr>
              <w:pStyle w:val="32"/>
              <w:adjustRightInd w:val="0"/>
              <w:snapToGrid w:val="0"/>
              <w:spacing w:before="0" w:beforeAutospacing="0" w:after="0" w:afterAutospacing="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4"/>
              </w:rPr>
              <w:t>建设内容</w:t>
            </w:r>
          </w:p>
        </w:tc>
        <w:tc>
          <w:tcPr>
            <w:tcW w:w="0" w:type="auto"/>
            <w:noWrap/>
          </w:tcPr>
          <w:p>
            <w:pPr>
              <w:keepNext/>
              <w:keepLines/>
              <w:pageBreakBefore w:val="0"/>
              <w:widowControl w:val="0"/>
              <w:kinsoku/>
              <w:wordWrap/>
              <w:overflowPunct/>
              <w:topLinePunct w:val="0"/>
              <w:autoSpaceDE/>
              <w:autoSpaceDN/>
              <w:bidi w:val="0"/>
              <w:adjustRightInd/>
              <w:snapToGrid/>
              <w:spacing w:before="0" w:after="0" w:line="360" w:lineRule="auto"/>
              <w:ind w:left="0" w:firstLine="480" w:firstLineChars="200"/>
              <w:jc w:val="both"/>
              <w:textAlignment w:val="auto"/>
              <w:outlineLvl w:val="9"/>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1</w:t>
            </w:r>
            <w:r>
              <w:rPr>
                <w:rFonts w:hint="default" w:ascii="Times New Roman" w:hAnsi="Times New Roman" w:eastAsia="宋体" w:cs="Times New Roman"/>
                <w:b/>
                <w:bCs/>
                <w:color w:val="auto"/>
                <w:spacing w:val="0"/>
                <w:kern w:val="0"/>
                <w:sz w:val="24"/>
                <w:szCs w:val="24"/>
                <w:lang w:val="en-US" w:eastAsia="zh-CN"/>
              </w:rPr>
              <w:t>、</w:t>
            </w:r>
            <w:r>
              <w:rPr>
                <w:rFonts w:hint="default" w:ascii="Times New Roman" w:hAnsi="Times New Roman" w:cs="Times New Roman"/>
                <w:b/>
                <w:bCs/>
                <w:color w:val="auto"/>
                <w:spacing w:val="0"/>
                <w:kern w:val="0"/>
                <w:sz w:val="24"/>
                <w:szCs w:val="24"/>
                <w:lang w:val="en-US" w:eastAsia="zh-CN"/>
              </w:rPr>
              <w:t>项目背景</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巴州中意新材料有限公司（</w:t>
            </w:r>
            <w:r>
              <w:rPr>
                <w:rFonts w:hint="eastAsia" w:cs="Times New Roman"/>
                <w:color w:val="auto"/>
                <w:kern w:val="0"/>
                <w:sz w:val="24"/>
                <w:lang w:val="en-US" w:eastAsia="zh-CN"/>
              </w:rPr>
              <w:t>2023年11月23日</w:t>
            </w:r>
            <w:r>
              <w:rPr>
                <w:rFonts w:hint="default" w:ascii="Times New Roman" w:hAnsi="Times New Roman" w:eastAsia="宋体" w:cs="Times New Roman"/>
                <w:color w:val="auto"/>
                <w:kern w:val="0"/>
                <w:sz w:val="24"/>
                <w:lang w:val="en-US" w:eastAsia="zh-CN"/>
              </w:rPr>
              <w:t>更名为“新疆中意新材料有限公司”）成立于2020年，是一家以玻璃纤维增强塑料制品制造为主导的专业复合材料生产企业。公司位于新疆巴音郭楞蒙古自治州尉犁工业园区主园区，地理位置优越，交通便利。公司自成立以来，始终致力于高性能复合材料管道及制品的研发、生产和销售，产品广泛应用于市政给排水、水利灌溉、化工、电力等领域。</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cs="Times New Roman"/>
                <w:color w:val="auto"/>
                <w:kern w:val="0"/>
                <w:sz w:val="24"/>
                <w:lang w:val="en-US" w:eastAsia="zh-CN"/>
              </w:rPr>
              <w:t>（1）</w:t>
            </w:r>
            <w:r>
              <w:rPr>
                <w:rFonts w:hint="default" w:ascii="Times New Roman" w:hAnsi="Times New Roman" w:eastAsia="宋体" w:cs="Times New Roman"/>
                <w:color w:val="auto"/>
                <w:kern w:val="0"/>
                <w:sz w:val="24"/>
                <w:lang w:val="en-US" w:eastAsia="zh-CN"/>
              </w:rPr>
              <w:t>一期工程概况</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2021年1月7日，巴州中意新材料有限公司取得巴州生态环境局出具的《关于巴州中意新材料有限公司新材料生产线项目环境影响报告表的批复》（巴环评价函〔2021〕8号），批准建设“巴州中意新材料有限公司新材料生产线项目”。项目位于尉犁县东环路以西、创业路以东、敬业路以南，占地48851.85m</w:t>
            </w:r>
            <w:r>
              <w:rPr>
                <w:rFonts w:hint="default" w:ascii="Times New Roman" w:hAnsi="Times New Roman" w:eastAsia="宋体" w:cs="Times New Roman"/>
                <w:color w:val="auto"/>
                <w:kern w:val="0"/>
                <w:sz w:val="24"/>
                <w:vertAlign w:val="superscript"/>
                <w:lang w:val="en-US" w:eastAsia="zh-CN"/>
              </w:rPr>
              <w:t>2</w:t>
            </w:r>
            <w:r>
              <w:rPr>
                <w:rFonts w:hint="default" w:ascii="Times New Roman" w:hAnsi="Times New Roman" w:eastAsia="宋体" w:cs="Times New Roman"/>
                <w:color w:val="auto"/>
                <w:kern w:val="0"/>
                <w:sz w:val="24"/>
                <w:lang w:val="en-US" w:eastAsia="zh-CN"/>
              </w:rPr>
              <w:t>，总投资8000万元，其中环保投资200万元。一期工程新建1号厂房（6048.13m</w:t>
            </w:r>
            <w:r>
              <w:rPr>
                <w:rFonts w:hint="default" w:ascii="Times New Roman" w:hAnsi="Times New Roman" w:eastAsia="宋体" w:cs="Times New Roman"/>
                <w:color w:val="auto"/>
                <w:kern w:val="0"/>
                <w:sz w:val="24"/>
                <w:vertAlign w:val="superscript"/>
                <w:lang w:val="en-US" w:eastAsia="zh-CN"/>
              </w:rPr>
              <w:t>2</w:t>
            </w:r>
            <w:r>
              <w:rPr>
                <w:rFonts w:hint="default" w:ascii="Times New Roman" w:hAnsi="Times New Roman" w:eastAsia="宋体" w:cs="Times New Roman"/>
                <w:color w:val="auto"/>
                <w:kern w:val="0"/>
                <w:sz w:val="24"/>
                <w:lang w:val="en-US" w:eastAsia="zh-CN"/>
              </w:rPr>
              <w:t>），布置2条玻璃钢夹砂管道生产线、1条玻璃钢储罐生产线（环评批复中另规划2条SMC模压生产线，实际未建设），设计产能为年产1000吨玻璃钢夹砂管道、400吨玻璃钢储罐。一期工程于2021年10月开工建设，2022年5月建成，2022年6月投入试运行。</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2022年8月，新疆中意新材料有限公司组织完成了《巴州中意新材料有限公司新材料生产线项目（一期）竣工环境保护验收》，验收结论为：项目执行了环境影响评价和环保“三同时”管理制度，落实了环评报告表提出的环保措施及批复要求，废气、噪声能够达标排放，固废和废水得到妥善处理，符合竣工环境保护验收条件，同意通过竣工环保验收。</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一期工程投产后，2条玻璃钢夹砂管道生产线运行稳定，产品质量优良，市场反响良好。但由于一期设计产能有限，在市场旺盛需求下已处于满负荷生产状态，产能瓶颈日益凸显。</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i w:val="0"/>
                <w:iCs w:val="0"/>
                <w:caps w:val="0"/>
                <w:color w:val="0F1115"/>
                <w:spacing w:val="0"/>
                <w:sz w:val="24"/>
                <w:szCs w:val="24"/>
                <w:shd w:val="clear" w:fill="FFFFFF"/>
                <w:lang w:val="en-US" w:eastAsia="zh-CN"/>
              </w:rPr>
              <w:t>一期</w:t>
            </w:r>
            <w:r>
              <w:rPr>
                <w:rFonts w:hint="default" w:ascii="Times New Roman" w:hAnsi="Times New Roman" w:eastAsia="Segoe UI" w:cs="Times New Roman"/>
                <w:i w:val="0"/>
                <w:iCs w:val="0"/>
                <w:caps w:val="0"/>
                <w:color w:val="0F1115"/>
                <w:spacing w:val="0"/>
                <w:sz w:val="24"/>
                <w:szCs w:val="24"/>
                <w:shd w:val="clear" w:fill="FFFFFF"/>
              </w:rPr>
              <w:t>未建内容</w:t>
            </w:r>
            <w:r>
              <w:rPr>
                <w:rFonts w:hint="eastAsia" w:eastAsia="宋体" w:cs="Times New Roman"/>
                <w:i w:val="0"/>
                <w:iCs w:val="0"/>
                <w:caps w:val="0"/>
                <w:color w:val="0F1115"/>
                <w:spacing w:val="0"/>
                <w:sz w:val="24"/>
                <w:szCs w:val="24"/>
                <w:shd w:val="clear" w:fill="FFFFFF"/>
                <w:lang w:val="en-US" w:eastAsia="zh-CN"/>
              </w:rPr>
              <w:t>中的</w:t>
            </w:r>
            <w:r>
              <w:rPr>
                <w:rFonts w:hint="default" w:ascii="Times New Roman" w:hAnsi="Times New Roman" w:eastAsia="Segoe UI" w:cs="Times New Roman"/>
                <w:i w:val="0"/>
                <w:iCs w:val="0"/>
                <w:caps w:val="0"/>
                <w:color w:val="0F1115"/>
                <w:spacing w:val="0"/>
                <w:sz w:val="24"/>
                <w:szCs w:val="24"/>
                <w:shd w:val="clear" w:fill="FFFFFF"/>
              </w:rPr>
              <w:t>2条SMC模压生产线及二期2#厂房热塑性复合材料托盘生产</w:t>
            </w:r>
            <w:r>
              <w:rPr>
                <w:rFonts w:hint="eastAsia" w:eastAsia="宋体" w:cs="Times New Roman"/>
                <w:i w:val="0"/>
                <w:iCs w:val="0"/>
                <w:caps w:val="0"/>
                <w:color w:val="0F1115"/>
                <w:spacing w:val="0"/>
                <w:sz w:val="24"/>
                <w:szCs w:val="24"/>
                <w:shd w:val="clear" w:fill="FFFFFF"/>
                <w:lang w:eastAsia="zh-CN"/>
              </w:rPr>
              <w:t>，</w:t>
            </w:r>
            <w:r>
              <w:rPr>
                <w:rFonts w:hint="default" w:ascii="Times New Roman" w:hAnsi="Times New Roman" w:eastAsia="Segoe UI" w:cs="Times New Roman"/>
                <w:i w:val="0"/>
                <w:iCs w:val="0"/>
                <w:caps w:val="0"/>
                <w:color w:val="0F1115"/>
                <w:spacing w:val="0"/>
                <w:sz w:val="24"/>
                <w:szCs w:val="24"/>
                <w:shd w:val="clear" w:fill="FFFFFF"/>
              </w:rPr>
              <w:t>企业承诺不再建设，本次扩建完成后全厂产能以本次环评为准</w:t>
            </w:r>
            <w:r>
              <w:rPr>
                <w:rFonts w:hint="default" w:ascii="Times New Roman" w:hAnsi="Times New Roman" w:eastAsia="宋体" w:cs="Times New Roman"/>
                <w:i w:val="0"/>
                <w:iCs w:val="0"/>
                <w:caps w:val="0"/>
                <w:color w:val="0F1115"/>
                <w:spacing w:val="0"/>
                <w:sz w:val="24"/>
                <w:szCs w:val="24"/>
                <w:shd w:val="clear" w:fill="FFFFFF"/>
                <w:lang w:eastAsia="zh-CN"/>
              </w:rPr>
              <w:t>。</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cs="Times New Roman"/>
                <w:color w:val="auto"/>
                <w:kern w:val="0"/>
                <w:sz w:val="24"/>
                <w:lang w:val="en-US" w:eastAsia="zh-CN"/>
              </w:rPr>
              <w:t>（2）</w:t>
            </w:r>
            <w:r>
              <w:rPr>
                <w:rFonts w:hint="default" w:ascii="Times New Roman" w:hAnsi="Times New Roman" w:eastAsia="宋体" w:cs="Times New Roman"/>
                <w:color w:val="auto"/>
                <w:kern w:val="0"/>
                <w:sz w:val="24"/>
                <w:lang w:val="en-US" w:eastAsia="zh-CN"/>
              </w:rPr>
              <w:t>二期工程（本次扩建）由来</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为突破产能制约，延伸产品链条，增强企业综合竞争力，新疆中意新材料有限公司决定在一期工程基础上实施二期扩建。本次扩建主要建设内容为：</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1）新建2#厂房：在厂区北部一期1#厂房东侧新建2#厂房一座，建筑面积7055.94m2，用于新增塑料管材生产线（PE管、PVC管、HDPE双壁波纹管）及玻璃钢夹砂管生产线的布设；</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2）</w:t>
            </w:r>
            <w:r>
              <w:rPr>
                <w:rFonts w:hint="default" w:ascii="Times New Roman" w:hAnsi="Times New Roman" w:cs="Times New Roman"/>
                <w:color w:val="auto"/>
                <w:kern w:val="0"/>
                <w:sz w:val="24"/>
                <w:lang w:val="en-US" w:eastAsia="zh-CN"/>
              </w:rPr>
              <w:t>在新建的2#厂房内</w:t>
            </w:r>
            <w:r>
              <w:rPr>
                <w:rFonts w:hint="default" w:ascii="Times New Roman" w:hAnsi="Times New Roman" w:eastAsia="宋体" w:cs="Times New Roman"/>
                <w:color w:val="auto"/>
                <w:kern w:val="0"/>
                <w:sz w:val="24"/>
                <w:lang w:val="en-US" w:eastAsia="zh-CN"/>
              </w:rPr>
              <w:t>新增玻璃钢管</w:t>
            </w:r>
            <w:r>
              <w:rPr>
                <w:rFonts w:hint="default" w:ascii="Times New Roman" w:hAnsi="Times New Roman" w:cs="Times New Roman"/>
                <w:color w:val="auto"/>
                <w:kern w:val="0"/>
                <w:sz w:val="24"/>
                <w:lang w:val="en-US" w:eastAsia="zh-CN"/>
              </w:rPr>
              <w:t>生产线，</w:t>
            </w:r>
            <w:r>
              <w:rPr>
                <w:rFonts w:hint="default" w:ascii="Times New Roman" w:hAnsi="Times New Roman" w:eastAsia="宋体" w:cs="Times New Roman"/>
                <w:color w:val="auto"/>
                <w:kern w:val="0"/>
                <w:sz w:val="24"/>
                <w:lang w:val="en-US" w:eastAsia="zh-CN"/>
              </w:rPr>
              <w:t>玻璃钢管产能</w:t>
            </w:r>
            <w:r>
              <w:rPr>
                <w:rFonts w:hint="default" w:ascii="Times New Roman" w:hAnsi="Times New Roman" w:cs="Times New Roman"/>
                <w:color w:val="auto"/>
                <w:kern w:val="0"/>
                <w:sz w:val="24"/>
                <w:lang w:val="en-US" w:eastAsia="zh-CN"/>
              </w:rPr>
              <w:t>增加</w:t>
            </w:r>
            <w:r>
              <w:rPr>
                <w:rFonts w:hint="default" w:ascii="Times New Roman" w:hAnsi="Times New Roman" w:eastAsia="宋体" w:cs="Times New Roman"/>
                <w:color w:val="auto"/>
                <w:kern w:val="0"/>
                <w:sz w:val="24"/>
                <w:lang w:val="en-US" w:eastAsia="zh-CN"/>
              </w:rPr>
              <w:t>10000t/a；</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3）完善配套辅助设施：依托一期已建成的办公楼、食堂、宿舍、供水、供电、排水等公用辅助设施。</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本次扩建完成后，全厂将形成年产连续缠绕玻璃钢管1</w:t>
            </w:r>
            <w:r>
              <w:rPr>
                <w:rFonts w:hint="default" w:ascii="Times New Roman" w:hAnsi="Times New Roman" w:cs="Times New Roman"/>
                <w:color w:val="auto"/>
                <w:kern w:val="0"/>
                <w:sz w:val="24"/>
                <w:lang w:val="en-US" w:eastAsia="zh-CN"/>
              </w:rPr>
              <w:t>1</w:t>
            </w:r>
            <w:r>
              <w:rPr>
                <w:rFonts w:hint="default" w:ascii="Times New Roman" w:hAnsi="Times New Roman" w:eastAsia="宋体" w:cs="Times New Roman"/>
                <w:color w:val="auto"/>
                <w:kern w:val="0"/>
                <w:sz w:val="24"/>
                <w:lang w:val="en-US" w:eastAsia="zh-CN"/>
              </w:rPr>
              <w:t>000吨、PE管1500吨、PVC管1500吨、HDPE双壁波纹管2000吨的生产能力。</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cs="Times New Roman"/>
                <w:color w:val="auto"/>
                <w:kern w:val="0"/>
                <w:sz w:val="24"/>
                <w:lang w:val="en-US" w:eastAsia="zh-CN"/>
              </w:rPr>
              <w:t>（3）</w:t>
            </w:r>
            <w:r>
              <w:rPr>
                <w:rFonts w:hint="default" w:ascii="Times New Roman" w:hAnsi="Times New Roman" w:eastAsia="宋体" w:cs="Times New Roman"/>
                <w:color w:val="auto"/>
                <w:kern w:val="0"/>
                <w:sz w:val="24"/>
                <w:lang w:val="en-US" w:eastAsia="zh-CN"/>
              </w:rPr>
              <w:t>环评手续办理情况</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根据《中华人民共和国环境影响评价法》《建设项目环境保护管理条例》及《建设项目环境影响评价分类管理名录（2021年版）》的规定，本项目属于“二十七、非金属矿物制品业”中的“玻璃纤维和玻璃纤维增强塑料制品制造306”及“塑料板、管、型材制造2922”，应编制环境影响报告表。受新疆中意新材料有限公司委托，我单位承担了本次扩建项目的环境影响评价工作，编制完成了《</w:t>
            </w:r>
            <w:r>
              <w:rPr>
                <w:rFonts w:hint="eastAsia" w:ascii="Times New Roman" w:hAnsi="Times New Roman" w:cs="Times New Roman"/>
                <w:color w:val="auto"/>
                <w:kern w:val="0"/>
                <w:sz w:val="24"/>
                <w:lang w:val="en-US" w:eastAsia="zh-CN"/>
              </w:rPr>
              <w:t>巴州中意新材料有限公司新材料生产线项目2号厂房项目</w:t>
            </w:r>
            <w:r>
              <w:rPr>
                <w:rFonts w:hint="default" w:ascii="Times New Roman" w:hAnsi="Times New Roman" w:eastAsia="宋体" w:cs="Times New Roman"/>
                <w:color w:val="auto"/>
                <w:kern w:val="0"/>
                <w:sz w:val="24"/>
                <w:lang w:val="en-US" w:eastAsia="zh-CN"/>
              </w:rPr>
              <w:t>环境影响报告表》，报请生态环境主管部门审批。</w:t>
            </w:r>
          </w:p>
          <w:p>
            <w:pPr>
              <w:pStyle w:val="7"/>
              <w:adjustRightInd w:val="0"/>
              <w:snapToGrid w:val="0"/>
              <w:spacing w:before="0" w:after="0"/>
              <w:ind w:left="0" w:firstLine="482" w:firstLineChars="200"/>
              <w:rPr>
                <w:rFonts w:hint="default" w:ascii="Times New Roman" w:hAnsi="Times New Roman" w:eastAsia="宋体" w:cs="Times New Roman"/>
                <w:color w:val="auto"/>
                <w:spacing w:val="0"/>
                <w:kern w:val="0"/>
                <w:sz w:val="24"/>
                <w:szCs w:val="24"/>
              </w:rPr>
            </w:pPr>
            <w:r>
              <w:rPr>
                <w:rFonts w:hint="default" w:ascii="Times New Roman" w:hAnsi="Times New Roman" w:eastAsia="宋体" w:cs="Times New Roman"/>
                <w:color w:val="auto"/>
                <w:spacing w:val="0"/>
                <w:kern w:val="0"/>
                <w:sz w:val="24"/>
                <w:szCs w:val="24"/>
                <w:lang w:val="en-US" w:eastAsia="zh-CN"/>
              </w:rPr>
              <w:t>2</w:t>
            </w:r>
            <w:r>
              <w:rPr>
                <w:rFonts w:hint="default" w:ascii="Times New Roman" w:hAnsi="Times New Roman" w:eastAsia="宋体" w:cs="Times New Roman"/>
                <w:color w:val="auto"/>
                <w:spacing w:val="0"/>
                <w:kern w:val="0"/>
                <w:sz w:val="24"/>
                <w:szCs w:val="24"/>
              </w:rPr>
              <w:t>、</w:t>
            </w:r>
            <w:r>
              <w:rPr>
                <w:rFonts w:hint="default" w:ascii="Times New Roman" w:hAnsi="Times New Roman" w:eastAsia="宋体" w:cs="Times New Roman"/>
                <w:color w:val="auto"/>
                <w:spacing w:val="0"/>
                <w:kern w:val="0"/>
                <w:sz w:val="24"/>
                <w:szCs w:val="24"/>
                <w:lang w:val="en-US" w:eastAsia="zh-CN"/>
              </w:rPr>
              <w:t>建设内容及建设规模</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本项目为扩建项目，在厂区现有空地新建2#厂房，新增建筑面积7055.94</w:t>
            </w:r>
            <w:r>
              <w:rPr>
                <w:rFonts w:hint="default" w:ascii="Times New Roman" w:hAnsi="Times New Roman" w:cs="Times New Roman"/>
                <w:color w:val="auto"/>
                <w:kern w:val="0"/>
                <w:sz w:val="24"/>
                <w:lang w:val="en-US" w:eastAsia="zh-CN"/>
              </w:rPr>
              <w:t>m</w:t>
            </w:r>
            <w:r>
              <w:rPr>
                <w:rFonts w:hint="default" w:ascii="Times New Roman" w:hAnsi="Times New Roman" w:cs="Times New Roman"/>
                <w:color w:val="auto"/>
                <w:kern w:val="0"/>
                <w:sz w:val="24"/>
                <w:vertAlign w:val="superscript"/>
                <w:lang w:val="en-US" w:eastAsia="zh-CN"/>
              </w:rPr>
              <w:t>2</w:t>
            </w:r>
            <w:r>
              <w:rPr>
                <w:rFonts w:hint="default" w:ascii="Times New Roman" w:hAnsi="Times New Roman" w:eastAsia="宋体" w:cs="Times New Roman"/>
                <w:color w:val="auto"/>
                <w:kern w:val="0"/>
                <w:sz w:val="24"/>
                <w:lang w:val="en-US" w:eastAsia="zh-CN"/>
              </w:rPr>
              <w:t>，依托一期已建成的办公楼、食堂、宿舍、供水、供电、排水等公用辅助设施。</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本期扩建</w:t>
            </w:r>
            <w:r>
              <w:rPr>
                <w:rFonts w:hint="default" w:ascii="Times New Roman" w:hAnsi="Times New Roman" w:eastAsia="宋体" w:cs="Times New Roman"/>
                <w:color w:val="auto"/>
                <w:kern w:val="0"/>
                <w:sz w:val="24"/>
                <w:lang w:val="en-US" w:eastAsia="zh-CN"/>
              </w:rPr>
              <w:t>连续缠绕玻璃钢管道生产线</w:t>
            </w:r>
            <w:r>
              <w:rPr>
                <w:rFonts w:hint="eastAsia" w:ascii="Times New Roman" w:hAnsi="Times New Roman" w:eastAsia="宋体" w:cs="Times New Roman"/>
                <w:color w:val="auto"/>
                <w:kern w:val="0"/>
                <w:sz w:val="24"/>
                <w:lang w:val="en-US" w:eastAsia="zh-CN"/>
              </w:rPr>
              <w:t>1条</w:t>
            </w:r>
            <w:r>
              <w:rPr>
                <w:rFonts w:hint="default" w:ascii="Times New Roman" w:hAnsi="Times New Roman" w:eastAsia="宋体" w:cs="Times New Roman"/>
                <w:color w:val="auto"/>
                <w:kern w:val="0"/>
                <w:sz w:val="24"/>
                <w:lang w:val="en-US" w:eastAsia="zh-CN"/>
              </w:rPr>
              <w:t>、PE管生产线</w:t>
            </w:r>
            <w:r>
              <w:rPr>
                <w:rFonts w:hint="eastAsia" w:ascii="Times New Roman" w:hAnsi="Times New Roman" w:eastAsia="宋体" w:cs="Times New Roman"/>
                <w:color w:val="auto"/>
                <w:kern w:val="0"/>
                <w:sz w:val="24"/>
                <w:lang w:val="en-US" w:eastAsia="zh-CN"/>
              </w:rPr>
              <w:t>1条</w:t>
            </w:r>
            <w:r>
              <w:rPr>
                <w:rFonts w:hint="default" w:ascii="Times New Roman" w:hAnsi="Times New Roman" w:eastAsia="宋体" w:cs="Times New Roman"/>
                <w:color w:val="auto"/>
                <w:kern w:val="0"/>
                <w:sz w:val="24"/>
                <w:lang w:val="en-US" w:eastAsia="zh-CN"/>
              </w:rPr>
              <w:t>、PVC管生产线</w:t>
            </w:r>
            <w:r>
              <w:rPr>
                <w:rFonts w:hint="eastAsia" w:ascii="Times New Roman" w:hAnsi="Times New Roman" w:eastAsia="宋体" w:cs="Times New Roman"/>
                <w:color w:val="auto"/>
                <w:kern w:val="0"/>
                <w:sz w:val="24"/>
                <w:lang w:val="en-US" w:eastAsia="zh-CN"/>
              </w:rPr>
              <w:t>1条</w:t>
            </w:r>
            <w:r>
              <w:rPr>
                <w:rFonts w:hint="default" w:ascii="Times New Roman" w:hAnsi="Times New Roman" w:eastAsia="宋体" w:cs="Times New Roman"/>
                <w:color w:val="auto"/>
                <w:kern w:val="0"/>
                <w:sz w:val="24"/>
                <w:lang w:val="en-US" w:eastAsia="zh-CN"/>
              </w:rPr>
              <w:t>、HDPE双壁波纹管生产线</w:t>
            </w:r>
            <w:r>
              <w:rPr>
                <w:rFonts w:hint="eastAsia" w:ascii="Times New Roman" w:hAnsi="Times New Roman" w:eastAsia="宋体" w:cs="Times New Roman"/>
                <w:color w:val="auto"/>
                <w:kern w:val="0"/>
                <w:sz w:val="24"/>
                <w:lang w:val="en-US" w:eastAsia="zh-CN"/>
              </w:rPr>
              <w:t>1条</w:t>
            </w:r>
            <w:r>
              <w:rPr>
                <w:rFonts w:hint="default" w:ascii="Times New Roman" w:hAnsi="Times New Roman" w:eastAsia="宋体" w:cs="Times New Roman"/>
                <w:color w:val="auto"/>
                <w:kern w:val="0"/>
                <w:sz w:val="24"/>
                <w:lang w:val="en-US" w:eastAsia="zh-CN"/>
              </w:rPr>
              <w:t>。</w:t>
            </w:r>
            <w:r>
              <w:rPr>
                <w:rFonts w:hint="eastAsia" w:cs="Times New Roman"/>
                <w:color w:val="auto"/>
                <w:kern w:val="0"/>
                <w:sz w:val="24"/>
                <w:lang w:val="en-US" w:eastAsia="zh-CN"/>
              </w:rPr>
              <w:t>设计新增产能：玻璃钢管道</w:t>
            </w:r>
            <w:r>
              <w:rPr>
                <w:rFonts w:hint="eastAsia" w:ascii="Times New Roman" w:hAnsi="Times New Roman" w:eastAsia="宋体" w:cs="Times New Roman"/>
                <w:color w:val="auto"/>
                <w:kern w:val="0"/>
                <w:sz w:val="24"/>
                <w:lang w:val="en-US" w:eastAsia="zh-CN"/>
              </w:rPr>
              <w:t>10000t/a、</w:t>
            </w:r>
            <w:r>
              <w:rPr>
                <w:rFonts w:hint="default" w:ascii="Times New Roman" w:hAnsi="Times New Roman" w:eastAsia="宋体" w:cs="Times New Roman"/>
                <w:color w:val="auto"/>
                <w:kern w:val="0"/>
                <w:sz w:val="24"/>
                <w:lang w:val="en-US" w:eastAsia="zh-CN"/>
              </w:rPr>
              <w:t>PE管</w:t>
            </w:r>
            <w:r>
              <w:rPr>
                <w:rFonts w:hint="eastAsia" w:ascii="Times New Roman" w:hAnsi="Times New Roman" w:eastAsia="宋体" w:cs="Times New Roman"/>
                <w:color w:val="auto"/>
                <w:kern w:val="0"/>
                <w:sz w:val="24"/>
                <w:lang w:val="en-US" w:eastAsia="zh-CN"/>
              </w:rPr>
              <w:t>1500t/a、</w:t>
            </w:r>
            <w:r>
              <w:rPr>
                <w:rFonts w:hint="default" w:ascii="Times New Roman" w:hAnsi="Times New Roman" w:eastAsia="宋体" w:cs="Times New Roman"/>
                <w:color w:val="auto"/>
                <w:kern w:val="0"/>
                <w:sz w:val="24"/>
                <w:lang w:val="en-US" w:eastAsia="zh-CN"/>
              </w:rPr>
              <w:t>PVC管</w:t>
            </w:r>
            <w:r>
              <w:rPr>
                <w:rFonts w:hint="eastAsia" w:ascii="Times New Roman" w:hAnsi="Times New Roman" w:eastAsia="宋体" w:cs="Times New Roman"/>
                <w:color w:val="auto"/>
                <w:kern w:val="0"/>
                <w:sz w:val="24"/>
                <w:lang w:val="en-US" w:eastAsia="zh-CN"/>
              </w:rPr>
              <w:t>1500t/a、</w:t>
            </w:r>
            <w:r>
              <w:rPr>
                <w:rFonts w:hint="default" w:ascii="Times New Roman" w:hAnsi="Times New Roman" w:eastAsia="宋体" w:cs="Times New Roman"/>
                <w:color w:val="auto"/>
                <w:kern w:val="0"/>
                <w:sz w:val="24"/>
                <w:lang w:val="en-US" w:eastAsia="zh-CN"/>
              </w:rPr>
              <w:t>HDPE双壁波纹管</w:t>
            </w:r>
            <w:r>
              <w:rPr>
                <w:rFonts w:hint="eastAsia" w:ascii="Times New Roman" w:hAnsi="Times New Roman" w:eastAsia="宋体" w:cs="Times New Roman"/>
                <w:color w:val="auto"/>
                <w:kern w:val="0"/>
                <w:sz w:val="24"/>
                <w:lang w:val="en-US" w:eastAsia="zh-CN"/>
              </w:rPr>
              <w:t>2000t/a。</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本项目主要建设内容见表2-1。</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t xml:space="preserve">表2-1 </w:t>
            </w: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pacing w:val="0"/>
                <w:sz w:val="21"/>
                <w:szCs w:val="21"/>
                <w:highlight w:val="none"/>
                <w:shd w:val="clear" w:color="auto" w:fill="auto"/>
                <w:lang w:val="en-US" w:eastAsia="zh-CN"/>
                <w14:textFill>
                  <w14:solidFill>
                    <w14:schemeClr w14:val="tx1"/>
                  </w14:solidFill>
                </w14:textFill>
              </w:rPr>
              <w:t xml:space="preserve"> 项目组成及建设内容一览表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704"/>
              <w:gridCol w:w="5716"/>
              <w:gridCol w:w="6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工程类别</w:t>
                  </w: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工程名称</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规格</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主体工程</w:t>
                  </w: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2#生产车间</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建筑面积7055.94</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，钢结构，位于1#厂房东侧，主要布置连续缠绕玻璃钢管道生产线、PE管生产线、PVC管生产线、HDPE双壁波纹管生产线。</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辅助工程</w:t>
                  </w: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办公室</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建筑面积1164.80</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，共2层，位于项目区南侧，一层主要用于员工日常办公及食堂（设2个基准灶头，配套油烟净化器），二层用于员工日常休息室。</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设备间</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地上一层建筑面积66.67</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，主要用于设备存放生产线备用工装具、维修设备、小型辅助设备及备品备件。</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泵房</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地下一层建筑面积242.73</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，主要布置泵房及消防水池。</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门卫室</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一座，砖混结构，23.40</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公用工程</w:t>
                  </w: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给水</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市政给水管网。</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排水</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冷却循环水经冷却塔冷却后循环使用，不外排；</w:t>
                  </w:r>
                  <w:r>
                    <w:rPr>
                      <w:rFonts w:hint="default" w:ascii="Times New Roman" w:hAnsi="Times New Roman" w:cs="Times New Roman"/>
                      <w:b w:val="0"/>
                      <w:bCs w:val="0"/>
                      <w:i w:val="0"/>
                      <w:iCs w:val="0"/>
                      <w:caps w:val="0"/>
                      <w:color w:val="0F1115"/>
                      <w:spacing w:val="0"/>
                      <w:kern w:val="0"/>
                      <w:sz w:val="18"/>
                      <w:szCs w:val="18"/>
                      <w:lang w:val="en-US" w:eastAsia="zh-CN" w:bidi="ar"/>
                    </w:rPr>
                    <w:t>试压废水</w:t>
                  </w:r>
                  <w:r>
                    <w:rPr>
                      <w:rFonts w:hint="default" w:ascii="Times New Roman" w:hAnsi="Times New Roman" w:eastAsia="宋体" w:cs="Times New Roman"/>
                      <w:b w:val="0"/>
                      <w:bCs w:val="0"/>
                      <w:i w:val="0"/>
                      <w:iCs w:val="0"/>
                      <w:caps w:val="0"/>
                      <w:color w:val="0F1115"/>
                      <w:spacing w:val="0"/>
                      <w:kern w:val="0"/>
                      <w:sz w:val="18"/>
                      <w:szCs w:val="18"/>
                      <w:lang w:val="en-US" w:eastAsia="zh-CN" w:bidi="ar"/>
                    </w:rPr>
                    <w:t>经三级沉淀池处理后循环使用于试压工序，定期补充新鲜水，不外排</w:t>
                  </w:r>
                  <w:r>
                    <w:rPr>
                      <w:rFonts w:hint="default" w:ascii="Times New Roman" w:hAnsi="Times New Roman"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b w:val="0"/>
                      <w:bCs w:val="0"/>
                      <w:i w:val="0"/>
                      <w:iCs w:val="0"/>
                      <w:caps w:val="0"/>
                      <w:color w:val="0F1115"/>
                      <w:spacing w:val="0"/>
                      <w:kern w:val="0"/>
                      <w:sz w:val="18"/>
                      <w:szCs w:val="18"/>
                      <w:lang w:val="en-US" w:eastAsia="zh-CN" w:bidi="ar"/>
                    </w:rPr>
                    <w:t>生活污水依托一期隔油池、化粪池处理后，排入市政管网，最终进入尉犁县污水处理厂处理。</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供电</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由国家电网集中供给。</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供热</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生活办公采用空调采暖。</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环保工程</w:t>
                  </w:r>
                </w:p>
              </w:tc>
              <w:tc>
                <w:tcPr>
                  <w:tcW w:w="45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废气</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玻璃钢管道生产线缠绕固化废气经集气罩收集后经活性炭吸附/脱附+催化燃烧设备后通过15m高排气筒排放（DA00</w:t>
                  </w:r>
                  <w:r>
                    <w:rPr>
                      <w:rFonts w:hint="default" w:ascii="Times New Roman" w:hAnsi="Times New Roman" w:cs="Times New Roman"/>
                      <w:b w:val="0"/>
                      <w:bCs w:val="0"/>
                      <w:i w:val="0"/>
                      <w:iCs w:val="0"/>
                      <w:caps w:val="0"/>
                      <w:color w:val="0F1115"/>
                      <w:spacing w:val="0"/>
                      <w:kern w:val="0"/>
                      <w:sz w:val="18"/>
                      <w:szCs w:val="18"/>
                      <w:lang w:val="en-US" w:eastAsia="zh-CN" w:bidi="ar"/>
                    </w:rPr>
                    <w:t>1</w:t>
                  </w: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玻璃钢管道生产线切割修整废气经集气罩收集后送袋式除尘器净化后通过15m高排气筒（DA00</w:t>
                  </w:r>
                  <w:r>
                    <w:rPr>
                      <w:rFonts w:hint="default" w:ascii="Times New Roman" w:hAnsi="Times New Roman" w:cs="Times New Roman"/>
                      <w:b w:val="0"/>
                      <w:bCs w:val="0"/>
                      <w:i w:val="0"/>
                      <w:iCs w:val="0"/>
                      <w:caps w:val="0"/>
                      <w:color w:val="0F1115"/>
                      <w:spacing w:val="0"/>
                      <w:kern w:val="0"/>
                      <w:sz w:val="18"/>
                      <w:szCs w:val="18"/>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）排放。</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PE管生产线、PVC管生产线、HDPE双壁波纹管生产线</w:t>
                  </w:r>
                  <w:r>
                    <w:rPr>
                      <w:rFonts w:hint="default" w:ascii="Times New Roman" w:hAnsi="Times New Roman" w:cs="Times New Roman"/>
                      <w:b w:val="0"/>
                      <w:bCs w:val="0"/>
                      <w:i w:val="0"/>
                      <w:iCs w:val="0"/>
                      <w:caps w:val="0"/>
                      <w:color w:val="0F1115"/>
                      <w:spacing w:val="0"/>
                      <w:kern w:val="0"/>
                      <w:sz w:val="18"/>
                      <w:szCs w:val="18"/>
                      <w:lang w:val="en-US" w:eastAsia="zh-CN" w:bidi="ar"/>
                    </w:rPr>
                    <w:t>挤出过程产生的废气经集气罩收集后</w:t>
                  </w:r>
                  <w:r>
                    <w:rPr>
                      <w:rFonts w:hint="default" w:ascii="Times New Roman" w:hAnsi="Times New Roman" w:eastAsia="宋体" w:cs="Times New Roman"/>
                      <w:b w:val="0"/>
                      <w:bCs w:val="0"/>
                      <w:i w:val="0"/>
                      <w:iCs w:val="0"/>
                      <w:caps w:val="0"/>
                      <w:color w:val="0F1115"/>
                      <w:spacing w:val="0"/>
                      <w:kern w:val="0"/>
                      <w:sz w:val="18"/>
                      <w:szCs w:val="18"/>
                      <w:lang w:val="en-US" w:eastAsia="zh-CN" w:bidi="ar"/>
                    </w:rPr>
                    <w:t>活性炭吸附/脱附+催化燃烧设备后通过15m高排气筒排放（DA00</w:t>
                  </w:r>
                  <w:r>
                    <w:rPr>
                      <w:rFonts w:hint="default" w:ascii="Times New Roman" w:hAnsi="Times New Roman" w:cs="Times New Roman"/>
                      <w:b w:val="0"/>
                      <w:bCs w:val="0"/>
                      <w:i w:val="0"/>
                      <w:iCs w:val="0"/>
                      <w:caps w:val="0"/>
                      <w:color w:val="0F1115"/>
                      <w:spacing w:val="0"/>
                      <w:kern w:val="0"/>
                      <w:sz w:val="18"/>
                      <w:szCs w:val="18"/>
                      <w:lang w:val="en-US" w:eastAsia="zh-CN" w:bidi="ar"/>
                    </w:rPr>
                    <w:t>3</w:t>
                  </w: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PVC管生产线</w:t>
                  </w:r>
                  <w:r>
                    <w:rPr>
                      <w:rFonts w:hint="default" w:ascii="Times New Roman" w:hAnsi="Times New Roman" w:cs="Times New Roman"/>
                      <w:b w:val="0"/>
                      <w:bCs w:val="0"/>
                      <w:i w:val="0"/>
                      <w:iCs w:val="0"/>
                      <w:caps w:val="0"/>
                      <w:color w:val="0F1115"/>
                      <w:spacing w:val="0"/>
                      <w:kern w:val="0"/>
                      <w:sz w:val="18"/>
                      <w:szCs w:val="18"/>
                      <w:lang w:val="en-US" w:eastAsia="zh-CN" w:bidi="ar"/>
                    </w:rPr>
                    <w:t>混料过程产生的废气经收集后进入布袋除尘器进行处理，处理后的废气通过15m搞排气筒排放（DA004）</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废水</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生活污水依托一期隔油池、化粪池处理后，排入市政管网，最终进入尉犁县污水处理厂集中处理。</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cs="Times New Roman"/>
                      <w:b w:val="0"/>
                      <w:bCs w:val="0"/>
                      <w:i w:val="0"/>
                      <w:iCs w:val="0"/>
                      <w:caps w:val="0"/>
                      <w:color w:val="0F1115"/>
                      <w:spacing w:val="0"/>
                      <w:kern w:val="0"/>
                      <w:sz w:val="18"/>
                      <w:szCs w:val="18"/>
                      <w:lang w:val="en-US" w:eastAsia="zh-CN" w:bidi="ar"/>
                    </w:rPr>
                    <w:t>试压废水</w:t>
                  </w:r>
                  <w:r>
                    <w:rPr>
                      <w:rFonts w:hint="default" w:ascii="Times New Roman" w:hAnsi="Times New Roman" w:eastAsia="宋体" w:cs="Times New Roman"/>
                      <w:b w:val="0"/>
                      <w:bCs w:val="0"/>
                      <w:i w:val="0"/>
                      <w:iCs w:val="0"/>
                      <w:caps w:val="0"/>
                      <w:color w:val="0F1115"/>
                      <w:spacing w:val="0"/>
                      <w:kern w:val="0"/>
                      <w:sz w:val="18"/>
                      <w:szCs w:val="18"/>
                      <w:lang w:val="en-US" w:eastAsia="zh-CN" w:bidi="ar"/>
                    </w:rPr>
                    <w:t>经三级沉淀池处理后循环使用于试压工序，定期补充新鲜水，不外排</w:t>
                  </w:r>
                  <w:r>
                    <w:rPr>
                      <w:rFonts w:hint="default" w:ascii="Times New Roman" w:hAnsi="Times New Roman" w:cs="Times New Roman"/>
                      <w:b w:val="0"/>
                      <w:bCs w:val="0"/>
                      <w:i w:val="0"/>
                      <w:iCs w:val="0"/>
                      <w:caps w:val="0"/>
                      <w:color w:val="0F1115"/>
                      <w:spacing w:val="0"/>
                      <w:kern w:val="0"/>
                      <w:sz w:val="18"/>
                      <w:szCs w:val="18"/>
                      <w:lang w:val="en-US" w:eastAsia="zh-CN" w:bidi="ar"/>
                    </w:rPr>
                    <w:t>。</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冷却循环水经冷却塔冷却后循环使用，不外排。</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噪声</w:t>
                  </w:r>
                </w:p>
              </w:tc>
              <w:tc>
                <w:tcPr>
                  <w:tcW w:w="367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选购低噪声环保设备；加强日常维护；厂房隔噪。</w:t>
                  </w:r>
                </w:p>
              </w:tc>
              <w:tc>
                <w:tcPr>
                  <w:tcW w:w="44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453"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固体废物</w:t>
                  </w:r>
                </w:p>
              </w:tc>
              <w:tc>
                <w:tcPr>
                  <w:tcW w:w="3679"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包装材料、不合格产品外售；废树脂、固化剂、促进剂包装桶厂家回收；边角料、废滤袋集中收集后送填埋场；除尘灰回用于生产；废催化剂、废活性炭、废弃含油抹布、劳保用品、废润滑油、废油桶贮存于危废贮存点，定期由具有危废处置资质的公司接收处置；生活垃圾收集后由环卫部门定期清运。</w:t>
                  </w:r>
                </w:p>
              </w:tc>
              <w:tc>
                <w:tcPr>
                  <w:tcW w:w="440"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危废贮存点依托一期</w:t>
                  </w:r>
                </w:p>
              </w:tc>
            </w:tr>
          </w:tbl>
          <w:p>
            <w:pPr>
              <w:pStyle w:val="6"/>
              <w:keepNext/>
              <w:keepLines/>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0"/>
                <w:kern w:val="0"/>
                <w:sz w:val="24"/>
                <w:szCs w:val="24"/>
                <w:lang w:val="en-US" w:eastAsia="zh-CN"/>
              </w:rPr>
              <w:t>3、</w:t>
            </w:r>
            <w:r>
              <w:rPr>
                <w:rFonts w:hint="default" w:ascii="Times New Roman" w:hAnsi="Times New Roman" w:eastAsia="宋体" w:cs="Times New Roman"/>
                <w:color w:val="auto"/>
                <w:sz w:val="24"/>
                <w:szCs w:val="24"/>
                <w:lang w:val="en-US" w:eastAsia="zh-CN"/>
              </w:rPr>
              <w:t>产品方案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lang w:val="en-US" w:eastAsia="zh-CN" w:bidi="ar-SA"/>
              </w:rPr>
            </w:pPr>
            <w:r>
              <w:rPr>
                <w:rFonts w:hint="default" w:ascii="Times New Roman" w:hAnsi="Times New Roman" w:eastAsia="宋体" w:cs="Times New Roman"/>
                <w:color w:val="auto"/>
                <w:kern w:val="0"/>
                <w:sz w:val="24"/>
                <w:lang w:val="en-US" w:eastAsia="zh-CN"/>
              </w:rPr>
              <w:t>本项目现有工程、本次扩建及扩建完成后全厂产品方案见表2-2</w:t>
            </w:r>
            <w:r>
              <w:rPr>
                <w:rFonts w:hint="default" w:ascii="Times New Roman" w:hAnsi="Times New Roman" w:eastAsia="宋体" w:cs="Times New Roman"/>
                <w:b w:val="0"/>
                <w:bCs/>
                <w:snapToGrid w:val="0"/>
                <w:color w:val="auto"/>
                <w:kern w:val="0"/>
                <w:sz w:val="24"/>
                <w:szCs w:val="24"/>
                <w:lang w:val="en-US" w:eastAsia="zh-CN" w:bidi="ar-SA"/>
              </w:rPr>
              <w:t>。</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表2-2             项目主要产品情况一览表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09"/>
              <w:gridCol w:w="906"/>
              <w:gridCol w:w="805"/>
              <w:gridCol w:w="850"/>
              <w:gridCol w:w="810"/>
              <w:gridCol w:w="769"/>
              <w:gridCol w:w="32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序号</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产品名称</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现有工程（一期）</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本次扩建（二期）</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扩建后全厂合计</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增减量</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产品标准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玻璃钢管道</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1000</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10000</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11000</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+10000</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《玻璃纤维增强塑料夹砂管》（GB/T21238-2016）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玻璃钢储罐</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400</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400</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建材行业标准JC/T 587-2012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玻璃钢光缆桥件</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cs="Times New Roman"/>
                      <w:b w:val="0"/>
                      <w:bCs w:val="0"/>
                      <w:i w:val="0"/>
                      <w:iCs w:val="0"/>
                      <w:caps w:val="0"/>
                      <w:color w:val="0F1115"/>
                      <w:spacing w:val="0"/>
                      <w:kern w:val="0"/>
                      <w:sz w:val="18"/>
                      <w:szCs w:val="18"/>
                      <w:lang w:val="en-US" w:eastAsia="zh-CN" w:bidi="ar"/>
                    </w:rPr>
                    <w:t>0</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cs="Times New Roman"/>
                      <w:b w:val="0"/>
                      <w:bCs w:val="0"/>
                      <w:i w:val="0"/>
                      <w:iCs w:val="0"/>
                      <w:caps w:val="0"/>
                      <w:color w:val="0F1115"/>
                      <w:spacing w:val="0"/>
                      <w:kern w:val="0"/>
                      <w:sz w:val="18"/>
                      <w:szCs w:val="18"/>
                      <w:lang w:val="en-US" w:eastAsia="zh-CN" w:bidi="ar"/>
                    </w:rPr>
                    <w:t>0</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color w:val="auto"/>
                      <w:sz w:val="18"/>
                      <w:szCs w:val="18"/>
                      <w:vertAlign w:val="baseline"/>
                      <w:lang w:val="en-US" w:eastAsia="zh-CN"/>
                    </w:rPr>
                    <w:t>4</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PE管</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1500</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1500</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+1500</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《给水用聚乙烯（PE）管道系统 第2部分：管材》（GB/T13663.2-2018）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color w:val="auto"/>
                      <w:sz w:val="18"/>
                      <w:szCs w:val="18"/>
                      <w:vertAlign w:val="baseline"/>
                      <w:lang w:val="en-US" w:eastAsia="zh-CN"/>
                    </w:rPr>
                    <w:t>5</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PVC管</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1500</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1500</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+1500</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《给水用硬聚氯乙烯（PVC-U）管材》（GB/T 10002.1-2023）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color w:val="auto"/>
                      <w:sz w:val="18"/>
                      <w:szCs w:val="18"/>
                      <w:vertAlign w:val="baseline"/>
                      <w:lang w:val="en-US" w:eastAsia="zh-CN"/>
                    </w:rPr>
                    <w:t>6</w:t>
                  </w:r>
                </w:p>
              </w:tc>
              <w:tc>
                <w:tcPr>
                  <w:tcW w:w="58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HDPE双壁波纹管</w:t>
                  </w:r>
                </w:p>
              </w:tc>
              <w:tc>
                <w:tcPr>
                  <w:tcW w:w="52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2000</w:t>
                  </w:r>
                </w:p>
              </w:tc>
              <w:tc>
                <w:tcPr>
                  <w:tcW w:w="52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2000</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+2000</w:t>
                  </w:r>
                </w:p>
              </w:tc>
              <w:tc>
                <w:tcPr>
                  <w:tcW w:w="20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《埋地用聚乙烯（PE）结构壁管道系统 第1部分：聚乙烯双壁波纹管材》（GB/T19472.1-2019）</w:t>
                  </w:r>
                </w:p>
              </w:tc>
            </w:tr>
          </w:tbl>
          <w:p>
            <w:pPr>
              <w:keepNext w:val="0"/>
              <w:keepLines w:val="0"/>
              <w:pageBreakBefore w:val="0"/>
              <w:widowControl w:val="0"/>
              <w:tabs>
                <w:tab w:val="left" w:pos="6090"/>
              </w:tabs>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eastAsia="宋体" w:cs="Times New Roman"/>
                <w:b/>
                <w:bCs/>
                <w:color w:val="auto"/>
                <w:sz w:val="24"/>
                <w:szCs w:val="32"/>
                <w:lang w:val="en-US" w:eastAsia="zh-CN"/>
              </w:rPr>
              <w:t>4</w:t>
            </w:r>
            <w:r>
              <w:rPr>
                <w:rFonts w:hint="default" w:ascii="Times New Roman" w:hAnsi="Times New Roman" w:eastAsia="宋体" w:cs="Times New Roman"/>
                <w:b/>
                <w:bCs/>
                <w:color w:val="auto"/>
                <w:sz w:val="24"/>
                <w:lang w:val="en-GB" w:eastAsia="zh-CN"/>
              </w:rPr>
              <w:t>、</w:t>
            </w:r>
            <w:r>
              <w:rPr>
                <w:rFonts w:hint="default" w:ascii="Times New Roman" w:hAnsi="Times New Roman" w:eastAsia="宋体" w:cs="Times New Roman"/>
                <w:b/>
                <w:color w:val="auto"/>
                <w:sz w:val="24"/>
              </w:rPr>
              <w:t>原辅材料及</w:t>
            </w:r>
            <w:r>
              <w:rPr>
                <w:rFonts w:hint="default" w:ascii="Times New Roman" w:hAnsi="Times New Roman" w:eastAsia="宋体" w:cs="Times New Roman"/>
                <w:b/>
                <w:color w:val="auto"/>
                <w:sz w:val="24"/>
                <w:lang w:val="en-US" w:eastAsia="zh-CN"/>
              </w:rPr>
              <w:t>性质</w:t>
            </w:r>
          </w:p>
          <w:p>
            <w:pPr>
              <w:pStyle w:val="114"/>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kern w:val="0"/>
                <w:sz w:val="24"/>
                <w:szCs w:val="24"/>
                <w:lang w:val="en-US" w:eastAsia="zh-CN" w:bidi="ar-SA"/>
              </w:rPr>
            </w:pPr>
            <w:r>
              <w:rPr>
                <w:rFonts w:hint="default" w:ascii="Times New Roman" w:hAnsi="Times New Roman" w:eastAsia="宋体" w:cs="Times New Roman"/>
                <w:b w:val="0"/>
                <w:bCs/>
                <w:snapToGrid w:val="0"/>
                <w:color w:val="auto"/>
                <w:kern w:val="0"/>
                <w:sz w:val="24"/>
                <w:szCs w:val="24"/>
                <w:lang w:val="en-US" w:eastAsia="zh-CN" w:bidi="ar-SA"/>
              </w:rPr>
              <w:t>（1）原辅材料及资源能源消耗</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本项目现有工程、本次扩建及扩建完成后全厂原辅材料及能源消耗情况见表2-3。</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表2-3         本项目主要原辅材料消耗量</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07"/>
              <w:gridCol w:w="767"/>
              <w:gridCol w:w="997"/>
              <w:gridCol w:w="857"/>
              <w:gridCol w:w="981"/>
              <w:gridCol w:w="969"/>
              <w:gridCol w:w="1014"/>
              <w:gridCol w:w="689"/>
              <w:gridCol w:w="408"/>
              <w:gridCol w:w="6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序号</w:t>
                  </w:r>
                </w:p>
              </w:tc>
              <w:tc>
                <w:tcPr>
                  <w:tcW w:w="4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类别</w:t>
                  </w: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原辅材料名称</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现有工程（一期）（t/a）</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本次扩建（二期）（t/a）</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扩建后全厂合计（t/a）</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增减量（t/a）</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日常存储量（t）</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状态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储存方式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76" w:hRule="atLeast"/>
              </w:trPr>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w:t>
                  </w:r>
                </w:p>
              </w:tc>
              <w:tc>
                <w:tcPr>
                  <w:tcW w:w="49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连续缠绕玻璃钢管道</w:t>
                  </w: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不饱和聚酯树脂</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780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3531.3</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4311.3</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+3531.3</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13</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液态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桶装，库房储存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固化剂</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18</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70</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88</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+70</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液态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桶装，固化剂库房储存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促进剂</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9</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35</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44</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+35</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液态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桶装，固化剂库房储存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石英砂颗粒</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84</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3394.818</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cs="Times New Roman"/>
                      <w:b w:val="0"/>
                      <w:bCs w:val="0"/>
                      <w:i w:val="0"/>
                      <w:iCs w:val="0"/>
                      <w:caps w:val="0"/>
                      <w:color w:val="0F1115"/>
                      <w:spacing w:val="0"/>
                      <w:kern w:val="0"/>
                      <w:sz w:val="18"/>
                      <w:szCs w:val="18"/>
                      <w:lang w:val="en-US" w:eastAsia="zh-CN" w:bidi="ar"/>
                    </w:rPr>
                    <w:t>3478.818</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i w:val="0"/>
                      <w:iCs w:val="0"/>
                      <w:color w:val="000000"/>
                      <w:kern w:val="0"/>
                      <w:sz w:val="18"/>
                      <w:szCs w:val="18"/>
                      <w:u w:val="none"/>
                      <w:lang w:val="en-US" w:eastAsia="zh-CN" w:bidi="ar"/>
                    </w:rPr>
                    <w:t>3394.818</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200</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袋装，生产车间贮存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5</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玻璃纤维</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660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3087.2</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3747.2</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+3087.2</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200</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生产车间储存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6</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表面毡/网格布/短切毡</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45</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45</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90</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+45</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22.5</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7</w:t>
                  </w:r>
                </w:p>
              </w:tc>
              <w:tc>
                <w:tcPr>
                  <w:tcW w:w="49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PE管</w:t>
                  </w: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PE粒料</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1482.75</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1482.75</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+1482.75</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50</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8</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色母</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9</w:t>
                  </w:r>
                </w:p>
              </w:tc>
              <w:tc>
                <w:tcPr>
                  <w:tcW w:w="49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PVC管</w:t>
                  </w: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聚氯乙烯粉（PVC）</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1271.928</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1271.928</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+1271.928</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40</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粉状</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轻质碳酸钙</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90.5</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250</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340.5</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+250</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粉状</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11</w:t>
                  </w:r>
                </w:p>
              </w:tc>
              <w:tc>
                <w:tcPr>
                  <w:tcW w:w="49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HDPE双壁波纹管</w:t>
                  </w: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PE粒料</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1977</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1977</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+1977</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65</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12</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en-US" w:eastAsia="zh-CN"/>
                    </w:rPr>
                  </w:pP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色母</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40</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40</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+40</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固态</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袋装，库房储存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13</w:t>
                  </w:r>
                </w:p>
              </w:tc>
              <w:tc>
                <w:tcPr>
                  <w:tcW w:w="49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能源消耗</w:t>
                  </w:r>
                </w:p>
              </w:tc>
              <w:tc>
                <w:tcPr>
                  <w:tcW w:w="6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水（m3/a）</w:t>
                  </w:r>
                </w:p>
              </w:tc>
              <w:tc>
                <w:tcPr>
                  <w:tcW w:w="55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650</w:t>
                  </w:r>
                </w:p>
              </w:tc>
              <w:tc>
                <w:tcPr>
                  <w:tcW w:w="6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1200</w:t>
                  </w:r>
                </w:p>
              </w:tc>
              <w:tc>
                <w:tcPr>
                  <w:tcW w:w="62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1850</w:t>
                  </w:r>
                </w:p>
              </w:tc>
              <w:tc>
                <w:tcPr>
                  <w:tcW w:w="6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+1200</w:t>
                  </w:r>
                </w:p>
              </w:tc>
              <w:tc>
                <w:tcPr>
                  <w:tcW w:w="44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43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14</w:t>
                  </w:r>
                </w:p>
              </w:tc>
              <w:tc>
                <w:tcPr>
                  <w:tcW w:w="493" w:type="pct"/>
                  <w:vMerge w:val="continue"/>
                  <w:tcBorders>
                    <w:tl2br w:val="nil"/>
                    <w:tr2bl w:val="nil"/>
                  </w:tcBorders>
                  <w:vAlign w:val="center"/>
                </w:tcPr>
                <w:p>
                  <w:pPr>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641"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电（万kWh/a）</w:t>
                  </w:r>
                </w:p>
              </w:tc>
              <w:tc>
                <w:tcPr>
                  <w:tcW w:w="551"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7.5</w:t>
                  </w:r>
                </w:p>
              </w:tc>
              <w:tc>
                <w:tcPr>
                  <w:tcW w:w="631"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130</w:t>
                  </w:r>
                </w:p>
              </w:tc>
              <w:tc>
                <w:tcPr>
                  <w:tcW w:w="623"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137.5</w:t>
                  </w:r>
                </w:p>
              </w:tc>
              <w:tc>
                <w:tcPr>
                  <w:tcW w:w="652"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+130</w:t>
                  </w:r>
                </w:p>
              </w:tc>
              <w:tc>
                <w:tcPr>
                  <w:tcW w:w="443"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262"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435"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bl>
          <w:p>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lang w:val="en-US"/>
              </w:rPr>
            </w:pPr>
            <w:r>
              <w:rPr>
                <w:rFonts w:hint="default" w:ascii="Times New Roman" w:hAnsi="Times New Roman" w:eastAsia="宋体" w:cs="Times New Roman"/>
                <w:b w:val="0"/>
                <w:bCs/>
                <w:snapToGrid w:val="0"/>
                <w:color w:val="auto"/>
                <w:kern w:val="0"/>
                <w:sz w:val="24"/>
                <w:szCs w:val="24"/>
                <w:lang w:val="en-US" w:eastAsia="zh-CN" w:bidi="ar-SA"/>
              </w:rPr>
              <w:t>（2）原辅材料理化性质表</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表2-4            主要原辅材料理化性质表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2421"/>
              <w:gridCol w:w="1405"/>
              <w:gridCol w:w="1475"/>
              <w:gridCol w:w="149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辅材料名称</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理化特性</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主要成分/规格</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燃烧爆炸性</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毒理毒性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不饱和聚酯树脂</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淡黄色至黄色透明粘稠液体，相对密度约1.11~1.20，沸点约145℃，闪点约33℃。具有酯键和不饱和双键的线型高分子化合物，可溶于丙酮、乙二醇、甲苯等有机溶剂。</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聚酯50%~70%，苯乙烯30%~</w:t>
                  </w:r>
                  <w:r>
                    <w:rPr>
                      <w:rFonts w:hint="default" w:ascii="Times New Roman" w:hAnsi="Times New Roman" w:cs="Times New Roman"/>
                      <w:b w:val="0"/>
                      <w:bCs w:val="0"/>
                      <w:i w:val="0"/>
                      <w:iCs w:val="0"/>
                      <w:caps w:val="0"/>
                      <w:color w:val="0F1115"/>
                      <w:spacing w:val="0"/>
                      <w:kern w:val="0"/>
                      <w:sz w:val="18"/>
                      <w:szCs w:val="18"/>
                      <w:lang w:val="en-US" w:eastAsia="zh-CN" w:bidi="ar"/>
                    </w:rPr>
                    <w:t>4</w:t>
                  </w:r>
                  <w:r>
                    <w:rPr>
                      <w:rFonts w:hint="default" w:ascii="Times New Roman" w:hAnsi="Times New Roman" w:eastAsia="宋体" w:cs="Times New Roman"/>
                      <w:b w:val="0"/>
                      <w:bCs w:val="0"/>
                      <w:i w:val="0"/>
                      <w:iCs w:val="0"/>
                      <w:caps w:val="0"/>
                      <w:color w:val="0F1115"/>
                      <w:spacing w:val="0"/>
                      <w:kern w:val="0"/>
                      <w:sz w:val="18"/>
                      <w:szCs w:val="18"/>
                      <w:lang w:val="en-US" w:eastAsia="zh-CN" w:bidi="ar"/>
                    </w:rPr>
                    <w:t>0%</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易燃液体，闪点33℃，引燃温度490℃，爆炸极限1.1%~8.0%（V/V）。遇明火、高热、氧化剂易燃烧。</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LD</w:t>
                  </w:r>
                  <w:r>
                    <w:rPr>
                      <w:rFonts w:hint="default" w:ascii="Times New Roman" w:hAnsi="Times New Roman" w:cs="Times New Roman"/>
                      <w:b w:val="0"/>
                      <w:bCs w:val="0"/>
                      <w:i w:val="0"/>
                      <w:iCs w:val="0"/>
                      <w:caps w:val="0"/>
                      <w:color w:val="0F1115"/>
                      <w:spacing w:val="0"/>
                      <w:kern w:val="0"/>
                      <w:sz w:val="18"/>
                      <w:szCs w:val="18"/>
                      <w:vertAlign w:val="subscript"/>
                      <w:lang w:val="en-US" w:eastAsia="zh-CN" w:bidi="ar"/>
                    </w:rPr>
                    <w:t>50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：5000mg/kg（小白鼠经口）；LC</w:t>
                  </w:r>
                  <w:r>
                    <w:rPr>
                      <w:rFonts w:hint="default" w:ascii="Times New Roman" w:hAnsi="Times New Roman" w:cs="Times New Roman"/>
                      <w:b w:val="0"/>
                      <w:bCs w:val="0"/>
                      <w:i w:val="0"/>
                      <w:iCs w:val="0"/>
                      <w:caps w:val="0"/>
                      <w:color w:val="0F1115"/>
                      <w:spacing w:val="0"/>
                      <w:kern w:val="0"/>
                      <w:sz w:val="18"/>
                      <w:szCs w:val="18"/>
                      <w:vertAlign w:val="subscript"/>
                      <w:lang w:val="en-US" w:eastAsia="zh-CN" w:bidi="ar"/>
                    </w:rPr>
                    <w:t>50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：24g/</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3</w:t>
                  </w:r>
                  <w:r>
                    <w:rPr>
                      <w:rFonts w:hint="default" w:ascii="Times New Roman" w:hAnsi="Times New Roman" w:eastAsia="宋体" w:cs="Times New Roman"/>
                      <w:b w:val="0"/>
                      <w:bCs w:val="0"/>
                      <w:i w:val="0"/>
                      <w:iCs w:val="0"/>
                      <w:caps w:val="0"/>
                      <w:color w:val="0F1115"/>
                      <w:spacing w:val="0"/>
                      <w:kern w:val="0"/>
                      <w:sz w:val="18"/>
                      <w:szCs w:val="18"/>
                      <w:lang w:val="en-US" w:eastAsia="zh-CN" w:bidi="ar"/>
                    </w:rPr>
                    <w:t>/4hrs（小白鼠吸入）。对皮肤、粘膜和眼睛有刺激性。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固化剂（过氧化甲乙酮）</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无色透明油状液体，有愉快气味，相对密度约1.042（15℃/4℃），沸点高，不易挥发，分解温度105℃。不溶于水，溶于苯、醇、醚和酯。</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过氧化甲乙酮30%~46%，邻苯二甲酸二甲酯20%~46%</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室温下稳定，温度高于100℃时即发生爆炸，闪点50℃。</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对皮肤、眼睛有刺激和腐蚀性。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促进剂（异辛酸钴）</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红紫色均匀液体，相对密度约1.002g/mL，沸点约228℃，闪点≥30℃。溶于200号溶剂汽油，可燃。</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2-乙基己酸钴40%~45%，溶剂油55%~60%</w:t>
                  </w:r>
                  <w:r>
                    <w:rPr>
                      <w:rFonts w:hint="default" w:ascii="Times New Roman" w:hAnsi="Times New Roman" w:eastAsia="宋体" w:cs="Times New Roman"/>
                      <w:b w:val="0"/>
                      <w:bCs w:val="0"/>
                      <w:i w:val="0"/>
                      <w:iCs w:val="0"/>
                      <w:caps w:val="0"/>
                      <w:spacing w:val="0"/>
                      <w:kern w:val="0"/>
                      <w:sz w:val="18"/>
                      <w:szCs w:val="18"/>
                      <w:u w:val="none"/>
                      <w:bdr w:val="single" w:color="auto" w:sz="18" w:space="0"/>
                      <w:lang w:val="en-US" w:eastAsia="zh-CN" w:bidi="ar"/>
                    </w:rPr>
                    <w:fldChar w:fldCharType="begin"/>
                  </w:r>
                  <w:r>
                    <w:rPr>
                      <w:rFonts w:hint="default" w:ascii="Times New Roman" w:hAnsi="Times New Roman" w:eastAsia="宋体" w:cs="Times New Roman"/>
                      <w:b w:val="0"/>
                      <w:bCs w:val="0"/>
                      <w:i w:val="0"/>
                      <w:iCs w:val="0"/>
                      <w:caps w:val="0"/>
                      <w:spacing w:val="0"/>
                      <w:kern w:val="0"/>
                      <w:sz w:val="18"/>
                      <w:szCs w:val="18"/>
                      <w:u w:val="none"/>
                      <w:bdr w:val="single" w:color="auto" w:sz="18" w:space="0"/>
                      <w:lang w:val="en-US" w:eastAsia="zh-CN" w:bidi="ar"/>
                    </w:rPr>
                    <w:instrText xml:space="preserve"> HYPERLINK "https://baike.baidu.com/item/%E4%B8%8D%E9%A5%B1%E5%92%8C%E8%81%9A%E9%85%AF%E6%A0%91%E8%84%82" \t "https://chat.deepseek.com/a/chat/s/_blank" </w:instrText>
                  </w:r>
                  <w:r>
                    <w:rPr>
                      <w:rFonts w:hint="default" w:ascii="Times New Roman" w:hAnsi="Times New Roman" w:eastAsia="宋体" w:cs="Times New Roman"/>
                      <w:b w:val="0"/>
                      <w:bCs w:val="0"/>
                      <w:i w:val="0"/>
                      <w:iCs w:val="0"/>
                      <w:caps w:val="0"/>
                      <w:spacing w:val="0"/>
                      <w:kern w:val="0"/>
                      <w:sz w:val="18"/>
                      <w:szCs w:val="18"/>
                      <w:u w:val="none"/>
                      <w:bdr w:val="single" w:color="auto" w:sz="18" w:space="0"/>
                      <w:lang w:val="en-US" w:eastAsia="zh-CN" w:bidi="ar"/>
                    </w:rPr>
                    <w:fldChar w:fldCharType="separate"/>
                  </w:r>
                  <w:r>
                    <w:rPr>
                      <w:rFonts w:hint="default" w:ascii="Times New Roman" w:hAnsi="Times New Roman" w:eastAsia="宋体" w:cs="Times New Roman"/>
                      <w:b w:val="0"/>
                      <w:bCs w:val="0"/>
                      <w:i w:val="0"/>
                      <w:iCs w:val="0"/>
                      <w:caps w:val="0"/>
                      <w:spacing w:val="0"/>
                      <w:kern w:val="0"/>
                      <w:sz w:val="18"/>
                      <w:szCs w:val="18"/>
                      <w:u w:val="none"/>
                      <w:bdr w:val="single" w:color="auto" w:sz="18" w:space="0"/>
                      <w:lang w:val="en-US" w:eastAsia="zh-CN" w:bidi="ar"/>
                    </w:rPr>
                    <w:fldChar w:fldCharType="end"/>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可燃液体，闪点≥30℃，排出含氧化钴辛辣刺激烟雾。</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吸入或接触有害，含钴化合物。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石英砂颗粒</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乳白色或无色半透明颗粒，主要成分为二氧化硅（SiO</w:t>
                  </w:r>
                  <w:r>
                    <w:rPr>
                      <w:rFonts w:hint="default" w:ascii="Times New Roman" w:hAnsi="Times New Roman" w:cs="Times New Roman"/>
                      <w:b w:val="0"/>
                      <w:bCs w:val="0"/>
                      <w:i w:val="0"/>
                      <w:iCs w:val="0"/>
                      <w:caps w:val="0"/>
                      <w:color w:val="0F1115"/>
                      <w:spacing w:val="0"/>
                      <w:kern w:val="0"/>
                      <w:sz w:val="11"/>
                      <w:szCs w:val="11"/>
                      <w:vertAlign w:val="sub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），莫氏硬度7，密度约2.65，粒径一般小于2.5mm。化学性能稳定，不溶于水及一般酸碱。</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SiO</w:t>
                  </w:r>
                  <w:r>
                    <w:rPr>
                      <w:rFonts w:hint="default" w:ascii="Times New Roman" w:hAnsi="Times New Roman" w:cs="Times New Roman"/>
                      <w:b w:val="0"/>
                      <w:bCs w:val="0"/>
                      <w:i w:val="0"/>
                      <w:iCs w:val="0"/>
                      <w:caps w:val="0"/>
                      <w:color w:val="0F1115"/>
                      <w:spacing w:val="0"/>
                      <w:kern w:val="0"/>
                      <w:sz w:val="18"/>
                      <w:szCs w:val="18"/>
                      <w:vertAlign w:val="subscript"/>
                      <w:lang w:val="en-US" w:eastAsia="zh-CN" w:bidi="ar"/>
                    </w:rPr>
                    <w:t>2</w:t>
                  </w:r>
                  <w:r>
                    <w:rPr>
                      <w:rFonts w:hint="default" w:ascii="Times New Roman" w:hAnsi="Times New Roman" w:eastAsia="宋体" w:cs="Times New Roman"/>
                      <w:b w:val="0"/>
                      <w:bCs w:val="0"/>
                      <w:i w:val="0"/>
                      <w:iCs w:val="0"/>
                      <w:caps w:val="0"/>
                      <w:color w:val="0F1115"/>
                      <w:spacing w:val="0"/>
                      <w:kern w:val="0"/>
                      <w:sz w:val="18"/>
                      <w:szCs w:val="18"/>
                      <w:lang w:val="en-US" w:eastAsia="zh-CN" w:bidi="ar"/>
                    </w:rPr>
                    <w:t>≥90%</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不燃</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无毒，长期吸入粉尘可能导致矽肺。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玻璃纤维</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性能优异的无机非金属材料，软化点500~750℃，沸点约1000℃，密度约2.6g/c</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3</w:t>
                  </w:r>
                  <w:r>
                    <w:rPr>
                      <w:rFonts w:hint="default" w:ascii="Times New Roman" w:hAnsi="Times New Roman" w:eastAsia="宋体" w:cs="Times New Roman"/>
                      <w:b w:val="0"/>
                      <w:bCs w:val="0"/>
                      <w:i w:val="0"/>
                      <w:iCs w:val="0"/>
                      <w:caps w:val="0"/>
                      <w:color w:val="0F1115"/>
                      <w:spacing w:val="0"/>
                      <w:kern w:val="0"/>
                      <w:sz w:val="18"/>
                      <w:szCs w:val="18"/>
                      <w:lang w:val="en-US" w:eastAsia="zh-CN" w:bidi="ar"/>
                    </w:rPr>
                    <w:t>。耐热性好，温度达300℃时对强度无影响。主要成分为二氧化硅、氧化铝、氧化钙、氧化硼等。</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玻璃纤维（无碱或中碱）</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不燃</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无毒，对皮肤、呼吸道有机械刺激。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表面毡/网格布/短切毡</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以玻璃纤维为基材的织物或无纺制品，具有良好的透气性能和树脂浸润性，能使树脂快速渗透，消除气泡和白渍现象。</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玻璃纤维</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不燃</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无毒，对皮肤、呼吸道有机械刺激。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PE粒料（聚乙烯）</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乳白色圆柱状或扁圆状颗粒，无毒、无味、无臭，密度0.91~0.96g/c</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3</w:t>
                  </w:r>
                  <w:r>
                    <w:rPr>
                      <w:rFonts w:hint="default" w:ascii="Times New Roman" w:hAnsi="Times New Roman" w:eastAsia="宋体" w:cs="Times New Roman"/>
                      <w:b w:val="0"/>
                      <w:bCs w:val="0"/>
                      <w:i w:val="0"/>
                      <w:iCs w:val="0"/>
                      <w:caps w:val="0"/>
                      <w:color w:val="0F1115"/>
                      <w:spacing w:val="0"/>
                      <w:kern w:val="0"/>
                      <w:sz w:val="18"/>
                      <w:szCs w:val="18"/>
                      <w:lang w:val="en-US" w:eastAsia="zh-CN" w:bidi="ar"/>
                    </w:rPr>
                    <w:t>，熔点85~136℃。常温下不溶于一般溶剂，能耐大多数酸碱侵蚀，吸水性小，电绝缘性能优良。</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高密度聚乙烯（HDPE）或低密度聚乙烯（LDPE），纯度≥98%</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可燃，氧指数17.4，燃烧时低烟，火焰上黄下蓝，有石蜡气味。</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无毒，热解产物可能产生刺激性气体。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聚氯乙烯粉（PVC）</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白色粉末，无定形结构，密度约1380kg/</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3</w:t>
                  </w:r>
                  <w:r>
                    <w:rPr>
                      <w:rFonts w:hint="default" w:ascii="Times New Roman" w:hAnsi="Times New Roman" w:eastAsia="宋体" w:cs="Times New Roman"/>
                      <w:b w:val="0"/>
                      <w:bCs w:val="0"/>
                      <w:i w:val="0"/>
                      <w:iCs w:val="0"/>
                      <w:caps w:val="0"/>
                      <w:color w:val="0F1115"/>
                      <w:spacing w:val="0"/>
                      <w:kern w:val="0"/>
                      <w:sz w:val="18"/>
                      <w:szCs w:val="18"/>
                      <w:lang w:val="en-US" w:eastAsia="zh-CN" w:bidi="ar"/>
                    </w:rPr>
                    <w:t>，80~85℃开始软化，130℃开始分解变色。具有阻燃性，耐酸、碱、盐腐蚀，机械强度高。</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聚氯乙烯（PVC）SG</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阻燃，阻燃值40以上。燃烧时释放氯化氢等有毒气体。</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无毒，热分解产生氯化氢，有刺激性。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轻质碳酸钙</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白色粉末，主要成分为CaCO₃，呈弱碱性，不溶于水，溶于酸。用于PVC、PE等塑料的填充剂，提高制品刚性和尺寸稳定性。</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CaCO₃≥98%</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不燃</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色母</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由颜料或染料与载体树脂（PE或PVC）混炼而成的颗粒状着色剂，用于管材挤出过程中的配色。</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颜料20%~40%，载体树脂60%~</w:t>
                  </w:r>
                  <w:r>
                    <w:rPr>
                      <w:rFonts w:hint="default" w:ascii="Times New Roman" w:hAnsi="Times New Roman" w:cs="Times New Roman"/>
                      <w:b w:val="0"/>
                      <w:bCs w:val="0"/>
                      <w:i w:val="0"/>
                      <w:iCs w:val="0"/>
                      <w:caps w:val="0"/>
                      <w:color w:val="0F1115"/>
                      <w:spacing w:val="0"/>
                      <w:kern w:val="0"/>
                      <w:sz w:val="18"/>
                      <w:szCs w:val="18"/>
                      <w:lang w:val="en-US" w:eastAsia="zh-CN" w:bidi="ar"/>
                    </w:rPr>
                    <w:t>60%</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可燃</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2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HDPE粒料</w:t>
                  </w:r>
                </w:p>
              </w:tc>
              <w:tc>
                <w:tcPr>
                  <w:tcW w:w="155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乳白色圆柱状或扁圆状颗粒，密度0.940~0.960g/c</w:t>
                  </w:r>
                  <w:r>
                    <w:rPr>
                      <w:rFonts w:hint="default" w:ascii="Times New Roman" w:hAnsi="Times New Roman" w:cs="Times New Roman"/>
                      <w:b w:val="0"/>
                      <w:bCs w:val="0"/>
                      <w:i w:val="0"/>
                      <w:iCs w:val="0"/>
                      <w:caps w:val="0"/>
                      <w:color w:val="0F1115"/>
                      <w:spacing w:val="0"/>
                      <w:kern w:val="0"/>
                      <w:sz w:val="18"/>
                      <w:szCs w:val="18"/>
                      <w:lang w:val="en-US" w:eastAsia="zh-CN" w:bidi="ar"/>
                    </w:rPr>
                    <w:t>m</w:t>
                  </w:r>
                  <w:r>
                    <w:rPr>
                      <w:rFonts w:hint="default" w:ascii="Times New Roman" w:hAnsi="Times New Roman" w:cs="Times New Roman"/>
                      <w:b w:val="0"/>
                      <w:bCs w:val="0"/>
                      <w:i w:val="0"/>
                      <w:iCs w:val="0"/>
                      <w:caps w:val="0"/>
                      <w:color w:val="0F1115"/>
                      <w:spacing w:val="0"/>
                      <w:kern w:val="0"/>
                      <w:sz w:val="18"/>
                      <w:szCs w:val="18"/>
                      <w:vertAlign w:val="superscript"/>
                      <w:lang w:val="en-US" w:eastAsia="zh-CN" w:bidi="ar"/>
                    </w:rPr>
                    <w:t>3</w:t>
                  </w:r>
                  <w:r>
                    <w:rPr>
                      <w:rFonts w:hint="default" w:ascii="Times New Roman" w:hAnsi="Times New Roman" w:eastAsia="宋体" w:cs="Times New Roman"/>
                      <w:b w:val="0"/>
                      <w:bCs w:val="0"/>
                      <w:i w:val="0"/>
                      <w:iCs w:val="0"/>
                      <w:caps w:val="0"/>
                      <w:color w:val="0F1115"/>
                      <w:spacing w:val="0"/>
                      <w:kern w:val="0"/>
                      <w:sz w:val="18"/>
                      <w:szCs w:val="18"/>
                      <w:lang w:val="en-US" w:eastAsia="zh-CN" w:bidi="ar"/>
                    </w:rPr>
                    <w:t>，熔点约131℃，软化温度约126℃，脆化温度约-70℃。耐大多数酸碱侵蚀，抗冲击性好，绝缘介电强度高。</w:t>
                  </w:r>
                </w:p>
              </w:tc>
              <w:tc>
                <w:tcPr>
                  <w:tcW w:w="90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高密度聚乙烯，纯度≥98%</w:t>
                  </w:r>
                </w:p>
              </w:tc>
              <w:tc>
                <w:tcPr>
                  <w:tcW w:w="94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可燃，氧指数17.4，燃烧时低烟，有石蜡气味。</w:t>
                  </w:r>
                </w:p>
              </w:tc>
              <w:tc>
                <w:tcPr>
                  <w:tcW w:w="9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无毒，热解产物可能产生刺激性气体。</w:t>
                  </w:r>
                </w:p>
              </w:tc>
            </w:tr>
          </w:tbl>
          <w:p>
            <w:pPr>
              <w:pStyle w:val="7"/>
              <w:keepNext/>
              <w:keepLines/>
              <w:pageBreakBefore w:val="0"/>
              <w:widowControl w:val="0"/>
              <w:kinsoku/>
              <w:wordWrap/>
              <w:overflowPunct/>
              <w:topLinePunct w:val="0"/>
              <w:autoSpaceDE/>
              <w:autoSpaceDN/>
              <w:bidi w:val="0"/>
              <w:adjustRightInd/>
              <w:snapToGrid/>
              <w:spacing w:before="0" w:after="0"/>
              <w:ind w:left="0" w:firstLine="482" w:firstLineChars="200"/>
              <w:textAlignment w:val="auto"/>
              <w:rPr>
                <w:rFonts w:hint="default" w:ascii="Times New Roman" w:hAnsi="Times New Roman" w:eastAsia="宋体" w:cs="Times New Roman"/>
                <w:color w:val="auto"/>
                <w:spacing w:val="0"/>
                <w:kern w:val="0"/>
                <w:sz w:val="24"/>
                <w:szCs w:val="24"/>
              </w:rPr>
            </w:pPr>
            <w:r>
              <w:rPr>
                <w:rFonts w:hint="default" w:ascii="Times New Roman" w:hAnsi="Times New Roman" w:eastAsia="宋体" w:cs="Times New Roman"/>
                <w:color w:val="auto"/>
                <w:spacing w:val="0"/>
                <w:kern w:val="0"/>
                <w:sz w:val="24"/>
                <w:szCs w:val="24"/>
                <w:lang w:val="en-US" w:eastAsia="zh-CN"/>
              </w:rPr>
              <w:t>5</w:t>
            </w:r>
            <w:r>
              <w:rPr>
                <w:rFonts w:hint="default" w:ascii="Times New Roman" w:hAnsi="Times New Roman" w:eastAsia="宋体" w:cs="Times New Roman"/>
                <w:color w:val="auto"/>
                <w:spacing w:val="0"/>
                <w:kern w:val="0"/>
                <w:sz w:val="24"/>
                <w:szCs w:val="24"/>
              </w:rPr>
              <w:t>、主要设备</w:t>
            </w:r>
          </w:p>
          <w:p>
            <w:pPr>
              <w:pStyle w:val="45"/>
              <w:keepNext w:val="0"/>
              <w:keepLines w:val="0"/>
              <w:pageBreakBefore w:val="0"/>
              <w:widowControl w:val="0"/>
              <w:suppressLineNumbers w:val="0"/>
              <w:kinsoku/>
              <w:wordWrap/>
              <w:overflowPunct/>
              <w:topLinePunct w:val="0"/>
              <w:autoSpaceDE/>
              <w:autoSpaceDN/>
              <w:bidi w:val="0"/>
              <w:adjustRightInd w:val="0"/>
              <w:snapToGrid w:val="0"/>
              <w:spacing w:before="0" w:beforeLines="0" w:beforeAutospacing="0" w:after="0" w:afterAutospacing="0" w:line="360" w:lineRule="auto"/>
              <w:ind w:left="0" w:right="0" w:firstLine="480" w:firstLineChars="200"/>
              <w:jc w:val="left"/>
              <w:textAlignment w:val="auto"/>
              <w:rPr>
                <w:rFonts w:hint="default" w:ascii="Times New Roman" w:hAnsi="Times New Roman" w:eastAsia="宋体" w:cs="Times New Roman"/>
                <w:b w:val="0"/>
                <w:bCs/>
                <w:snapToGrid w:val="0"/>
                <w:color w:val="auto"/>
                <w:kern w:val="0"/>
                <w:sz w:val="24"/>
                <w:szCs w:val="24"/>
                <w:lang w:val="en-US" w:eastAsia="zh-CN" w:bidi="ar-SA"/>
              </w:rPr>
            </w:pPr>
            <w:r>
              <w:rPr>
                <w:rFonts w:hint="default" w:ascii="Times New Roman" w:hAnsi="Times New Roman" w:eastAsia="宋体" w:cs="Times New Roman"/>
                <w:b w:val="0"/>
                <w:bCs/>
                <w:snapToGrid w:val="0"/>
                <w:color w:val="auto"/>
                <w:kern w:val="0"/>
                <w:sz w:val="24"/>
                <w:szCs w:val="24"/>
                <w:lang w:val="en-US" w:eastAsia="zh-CN" w:bidi="ar-SA"/>
              </w:rPr>
              <w:t>本次扩建项目主要设备见表。</w:t>
            </w:r>
          </w:p>
          <w:p>
            <w:pPr>
              <w:keepNext w:val="0"/>
              <w:keepLines w:val="0"/>
              <w:pageBreakBefore w:val="0"/>
              <w:widowControl/>
              <w:kinsoku/>
              <w:wordWrap/>
              <w:overflowPunct w:val="0"/>
              <w:topLinePunct w:val="0"/>
              <w:autoSpaceDE w:val="0"/>
              <w:autoSpaceDN w:val="0"/>
              <w:bidi w:val="0"/>
              <w:adjustRightInd w:val="0"/>
              <w:snapToGrid w:val="0"/>
              <w:spacing w:before="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表2-5        连续缠绕玻璃钢管道主要生产设备一览表</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3499"/>
              <w:gridCol w:w="1166"/>
              <w:gridCol w:w="536"/>
              <w:gridCol w:w="536"/>
              <w:gridCol w:w="957"/>
              <w:gridCol w:w="5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序号</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设备名称</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规格型号</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单位</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数量</w:t>
                  </w:r>
                </w:p>
              </w:tc>
              <w:tc>
                <w:tcPr>
                  <w:tcW w:w="61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使用位置</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CFW-2000连续管道缠绕机</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DN600-2000</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2#生产车间</w:t>
                  </w:r>
                </w:p>
              </w:tc>
              <w:tc>
                <w:tcPr>
                  <w:tcW w:w="345"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2</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SMM-2000套筒接头修整机</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DN600-2000</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3</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SJM-2000套筒管道对接机</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DN600-2000</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4</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SJHT-3000套筒接头水压测试机（双REKA接头）</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DN300-3000</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5</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PTT-2000管道运输小车</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DN600-2000</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6</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ORM-2000离线管道修整机</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DN600-2000</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7</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RMTS树脂搅拌及输送系统</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8</w:t>
                  </w:r>
                </w:p>
              </w:tc>
              <w:tc>
                <w:tcPr>
                  <w:tcW w:w="225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SSTS石英砂储存输送系统</w:t>
                  </w:r>
                </w:p>
              </w:tc>
              <w:tc>
                <w:tcPr>
                  <w:tcW w:w="7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套</w:t>
                  </w:r>
                </w:p>
              </w:tc>
              <w:tc>
                <w:tcPr>
                  <w:tcW w:w="3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c>
                <w:tcPr>
                  <w:tcW w:w="61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c>
                <w:tcPr>
                  <w:tcW w:w="34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sz w:val="18"/>
                      <w:szCs w:val="18"/>
                      <w:vertAlign w:val="baseline"/>
                    </w:rPr>
                  </w:pPr>
                </w:p>
              </w:tc>
            </w:tr>
          </w:tbl>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表2-6          PE管道主要生产设备一览表</w:t>
            </w:r>
          </w:p>
          <w:tbl>
            <w:tblPr>
              <w:tblStyle w:val="36"/>
              <w:tblW w:w="4996"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2028"/>
              <w:gridCol w:w="1232"/>
              <w:gridCol w:w="758"/>
              <w:gridCol w:w="758"/>
              <w:gridCol w:w="1469"/>
              <w:gridCol w:w="7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序号</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设备名称</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规格型号</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单位</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数量</w:t>
                  </w:r>
                </w:p>
              </w:tc>
              <w:tc>
                <w:tcPr>
                  <w:tcW w:w="94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使用位置</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单螺杆挤出机</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SJ90×33</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2#生产车间</w:t>
                  </w:r>
                </w:p>
              </w:tc>
              <w:tc>
                <w:tcPr>
                  <w:tcW w:w="488"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2</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挤出模具</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3</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牵引机</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4</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锯割机</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5</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翻转台</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6</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生产线控制系统</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7</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双工位收卷机</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8</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500L干燥混料机</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9</w:t>
                  </w:r>
                </w:p>
              </w:tc>
              <w:tc>
                <w:tcPr>
                  <w:tcW w:w="13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记米控制器</w:t>
                  </w:r>
                </w:p>
              </w:tc>
              <w:tc>
                <w:tcPr>
                  <w:tcW w:w="7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8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46"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8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bl>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表2-7            PVC管道主要生产设备一览表</w:t>
            </w:r>
          </w:p>
          <w:tbl>
            <w:tblPr>
              <w:tblStyle w:val="36"/>
              <w:tblW w:w="4997"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2063"/>
              <w:gridCol w:w="1442"/>
              <w:gridCol w:w="716"/>
              <w:gridCol w:w="716"/>
              <w:gridCol w:w="1391"/>
              <w:gridCol w:w="7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序号</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设备名称</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规格型号</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单位</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数量</w:t>
                  </w:r>
                </w:p>
              </w:tc>
              <w:tc>
                <w:tcPr>
                  <w:tcW w:w="89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使用位置</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锥形双螺杆挤出机</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SJSZ-80/156</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2#生产车间</w:t>
                  </w:r>
                </w:p>
              </w:tc>
              <w:tc>
                <w:tcPr>
                  <w:tcW w:w="461"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2</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管材挤出模具</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3</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真空定径水槽</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4</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三履带牵引机</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5</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行星切割机</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6</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翻转卸料架</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7</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电器控制系统</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8</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PVC高速混料机</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500/1000</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9</w:t>
                  </w:r>
                </w:p>
              </w:tc>
              <w:tc>
                <w:tcPr>
                  <w:tcW w:w="13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PVC扩口机</w:t>
                  </w:r>
                </w:p>
              </w:tc>
              <w:tc>
                <w:tcPr>
                  <w:tcW w:w="92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315型</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6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895"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6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bl>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表2-8            HDPE双壁波纹管主要生产设备一览表</w:t>
            </w:r>
          </w:p>
          <w:tbl>
            <w:tblPr>
              <w:tblStyle w:val="36"/>
              <w:tblW w:w="4997"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083"/>
              <w:gridCol w:w="1313"/>
              <w:gridCol w:w="735"/>
              <w:gridCol w:w="735"/>
              <w:gridCol w:w="1426"/>
              <w:gridCol w:w="7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序号</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设备名称</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规格型号</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单位</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数量</w:t>
                  </w:r>
                </w:p>
              </w:tc>
              <w:tc>
                <w:tcPr>
                  <w:tcW w:w="9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使用位置</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单螺杆挤出机</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SJ120×33</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2#生产车间</w:t>
                  </w:r>
                </w:p>
              </w:tc>
              <w:tc>
                <w:tcPr>
                  <w:tcW w:w="47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新建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2</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成型机</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SBCJ-600</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3</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行星无屑切割机</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SBQG-600</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4</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翻转卸料架</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SBXL-600</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5</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PLC控制系统</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6</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挤出机头</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ID200-600</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套</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7</w:t>
                  </w:r>
                </w:p>
              </w:tc>
              <w:tc>
                <w:tcPr>
                  <w:tcW w:w="134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1000L干燥混料机</w:t>
                  </w:r>
                </w:p>
              </w:tc>
              <w:tc>
                <w:tcPr>
                  <w:tcW w:w="84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台</w:t>
                  </w:r>
                </w:p>
              </w:tc>
              <w:tc>
                <w:tcPr>
                  <w:tcW w:w="4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1</w:t>
                  </w:r>
                </w:p>
              </w:tc>
              <w:tc>
                <w:tcPr>
                  <w:tcW w:w="918"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c>
                <w:tcPr>
                  <w:tcW w:w="4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bl>
          <w:p>
            <w:pPr>
              <w:pStyle w:val="6"/>
              <w:pageBreakBefore w:val="0"/>
              <w:widowControl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、工作制度及职工定员</w:t>
            </w:r>
          </w:p>
          <w:p>
            <w:pPr>
              <w:pStyle w:val="7"/>
              <w:pageBreakBefore w:val="0"/>
              <w:widowControl w:val="0"/>
              <w:kinsoku/>
              <w:wordWrap/>
              <w:overflowPunct/>
              <w:topLinePunct w:val="0"/>
              <w:autoSpaceDE/>
              <w:autoSpaceDN/>
              <w:bidi w:val="0"/>
              <w:adjustRightInd/>
              <w:snapToGrid/>
              <w:spacing w:before="0" w:after="0" w:line="360" w:lineRule="auto"/>
              <w:ind w:left="0" w:firstLine="480" w:firstLineChars="200"/>
              <w:textAlignment w:val="auto"/>
              <w:rPr>
                <w:rFonts w:hint="default" w:ascii="Times New Roman" w:hAnsi="Times New Roman" w:eastAsia="宋体" w:cs="Times New Roman"/>
                <w:color w:val="auto"/>
                <w:kern w:val="0"/>
                <w:sz w:val="24"/>
                <w:highlight w:val="yellow"/>
              </w:rPr>
            </w:pPr>
            <w:r>
              <w:rPr>
                <w:rFonts w:hint="default" w:ascii="Times New Roman" w:hAnsi="Times New Roman" w:eastAsia="宋体" w:cs="Times New Roman"/>
                <w:b w:val="0"/>
                <w:bCs w:val="0"/>
                <w:color w:val="auto"/>
                <w:spacing w:val="0"/>
                <w:kern w:val="0"/>
                <w:sz w:val="24"/>
                <w:szCs w:val="24"/>
                <w:lang w:val="en-US" w:eastAsia="zh-CN"/>
              </w:rPr>
              <w:t>工作制度及劳动定员</w:t>
            </w:r>
            <w:r>
              <w:rPr>
                <w:rFonts w:hint="default" w:ascii="Times New Roman" w:hAnsi="Times New Roman" w:eastAsia="宋体" w:cs="Times New Roman"/>
                <w:b w:val="0"/>
                <w:bCs w:val="0"/>
                <w:color w:val="auto"/>
                <w:spacing w:val="0"/>
                <w:kern w:val="0"/>
                <w:sz w:val="24"/>
                <w:szCs w:val="24"/>
              </w:rPr>
              <w:t>：</w:t>
            </w:r>
            <w:r>
              <w:rPr>
                <w:rFonts w:hint="default" w:ascii="Times New Roman" w:hAnsi="Times New Roman" w:eastAsia="宋体" w:cs="Times New Roman"/>
                <w:b w:val="0"/>
                <w:bCs w:val="0"/>
                <w:color w:val="auto"/>
                <w:spacing w:val="0"/>
                <w:kern w:val="0"/>
                <w:sz w:val="24"/>
                <w:szCs w:val="24"/>
                <w:highlight w:val="none"/>
                <w:lang w:val="en-US" w:eastAsia="zh-CN"/>
              </w:rPr>
              <w:t>本次扩建工作人员新增</w:t>
            </w:r>
            <w:r>
              <w:rPr>
                <w:rFonts w:hint="default" w:ascii="Times New Roman" w:hAnsi="Times New Roman" w:eastAsia="宋体" w:cs="Times New Roman"/>
                <w:b w:val="0"/>
                <w:bCs w:val="0"/>
                <w:color w:val="auto"/>
                <w:spacing w:val="0"/>
                <w:kern w:val="2"/>
                <w:sz w:val="24"/>
                <w:szCs w:val="32"/>
                <w:lang w:val="en-US" w:eastAsia="zh-CN" w:bidi="ar-SA"/>
              </w:rPr>
              <w:t>15人，实行三班制，每班工作8小时，年工作时间300天，年工作7200h。</w:t>
            </w:r>
          </w:p>
          <w:p>
            <w:pPr>
              <w:pStyle w:val="6"/>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、公用工程</w:t>
            </w:r>
          </w:p>
          <w:p>
            <w:pPr>
              <w:keepNext w:val="0"/>
              <w:keepLines w:val="0"/>
              <w:pageBreakBefore w:val="0"/>
              <w:widowControl w:val="0"/>
              <w:tabs>
                <w:tab w:val="left" w:pos="6090"/>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eastAsia="宋体" w:cs="Times New Roman"/>
                <w:b/>
                <w:bCs/>
                <w:color w:val="auto"/>
                <w:sz w:val="24"/>
                <w:szCs w:val="32"/>
                <w:lang w:val="en-US" w:eastAsia="zh-CN"/>
              </w:rPr>
              <w:t>7.1给水</w:t>
            </w:r>
          </w:p>
          <w:p>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szCs w:val="24"/>
              </w:rPr>
              <w:t>本项目</w:t>
            </w:r>
            <w:r>
              <w:rPr>
                <w:rFonts w:hint="default" w:ascii="Times New Roman" w:hAnsi="Times New Roman" w:eastAsia="宋体" w:cs="Times New Roman"/>
                <w:bCs/>
                <w:color w:val="auto"/>
                <w:sz w:val="24"/>
                <w:szCs w:val="24"/>
                <w:lang w:val="en-US" w:eastAsia="zh-CN"/>
              </w:rPr>
              <w:t>用水</w:t>
            </w:r>
            <w:r>
              <w:rPr>
                <w:rFonts w:hint="default" w:ascii="Times New Roman" w:hAnsi="Times New Roman" w:eastAsia="宋体" w:cs="Times New Roman"/>
                <w:b w:val="0"/>
                <w:bCs w:val="0"/>
                <w:color w:val="auto"/>
                <w:sz w:val="24"/>
                <w:szCs w:val="32"/>
                <w:lang w:val="en-US" w:eastAsia="zh-CN"/>
              </w:rPr>
              <w:t>依托</w:t>
            </w:r>
            <w:r>
              <w:rPr>
                <w:rFonts w:hint="default" w:ascii="Times New Roman" w:hAnsi="Times New Roman" w:cs="Times New Roman"/>
                <w:color w:val="auto"/>
                <w:kern w:val="0"/>
                <w:sz w:val="24"/>
                <w:lang w:val="en-US" w:eastAsia="zh-CN"/>
              </w:rPr>
              <w:t>尉犁县</w:t>
            </w:r>
            <w:r>
              <w:rPr>
                <w:rFonts w:hint="default" w:ascii="Times New Roman" w:hAnsi="Times New Roman" w:eastAsia="宋体" w:cs="Times New Roman"/>
                <w:color w:val="auto"/>
                <w:kern w:val="0"/>
                <w:sz w:val="24"/>
                <w:lang w:val="en-US" w:eastAsia="zh-CN"/>
              </w:rPr>
              <w:t>市政</w:t>
            </w:r>
            <w:r>
              <w:rPr>
                <w:rFonts w:hint="default" w:ascii="Times New Roman" w:hAnsi="Times New Roman" w:eastAsia="宋体" w:cs="Times New Roman"/>
                <w:b w:val="0"/>
                <w:bCs w:val="0"/>
                <w:color w:val="auto"/>
                <w:sz w:val="24"/>
                <w:szCs w:val="32"/>
                <w:lang w:val="en-US" w:eastAsia="zh-CN"/>
              </w:rPr>
              <w:t>供水管网</w:t>
            </w:r>
            <w:r>
              <w:rPr>
                <w:rFonts w:hint="default"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rPr>
              <w:t>能够满足项目区供水需求。</w:t>
            </w:r>
            <w:r>
              <w:rPr>
                <w:rFonts w:hint="default" w:ascii="Times New Roman" w:hAnsi="Times New Roman" w:eastAsia="宋体" w:cs="Times New Roman"/>
                <w:bCs/>
                <w:color w:val="auto"/>
                <w:sz w:val="24"/>
                <w:szCs w:val="24"/>
                <w:lang w:val="en-US" w:eastAsia="zh-CN"/>
              </w:rPr>
              <w:t>本</w:t>
            </w:r>
            <w:r>
              <w:rPr>
                <w:rFonts w:hint="default" w:ascii="Times New Roman" w:hAnsi="Times New Roman" w:eastAsia="宋体" w:cs="Times New Roman"/>
                <w:color w:val="auto"/>
                <w:sz w:val="24"/>
                <w:szCs w:val="24"/>
                <w:lang w:val="zh-CN" w:eastAsia="zh-CN" w:bidi="ar-SA"/>
              </w:rPr>
              <w:t>项目用水主要为</w:t>
            </w:r>
            <w:r>
              <w:rPr>
                <w:rFonts w:hint="default" w:ascii="Times New Roman" w:hAnsi="Times New Roman" w:eastAsia="宋体" w:cs="Times New Roman"/>
                <w:color w:val="auto"/>
                <w:sz w:val="24"/>
                <w:szCs w:val="24"/>
                <w:lang w:bidi="ar-SA"/>
              </w:rPr>
              <w:t>员工生活用水</w:t>
            </w:r>
            <w:r>
              <w:rPr>
                <w:rFonts w:hint="default" w:ascii="Times New Roman" w:hAnsi="Times New Roman" w:eastAsia="宋体" w:cs="Times New Roman"/>
                <w:color w:val="auto"/>
                <w:sz w:val="24"/>
                <w:szCs w:val="24"/>
                <w:lang w:val="en-US" w:eastAsia="zh-CN" w:bidi="ar-SA"/>
              </w:rPr>
              <w:t>和试管用水，</w:t>
            </w:r>
            <w:r>
              <w:rPr>
                <w:rFonts w:hint="default" w:ascii="Times New Roman" w:hAnsi="Times New Roman" w:eastAsia="宋体" w:cs="Times New Roman"/>
                <w:color w:val="auto"/>
                <w:sz w:val="24"/>
                <w:highlight w:val="none"/>
              </w:rPr>
              <w:t>排水主要为生活污水。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lang w:bidi="ar-SA"/>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eastAsia="宋体" w:cs="Times New Roman"/>
                <w:color w:val="auto"/>
                <w:sz w:val="24"/>
                <w:szCs w:val="24"/>
                <w:lang w:val="en-US" w:eastAsia="zh-CN" w:bidi="ar-SA"/>
              </w:rPr>
              <w:t>职工</w:t>
            </w:r>
            <w:r>
              <w:rPr>
                <w:rFonts w:hint="default" w:ascii="Times New Roman" w:hAnsi="Times New Roman" w:eastAsia="宋体" w:cs="Times New Roman"/>
                <w:color w:val="auto"/>
                <w:sz w:val="24"/>
                <w:szCs w:val="24"/>
                <w:lang w:bidi="ar-SA"/>
              </w:rPr>
              <w:t>生活</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eastAsia="zh-CN" w:bidi="ar-SA"/>
              </w:rPr>
            </w:pPr>
            <w:r>
              <w:rPr>
                <w:rFonts w:hint="default" w:ascii="Times New Roman" w:hAnsi="Times New Roman" w:eastAsia="宋体" w:cs="Times New Roman"/>
                <w:color w:val="auto"/>
                <w:kern w:val="0"/>
                <w:sz w:val="24"/>
                <w:szCs w:val="24"/>
                <w:highlight w:val="none"/>
                <w:lang w:val="en-US" w:eastAsia="zh-CN"/>
              </w:rPr>
              <w:t>本</w:t>
            </w:r>
            <w:r>
              <w:rPr>
                <w:rFonts w:hint="default" w:ascii="Times New Roman" w:hAnsi="Times New Roman" w:eastAsia="宋体" w:cs="Times New Roman"/>
                <w:color w:val="auto"/>
                <w:sz w:val="24"/>
                <w:szCs w:val="24"/>
                <w:lang w:val="en-US" w:eastAsia="zh-CN" w:bidi="ar-SA"/>
              </w:rPr>
              <w:t>项目劳动定员</w:t>
            </w:r>
            <w:r>
              <w:rPr>
                <w:rFonts w:hint="default" w:ascii="Times New Roman" w:hAnsi="Times New Roman" w:cs="Times New Roman"/>
                <w:color w:val="auto"/>
                <w:sz w:val="24"/>
                <w:szCs w:val="24"/>
                <w:lang w:val="en-US" w:eastAsia="zh-CN" w:bidi="ar-SA"/>
              </w:rPr>
              <w:t>15</w:t>
            </w:r>
            <w:r>
              <w:rPr>
                <w:rFonts w:hint="default" w:ascii="Times New Roman" w:hAnsi="Times New Roman" w:eastAsia="宋体" w:cs="Times New Roman"/>
                <w:color w:val="auto"/>
                <w:sz w:val="24"/>
                <w:szCs w:val="24"/>
                <w:lang w:val="en-US" w:eastAsia="zh-CN" w:bidi="ar-SA"/>
              </w:rPr>
              <w:t>人，年运行300天</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i w:val="0"/>
                <w:iCs w:val="0"/>
                <w:caps w:val="0"/>
                <w:color w:val="auto"/>
                <w:spacing w:val="0"/>
                <w:sz w:val="24"/>
                <w:szCs w:val="24"/>
                <w:shd w:val="clear" w:color="auto" w:fill="FFFFFF"/>
              </w:rPr>
              <w:t>参考《</w:t>
            </w:r>
            <w:r>
              <w:rPr>
                <w:rFonts w:hint="default" w:ascii="Times New Roman" w:hAnsi="Times New Roman" w:eastAsia="宋体" w:cs="Times New Roman"/>
                <w:color w:val="auto"/>
                <w:kern w:val="0"/>
                <w:sz w:val="24"/>
                <w:szCs w:val="24"/>
                <w:highlight w:val="none"/>
                <w:lang w:val="en-US" w:eastAsia="zh-CN"/>
              </w:rPr>
              <w:t>新疆工业用水定额及生活用水</w:t>
            </w:r>
            <w:r>
              <w:rPr>
                <w:rFonts w:hint="default" w:ascii="Times New Roman" w:hAnsi="Times New Roman" w:eastAsia="宋体" w:cs="Times New Roman"/>
                <w:i w:val="0"/>
                <w:iCs w:val="0"/>
                <w:caps w:val="0"/>
                <w:color w:val="auto"/>
                <w:spacing w:val="0"/>
                <w:sz w:val="24"/>
                <w:szCs w:val="24"/>
                <w:shd w:val="clear" w:color="auto" w:fill="FFFFFF"/>
              </w:rPr>
              <w:t>》及相关标准</w:t>
            </w:r>
            <w:r>
              <w:rPr>
                <w:rFonts w:hint="default" w:ascii="Times New Roman" w:hAnsi="Times New Roman" w:eastAsia="宋体" w:cs="Times New Roman"/>
                <w:color w:val="auto"/>
                <w:kern w:val="0"/>
                <w:sz w:val="24"/>
                <w:szCs w:val="24"/>
                <w:highlight w:val="none"/>
                <w:lang w:val="en-US" w:eastAsia="zh-CN"/>
              </w:rPr>
              <w:t>，员工生活用水定额按100L/d·人计算，则员工年用水量</w:t>
            </w:r>
            <w:r>
              <w:rPr>
                <w:rFonts w:hint="default" w:ascii="Times New Roman" w:hAnsi="Times New Roman" w:cs="Times New Roman"/>
                <w:color w:val="auto"/>
                <w:kern w:val="0"/>
                <w:sz w:val="24"/>
                <w:szCs w:val="24"/>
                <w:highlight w:val="none"/>
                <w:lang w:val="en-US" w:eastAsia="zh-CN"/>
              </w:rPr>
              <w:t>1.5</w:t>
            </w:r>
            <w:r>
              <w:rPr>
                <w:rFonts w:hint="default" w:ascii="Times New Roman" w:hAnsi="Times New Roman" w:eastAsia="宋体" w:cs="Times New Roman"/>
                <w:color w:val="auto"/>
                <w:kern w:val="0"/>
                <w:sz w:val="24"/>
                <w:szCs w:val="24"/>
                <w:highlight w:val="none"/>
                <w:vertAlign w:val="baseli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baseline"/>
                <w:lang w:val="en-US" w:eastAsia="zh-CN"/>
              </w:rPr>
              <w:t>/d（</w:t>
            </w:r>
            <w:r>
              <w:rPr>
                <w:rFonts w:hint="default" w:ascii="Times New Roman" w:hAnsi="Times New Roman" w:cs="Times New Roman"/>
                <w:color w:val="auto"/>
                <w:kern w:val="0"/>
                <w:sz w:val="24"/>
                <w:szCs w:val="24"/>
                <w:highlight w:val="none"/>
                <w:vertAlign w:val="baseline"/>
                <w:lang w:val="en-US" w:eastAsia="zh-CN"/>
              </w:rPr>
              <w:t>450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rPr>
              <w:t>，产生废水排放系数以0.8计算，则生活污水产生量为</w:t>
            </w:r>
            <w:r>
              <w:rPr>
                <w:rFonts w:hint="default" w:ascii="Times New Roman" w:hAnsi="Times New Roman"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vertAlign w:val="baseli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baseline"/>
                <w:lang w:val="en-US" w:eastAsia="zh-CN"/>
              </w:rPr>
              <w:t>/d（</w:t>
            </w:r>
            <w:r>
              <w:rPr>
                <w:rFonts w:hint="default" w:ascii="Times New Roman" w:hAnsi="Times New Roman" w:cs="Times New Roman"/>
                <w:color w:val="auto"/>
                <w:kern w:val="0"/>
                <w:sz w:val="24"/>
                <w:szCs w:val="24"/>
                <w:highlight w:val="none"/>
                <w:vertAlign w:val="baseline"/>
                <w:lang w:val="en-US" w:eastAsia="zh-CN"/>
              </w:rPr>
              <w:t>360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lang w:val="en-US" w:eastAsia="zh-CN"/>
              </w:rPr>
              <w:t>项目运营以后，</w:t>
            </w:r>
            <w:r>
              <w:rPr>
                <w:rFonts w:hint="default" w:ascii="Times New Roman" w:hAnsi="Times New Roman" w:eastAsia="宋体" w:cs="Times New Roman"/>
                <w:color w:val="auto"/>
                <w:sz w:val="24"/>
                <w:szCs w:val="24"/>
                <w:lang w:eastAsia="zh-CN" w:bidi="ar-SA"/>
              </w:rPr>
              <w:t>生活污水</w:t>
            </w:r>
            <w:r>
              <w:rPr>
                <w:rFonts w:hint="default" w:ascii="Times New Roman" w:hAnsi="Times New Roman" w:eastAsia="宋体" w:cs="Times New Roman"/>
                <w:color w:val="auto"/>
                <w:sz w:val="24"/>
                <w:szCs w:val="24"/>
                <w:lang w:val="en-US" w:eastAsia="zh-CN" w:bidi="ar-SA"/>
              </w:rPr>
              <w:t>排入市政污水管网，最终进入</w:t>
            </w:r>
            <w:r>
              <w:rPr>
                <w:rFonts w:hint="default" w:ascii="Times New Roman" w:hAnsi="Times New Roman" w:cs="Times New Roman"/>
                <w:color w:val="auto"/>
                <w:sz w:val="24"/>
                <w:szCs w:val="24"/>
                <w:lang w:val="en-US" w:eastAsia="zh-CN" w:bidi="ar-SA"/>
              </w:rPr>
              <w:t>尉犁县污水处理厂</w:t>
            </w:r>
            <w:r>
              <w:rPr>
                <w:rFonts w:hint="default" w:ascii="Times New Roman" w:hAnsi="Times New Roman" w:eastAsia="宋体" w:cs="Times New Roman"/>
                <w:color w:val="auto"/>
                <w:sz w:val="24"/>
                <w:szCs w:val="24"/>
                <w:lang w:val="en-US" w:eastAsia="zh-CN" w:bidi="ar-SA"/>
              </w:rPr>
              <w:t>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lang w:val="en-US" w:bidi="ar-SA"/>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lang w:val="en-US" w:eastAsia="zh-CN" w:bidi="ar-SA"/>
              </w:rPr>
              <w:t>循环冷却水补水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lang w:bidi="ar-SA"/>
              </w:rPr>
              <w:t>根据业主提供的资料，项目</w:t>
            </w:r>
            <w:r>
              <w:rPr>
                <w:rFonts w:hint="default" w:ascii="Times New Roman" w:hAnsi="Times New Roman" w:eastAsia="宋体" w:cs="Times New Roman"/>
                <w:color w:val="auto"/>
                <w:sz w:val="24"/>
                <w:szCs w:val="24"/>
                <w:lang w:val="en-US" w:eastAsia="zh-CN" w:bidi="ar-SA"/>
              </w:rPr>
              <w:t>PE管生产线、PVC管生产线、HDPE双壁波纹管生产线</w:t>
            </w:r>
            <w:r>
              <w:rPr>
                <w:rFonts w:hint="default" w:ascii="Times New Roman" w:hAnsi="Times New Roman" w:cs="Times New Roman"/>
                <w:color w:val="auto"/>
                <w:sz w:val="24"/>
                <w:szCs w:val="24"/>
                <w:lang w:val="en-US" w:eastAsia="zh-CN" w:bidi="ar-SA"/>
              </w:rPr>
              <w:t>挤出后需进行冷却，冷却水经冷却塔冷却后循环使用不外排，定期补充损耗，冷却系统补水</w:t>
            </w:r>
            <w:r>
              <w:rPr>
                <w:rFonts w:hint="default" w:ascii="Times New Roman" w:hAnsi="Times New Roman" w:eastAsia="宋体" w:cs="Times New Roman"/>
                <w:color w:val="auto"/>
                <w:sz w:val="24"/>
                <w:szCs w:val="24"/>
                <w:lang w:bidi="ar-SA"/>
              </w:rPr>
              <w:t>量约</w:t>
            </w:r>
            <w:r>
              <w:rPr>
                <w:rFonts w:hint="default" w:ascii="Times New Roman" w:hAnsi="Times New Roman" w:cs="Times New Roman"/>
                <w:color w:val="auto"/>
                <w:sz w:val="24"/>
                <w:szCs w:val="24"/>
                <w:lang w:val="en-US" w:eastAsia="zh-CN" w:bidi="ar-SA"/>
              </w:rPr>
              <w:t>2</w:t>
            </w:r>
            <w:r>
              <w:rPr>
                <w:rFonts w:hint="default" w:ascii="Times New Roman" w:hAnsi="Times New Roman" w:eastAsia="宋体" w:cs="Times New Roman"/>
                <w:color w:val="auto"/>
                <w:sz w:val="24"/>
                <w:szCs w:val="24"/>
                <w:lang w:bidi="ar-SA"/>
              </w:rPr>
              <w:t>m</w:t>
            </w:r>
            <w:r>
              <w:rPr>
                <w:rFonts w:hint="default" w:ascii="Times New Roman" w:hAnsi="Times New Roman" w:eastAsia="宋体" w:cs="Times New Roman"/>
                <w:color w:val="auto"/>
                <w:sz w:val="24"/>
                <w:szCs w:val="24"/>
                <w:vertAlign w:val="superscript"/>
                <w:lang w:bidi="ar-SA"/>
              </w:rPr>
              <w:t>3</w:t>
            </w:r>
            <w:r>
              <w:rPr>
                <w:rFonts w:hint="default" w:ascii="Times New Roman" w:hAnsi="Times New Roman" w:eastAsia="宋体" w:cs="Times New Roman"/>
                <w:color w:val="auto"/>
                <w:sz w:val="24"/>
                <w:szCs w:val="24"/>
                <w:lang w:bidi="ar-SA"/>
              </w:rPr>
              <w:t>/d</w:t>
            </w:r>
            <w:r>
              <w:rPr>
                <w:rFonts w:hint="default" w:ascii="Times New Roman" w:hAnsi="Times New Roman" w:eastAsia="宋体" w:cs="Times New Roman"/>
                <w:color w:val="auto"/>
                <w:sz w:val="24"/>
                <w:szCs w:val="24"/>
                <w:lang w:eastAsia="zh-CN" w:bidi="ar-SA"/>
              </w:rPr>
              <w:t>（</w:t>
            </w:r>
            <w:r>
              <w:rPr>
                <w:rFonts w:hint="default" w:ascii="Times New Roman" w:hAnsi="Times New Roman" w:cs="Times New Roman"/>
                <w:color w:val="auto"/>
                <w:sz w:val="24"/>
                <w:szCs w:val="24"/>
                <w:lang w:val="en-US" w:eastAsia="zh-CN" w:bidi="ar-SA"/>
              </w:rPr>
              <w:t>60</w:t>
            </w:r>
            <w:r>
              <w:rPr>
                <w:rFonts w:hint="default" w:ascii="Times New Roman" w:hAnsi="Times New Roman" w:eastAsia="宋体" w:cs="Times New Roman"/>
                <w:color w:val="auto"/>
                <w:sz w:val="24"/>
                <w:szCs w:val="24"/>
                <w:lang w:val="en-US" w:eastAsia="zh-CN" w:bidi="ar-SA"/>
              </w:rPr>
              <w:t>0</w:t>
            </w:r>
            <w:r>
              <w:rPr>
                <w:rFonts w:hint="default" w:ascii="Times New Roman" w:hAnsi="Times New Roman" w:eastAsia="宋体" w:cs="Times New Roman"/>
                <w:color w:val="auto"/>
                <w:sz w:val="24"/>
                <w:szCs w:val="24"/>
                <w:lang w:bidi="ar-SA"/>
              </w:rPr>
              <w:t>m</w:t>
            </w:r>
            <w:r>
              <w:rPr>
                <w:rFonts w:hint="default" w:ascii="Times New Roman" w:hAnsi="Times New Roman" w:eastAsia="宋体" w:cs="Times New Roman"/>
                <w:color w:val="auto"/>
                <w:sz w:val="24"/>
                <w:szCs w:val="24"/>
                <w:vertAlign w:val="superscript"/>
                <w:lang w:bidi="ar-SA"/>
              </w:rPr>
              <w:t>3</w:t>
            </w:r>
            <w:r>
              <w:rPr>
                <w:rFonts w:hint="default" w:ascii="Times New Roman" w:hAnsi="Times New Roman" w:eastAsia="宋体" w:cs="Times New Roman"/>
                <w:color w:val="auto"/>
                <w:sz w:val="24"/>
                <w:szCs w:val="24"/>
                <w:lang w:bidi="ar-SA"/>
              </w:rPr>
              <w:t>/a</w:t>
            </w:r>
            <w:r>
              <w:rPr>
                <w:rFonts w:hint="default" w:ascii="Times New Roman" w:hAnsi="Times New Roman" w:eastAsia="宋体" w:cs="Times New Roman"/>
                <w:color w:val="auto"/>
                <w:sz w:val="24"/>
                <w:szCs w:val="24"/>
                <w:lang w:eastAsia="zh-CN" w:bidi="ar-SA"/>
              </w:rPr>
              <w:t>）</w:t>
            </w:r>
            <w:r>
              <w:rPr>
                <w:rFonts w:hint="default" w:ascii="Times New Roman" w:hAnsi="Times New Roman" w:eastAsia="宋体" w:cs="Times New Roman"/>
                <w:color w:val="auto"/>
                <w:sz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color w:val="auto"/>
                <w:sz w:val="24"/>
                <w:szCs w:val="24"/>
                <w:lang w:val="en-US" w:bidi="ar-SA"/>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eastAsia="宋体" w:cs="Times New Roman"/>
                <w:color w:val="auto"/>
                <w:sz w:val="24"/>
                <w:szCs w:val="24"/>
                <w:lang w:val="en-US" w:eastAsia="zh-CN" w:bidi="ar-SA"/>
              </w:rPr>
              <w:t>试管用水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lang w:bidi="ar-SA"/>
              </w:rPr>
              <w:t>根据业主提供的资料，项目检验工序对管道进行压力测试的时候，会产生废水。试管用水量约5m3/d，试管废水经沉淀后回用于试管，不外排，仅定期补充新鲜水。损耗率按10%计，则试管损耗量为0.5m3/d，需补充新鲜水0.5m3/d（150m3/a）。</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jc w:val="both"/>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项目给排水情况详见下表。</w:t>
            </w:r>
          </w:p>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表2-9                  项目给排水情况一览表              单位：m</w:t>
            </w:r>
            <w:r>
              <w:rPr>
                <w:rFonts w:hint="default" w:ascii="Times New Roman" w:hAnsi="Times New Roman" w:cs="Times New Roman"/>
                <w:b/>
                <w:bCs/>
                <w:color w:val="000000" w:themeColor="text1"/>
                <w:spacing w:val="0"/>
                <w:sz w:val="21"/>
                <w:szCs w:val="21"/>
                <w:highlight w:val="none"/>
                <w:shd w:val="clear" w:color="auto" w:fill="auto"/>
                <w:vertAlign w:val="superscript"/>
                <w:lang w:val="en-US" w:eastAsia="zh-CN"/>
                <w14:textFill>
                  <w14:solidFill>
                    <w14:schemeClr w14:val="tx1"/>
                  </w14:solidFill>
                </w14:textFill>
              </w:rPr>
              <w:t>3</w:t>
            </w: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/a</w:t>
            </w:r>
          </w:p>
          <w:tbl>
            <w:tblPr>
              <w:tblStyle w:val="3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67"/>
              <w:gridCol w:w="1120"/>
              <w:gridCol w:w="906"/>
              <w:gridCol w:w="906"/>
              <w:gridCol w:w="30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8"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用水项目</w:t>
                  </w:r>
                </w:p>
              </w:tc>
              <w:tc>
                <w:tcPr>
                  <w:tcW w:w="721"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总用水量</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消耗量</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排放量</w:t>
                  </w:r>
                </w:p>
              </w:tc>
              <w:tc>
                <w:tcPr>
                  <w:tcW w:w="1972"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排水去向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8"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生活用水</w:t>
                  </w:r>
                </w:p>
              </w:tc>
              <w:tc>
                <w:tcPr>
                  <w:tcW w:w="721"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450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90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360</w:t>
                  </w:r>
                </w:p>
              </w:tc>
              <w:tc>
                <w:tcPr>
                  <w:tcW w:w="1972"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污水处理厂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8"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循环冷却水补水</w:t>
                  </w:r>
                </w:p>
              </w:tc>
              <w:tc>
                <w:tcPr>
                  <w:tcW w:w="721"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600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600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0</w:t>
                  </w:r>
                </w:p>
              </w:tc>
              <w:tc>
                <w:tcPr>
                  <w:tcW w:w="1972"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循环使用，不外排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8"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试管用水</w:t>
                  </w:r>
                </w:p>
              </w:tc>
              <w:tc>
                <w:tcPr>
                  <w:tcW w:w="721"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150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150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0</w:t>
                  </w:r>
                </w:p>
              </w:tc>
              <w:tc>
                <w:tcPr>
                  <w:tcW w:w="1972"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经沉淀后回用于试管，不外排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38"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合计</w:t>
                  </w:r>
                </w:p>
              </w:tc>
              <w:tc>
                <w:tcPr>
                  <w:tcW w:w="721"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1200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840</w:t>
                  </w:r>
                </w:p>
              </w:tc>
              <w:tc>
                <w:tcPr>
                  <w:tcW w:w="583"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360</w:t>
                  </w:r>
                </w:p>
              </w:tc>
              <w:tc>
                <w:tcPr>
                  <w:tcW w:w="1972" w:type="pct"/>
                  <w:tcBorders>
                    <w:tl2br w:val="nil"/>
                    <w:tr2bl w:val="nil"/>
                  </w:tcBorders>
                  <w:noWrap w:val="0"/>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w:t>
                  </w:r>
                </w:p>
              </w:tc>
            </w:tr>
          </w:tbl>
          <w:p>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drawing>
                <wp:inline distT="0" distB="0" distL="114300" distR="114300">
                  <wp:extent cx="4919980" cy="2462530"/>
                  <wp:effectExtent l="0" t="0" r="0" b="0"/>
                  <wp:docPr id="1" name="E657119C-6982-421D-8BA7-E74DEB70A7D9-1" descr="C:/Users/Administrator/AppData/Local/Temp/wps.UUbRjV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657119C-6982-421D-8BA7-E74DEB70A7D9-1" descr="C:/Users/Administrator/AppData/Local/Temp/wps.UUbRjVwps"/>
                          <pic:cNvPicPr>
                            <a:picLocks noChangeAspect="1"/>
                          </pic:cNvPicPr>
                        </pic:nvPicPr>
                        <pic:blipFill>
                          <a:blip r:embed="rId8"/>
                          <a:stretch>
                            <a:fillRect/>
                          </a:stretch>
                        </pic:blipFill>
                        <pic:spPr>
                          <a:xfrm>
                            <a:off x="0" y="0"/>
                            <a:ext cx="4919980" cy="24625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1"/>
                <w:szCs w:val="21"/>
                <w:lang w:val="en-US" w:eastAsia="zh-CN"/>
              </w:rPr>
              <w:t>图2-1  本项目水平衡图  单位m</w:t>
            </w:r>
            <w:r>
              <w:rPr>
                <w:rFonts w:hint="default" w:ascii="Times New Roman" w:hAnsi="Times New Roman" w:cs="Times New Roman"/>
                <w:b/>
                <w:bCs/>
                <w:color w:val="auto"/>
                <w:sz w:val="21"/>
                <w:szCs w:val="21"/>
                <w:vertAlign w:val="superscript"/>
                <w:lang w:val="en-US" w:eastAsia="zh-CN"/>
              </w:rPr>
              <w:t>3</w:t>
            </w:r>
            <w:r>
              <w:rPr>
                <w:rFonts w:hint="default" w:ascii="Times New Roman" w:hAnsi="Times New Roman" w:cs="Times New Roman"/>
                <w:b/>
                <w:bCs/>
                <w:color w:val="auto"/>
                <w:sz w:val="21"/>
                <w:szCs w:val="21"/>
                <w:lang w:val="en-US" w:eastAsia="zh-CN"/>
              </w:rPr>
              <w:t>/a</w:t>
            </w:r>
          </w:p>
          <w:p>
            <w:pPr>
              <w:keepNext w:val="0"/>
              <w:keepLines w:val="0"/>
              <w:pageBreakBefore w:val="0"/>
              <w:widowControl w:val="0"/>
              <w:tabs>
                <w:tab w:val="left" w:pos="6090"/>
              </w:tabs>
              <w:kinsoku/>
              <w:wordWrap/>
              <w:overflowPunct/>
              <w:topLinePunct w:val="0"/>
              <w:autoSpaceDE/>
              <w:autoSpaceDN/>
              <w:bidi w:val="0"/>
              <w:adjustRightInd/>
              <w:snapToGrid/>
              <w:spacing w:line="348" w:lineRule="auto"/>
              <w:ind w:firstLine="482" w:firstLineChars="200"/>
              <w:textAlignment w:val="auto"/>
              <w:rPr>
                <w:rFonts w:hint="default" w:ascii="Times New Roman" w:hAnsi="Times New Roman" w:eastAsia="宋体" w:cs="Times New Roman"/>
                <w:b/>
                <w:bCs/>
                <w:color w:val="auto"/>
                <w:sz w:val="24"/>
                <w:szCs w:val="32"/>
                <w:lang w:val="en-US" w:eastAsia="zh-CN"/>
              </w:rPr>
            </w:pPr>
            <w:r>
              <w:rPr>
                <w:rFonts w:hint="default" w:ascii="Times New Roman" w:hAnsi="Times New Roman" w:eastAsia="宋体" w:cs="Times New Roman"/>
                <w:b/>
                <w:bCs/>
                <w:color w:val="auto"/>
                <w:sz w:val="24"/>
                <w:szCs w:val="32"/>
                <w:lang w:val="en-US" w:eastAsia="zh-CN"/>
              </w:rPr>
              <w:t>7.2供电</w:t>
            </w:r>
          </w:p>
          <w:p>
            <w:pPr>
              <w:keepNext w:val="0"/>
              <w:keepLines w:val="0"/>
              <w:pageBreakBefore w:val="0"/>
              <w:widowControl w:val="0"/>
              <w:tabs>
                <w:tab w:val="left" w:pos="6090"/>
              </w:tabs>
              <w:kinsoku/>
              <w:wordWrap/>
              <w:overflowPunct/>
              <w:topLinePunct w:val="0"/>
              <w:autoSpaceDE/>
              <w:autoSpaceDN/>
              <w:bidi w:val="0"/>
              <w:adjustRightInd/>
              <w:snapToGrid/>
              <w:spacing w:line="348" w:lineRule="auto"/>
              <w:ind w:firstLine="480" w:firstLineChars="200"/>
              <w:textAlignment w:val="auto"/>
              <w:rPr>
                <w:rFonts w:hint="default" w:ascii="Times New Roman" w:hAnsi="Times New Roman" w:eastAsia="宋体" w:cs="Times New Roman"/>
                <w:b w:val="0"/>
                <w:bCs w:val="0"/>
                <w:color w:val="auto"/>
                <w:sz w:val="24"/>
                <w:szCs w:val="32"/>
                <w:lang w:val="en-US" w:eastAsia="zh-CN"/>
              </w:rPr>
            </w:pPr>
            <w:r>
              <w:rPr>
                <w:rFonts w:hint="default" w:ascii="Times New Roman" w:hAnsi="Times New Roman" w:eastAsia="宋体" w:cs="Times New Roman"/>
                <w:b w:val="0"/>
                <w:bCs w:val="0"/>
                <w:color w:val="auto"/>
                <w:sz w:val="24"/>
                <w:szCs w:val="32"/>
                <w:lang w:val="en-US" w:eastAsia="zh-CN"/>
              </w:rPr>
              <w:t>本项目依托</w:t>
            </w:r>
            <w:r>
              <w:rPr>
                <w:rFonts w:hint="default" w:ascii="Times New Roman" w:hAnsi="Times New Roman" w:cs="Times New Roman"/>
                <w:color w:val="auto"/>
                <w:kern w:val="0"/>
                <w:sz w:val="24"/>
                <w:lang w:val="en-US" w:eastAsia="zh-CN"/>
              </w:rPr>
              <w:t>尉犁县</w:t>
            </w:r>
            <w:r>
              <w:rPr>
                <w:rFonts w:hint="default" w:ascii="Times New Roman" w:hAnsi="Times New Roman" w:eastAsia="宋体" w:cs="Times New Roman"/>
                <w:color w:val="auto"/>
                <w:kern w:val="0"/>
                <w:sz w:val="24"/>
                <w:lang w:val="en-US" w:eastAsia="zh-CN"/>
              </w:rPr>
              <w:t>市政</w:t>
            </w:r>
            <w:r>
              <w:rPr>
                <w:rFonts w:hint="default" w:ascii="Times New Roman" w:hAnsi="Times New Roman" w:eastAsia="宋体" w:cs="Times New Roman"/>
                <w:b w:val="0"/>
                <w:bCs w:val="0"/>
                <w:color w:val="auto"/>
                <w:sz w:val="24"/>
                <w:szCs w:val="32"/>
                <w:lang w:val="en-US" w:eastAsia="zh-CN"/>
              </w:rPr>
              <w:t>电网系统，可满足项目用电负荷的需求。</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32"/>
                <w:lang w:val="en-US" w:eastAsia="zh-CN"/>
              </w:rPr>
              <w:t>7.</w:t>
            </w:r>
            <w:r>
              <w:rPr>
                <w:rFonts w:hint="default" w:ascii="Times New Roman" w:hAnsi="Times New Roman" w:cs="Times New Roman"/>
                <w:b/>
                <w:bCs/>
                <w:color w:val="auto"/>
                <w:sz w:val="24"/>
                <w:szCs w:val="32"/>
                <w:lang w:val="en-US" w:eastAsia="zh-CN"/>
              </w:rPr>
              <w:t>3</w:t>
            </w:r>
            <w:r>
              <w:rPr>
                <w:rFonts w:hint="default" w:ascii="Times New Roman" w:hAnsi="Times New Roman" w:eastAsia="宋体" w:cs="Times New Roman"/>
                <w:b/>
                <w:bCs/>
                <w:color w:val="auto"/>
                <w:sz w:val="24"/>
                <w:szCs w:val="24"/>
              </w:rPr>
              <w:t>供暖</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本项目生产过程采用</w:t>
            </w:r>
            <w:r>
              <w:rPr>
                <w:rFonts w:hint="eastAsia" w:cs="Times New Roman"/>
                <w:bCs/>
                <w:color w:val="auto"/>
                <w:sz w:val="24"/>
                <w:szCs w:val="24"/>
                <w:lang w:val="en-US" w:eastAsia="zh-CN"/>
              </w:rPr>
              <w:t>电加热</w:t>
            </w:r>
            <w:r>
              <w:rPr>
                <w:rFonts w:hint="default" w:ascii="Times New Roman" w:hAnsi="Times New Roman" w:eastAsia="宋体" w:cs="Times New Roman"/>
                <w:bCs/>
                <w:color w:val="auto"/>
                <w:sz w:val="24"/>
                <w:szCs w:val="24"/>
                <w:lang w:val="en-US" w:eastAsia="zh-CN"/>
              </w:rPr>
              <w:t>，生活办公采用空调采暖。</w:t>
            </w:r>
          </w:p>
          <w:p>
            <w:pPr>
              <w:pStyle w:val="6"/>
              <w:pageBreakBefore w:val="0"/>
              <w:widowControl w:val="0"/>
              <w:kinsoku/>
              <w:wordWrap/>
              <w:overflowPunct/>
              <w:topLinePunct w:val="0"/>
              <w:autoSpaceDE/>
              <w:autoSpaceDN/>
              <w:bidi w:val="0"/>
              <w:snapToGrid w:val="0"/>
              <w:spacing w:line="356" w:lineRule="auto"/>
              <w:ind w:firstLine="482"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、总平面布置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本项目2#厂房位于厂区北部1#厂房东侧，办公室位于项目区南侧，设备间位于厂区东南侧，泵房位于办公室西北侧。厂区大门位于厂区南侧，紧邻园区规划道路，便于人流和物流的组织。项目用地呈矩形，地势平坦，交通便利。厂区功能分区明确：生产车间位于厂区北部，办公生活区位于厂区南侧，二者之间由厂区道路和绿化带分隔，既保证了生产流程的顺畅，又有效隔离了生产活动对办公生活区的影响。</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2#生产车间位于厂区北部，建筑面积7055.94m</w:t>
            </w:r>
            <w:r>
              <w:rPr>
                <w:rFonts w:hint="default" w:ascii="Times New Roman" w:hAnsi="Times New Roman" w:cs="Times New Roman"/>
                <w:bCs/>
                <w:color w:val="auto"/>
                <w:sz w:val="24"/>
                <w:szCs w:val="24"/>
                <w:vertAlign w:val="superscript"/>
                <w:lang w:val="en-US" w:eastAsia="zh-CN"/>
              </w:rPr>
              <w:t>2</w:t>
            </w:r>
            <w:r>
              <w:rPr>
                <w:rFonts w:hint="default" w:ascii="Times New Roman" w:hAnsi="Times New Roman" w:cs="Times New Roman"/>
                <w:bCs/>
                <w:color w:val="auto"/>
                <w:sz w:val="24"/>
                <w:szCs w:val="24"/>
                <w:lang w:val="en-US" w:eastAsia="zh-CN"/>
              </w:rPr>
              <w:t>，车间内由北向南依次布置连续缠绕玻璃钢管道生产线（含缠绕区、固化区、修整区）、PE管生产线、PVC管生产线、HDPE双壁波纹管生产线。各生产线之间留有足够的操作空间和物料通道，满足生产操作和安全疏散要求。石英砂储存输送系统布置于缠绕区附近，树脂搅拌及输送系统布置于车间中部，便于向各生产线供料。原辅材料库房位于车间内南侧，成品暂存区位于车间内东侧，靠近车间出口，便于产品装卸运输。</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bCs/>
                <w:color w:val="auto"/>
                <w:kern w:val="0"/>
                <w:szCs w:val="21"/>
                <w:lang w:val="en-US" w:eastAsia="zh-CN"/>
              </w:rPr>
            </w:pPr>
            <w:r>
              <w:rPr>
                <w:rFonts w:hint="default" w:ascii="Times New Roman" w:hAnsi="Times New Roman" w:cs="Times New Roman"/>
                <w:bCs/>
                <w:color w:val="auto"/>
                <w:sz w:val="24"/>
                <w:szCs w:val="24"/>
                <w:lang w:val="en-US" w:eastAsia="zh-CN"/>
              </w:rPr>
              <w:t>项目区常年主导风向为东北风，生活区布置在厂房南侧，与生产车间保持一定距离并以绿化带隔离，生活办公区与生产区保持一定的距离，种植绿化带进行隔离，项目生产产生的废气不会对办公生活造成明显不利影响。生产区和办公区分开布置，从整体布局来看工艺流程流畅，人流和物流分开，交通运输、物料运输方便快捷，满足企业有关标准规范要求。因此，从环保的角度看，项目平面布置总体合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pPr>
              <w:pStyle w:val="32"/>
              <w:adjustRightInd w:val="0"/>
              <w:snapToGrid w:val="0"/>
              <w:spacing w:before="0" w:beforeAutospacing="0" w:after="0" w:afterAutospacing="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Cs w:val="24"/>
              </w:rPr>
              <w:t>工艺流程和产排污环节</w:t>
            </w:r>
          </w:p>
        </w:tc>
        <w:tc>
          <w:tcPr>
            <w:tcW w:w="0" w:type="auto"/>
            <w:noWrap/>
          </w:tcPr>
          <w:p>
            <w:pPr>
              <w:keepNext w:val="0"/>
              <w:keepLines w:val="0"/>
              <w:pageBreakBefore w:val="0"/>
              <w:widowControl w:val="0"/>
              <w:kinsoku/>
              <w:wordWrap/>
              <w:overflowPunct/>
              <w:topLinePunct/>
              <w:autoSpaceDE/>
              <w:autoSpaceDN/>
              <w:bidi w:val="0"/>
              <w:adjustRightInd/>
              <w:snapToGrid/>
              <w:spacing w:before="157" w:beforeLines="50" w:line="353" w:lineRule="auto"/>
              <w:ind w:firstLine="482" w:firstLineChars="200"/>
              <w:jc w:val="both"/>
              <w:textAlignment w:val="auto"/>
              <w:rPr>
                <w:rFonts w:hint="default" w:ascii="Times New Roman" w:hAnsi="Times New Roman" w:eastAsia="宋体" w:cs="Times New Roman"/>
                <w:b/>
                <w:color w:val="auto"/>
                <w:kern w:val="0"/>
                <w:sz w:val="24"/>
                <w:szCs w:val="24"/>
                <w:lang w:val="en-US" w:eastAsia="zh-CN" w:bidi="ar-SA"/>
              </w:rPr>
            </w:pPr>
            <w:bookmarkStart w:id="1" w:name="_Toc9297"/>
            <w:r>
              <w:rPr>
                <w:rFonts w:hint="default" w:ascii="Times New Roman" w:hAnsi="Times New Roman" w:eastAsia="宋体" w:cs="Times New Roman"/>
                <w:b/>
                <w:color w:val="auto"/>
                <w:kern w:val="0"/>
                <w:sz w:val="24"/>
                <w:szCs w:val="24"/>
                <w:lang w:val="en-US" w:eastAsia="zh-CN" w:bidi="ar-SA"/>
              </w:rPr>
              <w:t>1、施工期</w:t>
            </w:r>
          </w:p>
          <w:p>
            <w:pPr>
              <w:pStyle w:val="49"/>
              <w:adjustRightInd/>
              <w:spacing w:line="360" w:lineRule="auto"/>
              <w:ind w:firstLine="480" w:firstLineChars="200"/>
              <w:jc w:val="both"/>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（1）工艺流程示意图</w:t>
            </w:r>
          </w:p>
          <w:p>
            <w:pPr>
              <w:pStyle w:val="16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pacing w:val="0"/>
                <w:sz w:val="24"/>
              </w:rPr>
            </w:pPr>
            <w:r>
              <w:rPr>
                <w:rFonts w:hint="default" w:ascii="Times New Roman" w:hAnsi="Times New Roman" w:cs="Times New Roman"/>
                <w:color w:val="auto"/>
                <w:spacing w:val="0"/>
                <w:sz w:val="24"/>
              </w:rPr>
              <w:t>工程施工期间的</w:t>
            </w:r>
            <w:r>
              <w:rPr>
                <w:rFonts w:hint="default" w:ascii="Times New Roman" w:hAnsi="Times New Roman" w:cs="Times New Roman"/>
                <w:color w:val="auto"/>
                <w:spacing w:val="0"/>
                <w:sz w:val="24"/>
                <w:lang w:val="en-US" w:eastAsia="zh-CN"/>
              </w:rPr>
              <w:t>土石方阶段、基础施工阶段、结构施工阶段、</w:t>
            </w:r>
            <w:r>
              <w:rPr>
                <w:rFonts w:hint="default" w:ascii="Times New Roman" w:hAnsi="Times New Roman" w:cs="Times New Roman"/>
                <w:color w:val="auto"/>
                <w:spacing w:val="0"/>
                <w:sz w:val="24"/>
              </w:rPr>
              <w:t>安装工程等建设工序将会产生噪声、扬尘、固体废弃物、少量污水等污染物。本项目施工期基本工序及污染工艺流程，如下图所示：</w:t>
            </w:r>
          </w:p>
          <w:p>
            <w:pPr>
              <w:keepNext w:val="0"/>
              <w:keepLines w:val="0"/>
              <w:pageBreakBefore w:val="0"/>
              <w:widowControl w:val="0"/>
              <w:kinsoku/>
              <w:wordWrap/>
              <w:overflowPunct/>
              <w:topLinePunct w:val="0"/>
              <w:autoSpaceDE w:val="0"/>
              <w:autoSpaceDN w:val="0"/>
              <w:bidi w:val="0"/>
              <w:adjustRightInd/>
              <w:snapToGrid/>
              <w:spacing w:line="353" w:lineRule="auto"/>
              <w:jc w:val="both"/>
              <w:textAlignment w:val="bottom"/>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cs="Times New Roman"/>
                <w:color w:val="auto"/>
              </w:rPr>
              <w:drawing>
                <wp:inline distT="0" distB="0" distL="114300" distR="114300">
                  <wp:extent cx="4966335" cy="1396365"/>
                  <wp:effectExtent l="19050" t="19050" r="24765" b="32385"/>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9"/>
                          <a:srcRect t="-2208" r="5486"/>
                          <a:stretch>
                            <a:fillRect/>
                          </a:stretch>
                        </pic:blipFill>
                        <pic:spPr>
                          <a:xfrm>
                            <a:off x="0" y="0"/>
                            <a:ext cx="4966335" cy="1396365"/>
                          </a:xfrm>
                          <a:prstGeom prst="rect">
                            <a:avLst/>
                          </a:prstGeom>
                          <a:noFill/>
                          <a:ln w="19050" cap="flat" cmpd="sng">
                            <a:solidFill>
                              <a:srgbClr val="000000"/>
                            </a:solidFill>
                            <a:prstDash val="solid"/>
                            <a:round/>
                            <a:headEnd type="none" w="med" len="med"/>
                            <a:tailEnd type="none" w="med" len="med"/>
                          </a:ln>
                        </pic:spPr>
                      </pic:pic>
                    </a:graphicData>
                  </a:graphic>
                </wp:inline>
              </w:drawing>
            </w:r>
          </w:p>
          <w:p>
            <w:pPr>
              <w:pStyle w:val="6"/>
              <w:keepNext/>
              <w:keepLines/>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图2-2  施工期工艺流程及产污环节图</w:t>
            </w:r>
          </w:p>
          <w:p>
            <w:pPr>
              <w:pStyle w:val="49"/>
              <w:adjustRightInd/>
              <w:spacing w:line="360" w:lineRule="auto"/>
              <w:ind w:firstLine="480" w:firstLineChars="200"/>
              <w:jc w:val="left"/>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（2）产排污环节</w:t>
            </w:r>
          </w:p>
          <w:p>
            <w:pPr>
              <w:pStyle w:val="49"/>
              <w:adjustRightInd/>
              <w:spacing w:line="360" w:lineRule="auto"/>
              <w:ind w:firstLine="480" w:firstLineChars="200"/>
              <w:jc w:val="left"/>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①废气：主要为施工中产生的施工扬尘和汽车尾气。</w:t>
            </w:r>
          </w:p>
          <w:p>
            <w:pPr>
              <w:pStyle w:val="49"/>
              <w:adjustRightInd/>
              <w:spacing w:line="360" w:lineRule="auto"/>
              <w:ind w:firstLine="480" w:firstLineChars="200"/>
              <w:jc w:val="left"/>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②废水：主要为施工中产生的生产废水和生活污水。</w:t>
            </w:r>
          </w:p>
          <w:p>
            <w:pPr>
              <w:pStyle w:val="49"/>
              <w:adjustRightInd/>
              <w:spacing w:line="360" w:lineRule="auto"/>
              <w:ind w:firstLine="480" w:firstLineChars="200"/>
              <w:jc w:val="left"/>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③噪声：主要为施工机械和设备产生的噪声。</w:t>
            </w:r>
          </w:p>
          <w:p>
            <w:pPr>
              <w:pStyle w:val="49"/>
              <w:adjustRightInd/>
              <w:spacing w:line="360" w:lineRule="auto"/>
              <w:ind w:firstLine="480" w:firstLineChars="200"/>
              <w:jc w:val="left"/>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④固废：主要为建筑垃圾和施工人员生活垃圾。</w:t>
            </w:r>
          </w:p>
          <w:p>
            <w:pPr>
              <w:pStyle w:val="6"/>
              <w:keepNext/>
              <w:keepLines/>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2、运营期</w:t>
            </w:r>
          </w:p>
          <w:bookmarkEnd w:id="1"/>
          <w:p>
            <w:pPr>
              <w:pStyle w:val="49"/>
              <w:adjustRightInd/>
              <w:spacing w:line="360" w:lineRule="auto"/>
              <w:ind w:firstLine="482" w:firstLineChars="200"/>
              <w:jc w:val="left"/>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 xml:space="preserve">2.1连续缠绕玻璃钢管生产线 </w:t>
            </w:r>
          </w:p>
          <w:p>
            <w:pPr>
              <w:pStyle w:val="49"/>
              <w:adjustRightInd/>
              <w:spacing w:line="360" w:lineRule="auto"/>
              <w:ind w:firstLine="480" w:firstLineChars="200"/>
              <w:jc w:val="left"/>
              <w:rPr>
                <w:rFonts w:hint="default" w:ascii="Times New Roman" w:hAnsi="Times New Roman" w:eastAsia="宋体" w:cs="Times New Roman"/>
                <w:b w:val="0"/>
                <w:color w:val="auto"/>
                <w:kern w:val="0"/>
                <w:sz w:val="24"/>
                <w:szCs w:val="24"/>
                <w:lang w:val="en-US" w:eastAsia="zh-CN" w:bidi="ar-SA"/>
              </w:rPr>
            </w:pPr>
            <w:r>
              <w:rPr>
                <w:rFonts w:hint="default" w:ascii="Times New Roman" w:hAnsi="Times New Roman" w:eastAsia="宋体" w:cs="Times New Roman"/>
                <w:b w:val="0"/>
                <w:color w:val="auto"/>
                <w:kern w:val="0"/>
                <w:sz w:val="24"/>
                <w:szCs w:val="24"/>
                <w:lang w:val="en-US" w:eastAsia="zh-CN" w:bidi="ar-SA"/>
              </w:rPr>
              <w:t>玻璃钢管生产工艺流程及产排污环节见下图。</w:t>
            </w:r>
          </w:p>
          <w:p>
            <w:pPr>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object>
                <v:shape id="_x0000_i1025" o:spt="75" type="#_x0000_t75" style="height:466.65pt;width:333.7pt;" o:ole="t" filled="f" o:preferrelative="t" stroked="f" coordsize="21600,21600">
                  <v:path/>
                  <v:fill on="f" focussize="0,0"/>
                  <v:stroke on="f"/>
                  <v:imagedata r:id="rId11" o:title=""/>
                  <o:lock v:ext="edit" aspectratio="f"/>
                  <w10:wrap type="none"/>
                  <w10:anchorlock/>
                </v:shape>
                <o:OLEObject Type="Embed" ProgID="Visio.Drawing.11" ShapeID="_x0000_i1025" DrawAspect="Content" ObjectID="_1468075725" r:id="rId10">
                  <o:LockedField>false</o:LockedField>
                </o:OLEObject>
              </w:objec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0" w:firstLineChars="0"/>
              <w:jc w:val="center"/>
              <w:textAlignment w:val="auto"/>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 xml:space="preserve">图2-3  </w:t>
            </w:r>
            <w:r>
              <w:rPr>
                <w:rFonts w:hint="default" w:ascii="Times New Roman" w:hAnsi="Times New Roman" w:cs="Times New Roman"/>
                <w:b/>
                <w:bCs/>
                <w:color w:val="auto"/>
                <w:kern w:val="2"/>
                <w:sz w:val="21"/>
                <w:szCs w:val="21"/>
                <w:lang w:val="en-US" w:eastAsia="zh-CN" w:bidi="ar-SA"/>
              </w:rPr>
              <w:t xml:space="preserve"> 玻璃管道</w:t>
            </w:r>
            <w:r>
              <w:rPr>
                <w:rFonts w:hint="default" w:ascii="Times New Roman" w:hAnsi="Times New Roman" w:eastAsia="宋体" w:cs="Times New Roman"/>
                <w:b/>
                <w:bCs/>
                <w:color w:val="auto"/>
                <w:kern w:val="2"/>
                <w:sz w:val="21"/>
                <w:szCs w:val="21"/>
                <w:lang w:val="en-US" w:eastAsia="zh-CN" w:bidi="ar-SA"/>
              </w:rPr>
              <w:t>生产工艺流程及产污环节图</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项目以不饱和聚酯树脂、玻璃纤维、石英砂等作为原料，辅以少量固化剂，经过成型生产线加工生产玻璃钢管。项目根据工艺生产过程将生产流程分为原料混合、缠绕夹砂、预成型、</w:t>
            </w:r>
            <w:r>
              <w:rPr>
                <w:rFonts w:hint="default" w:ascii="Times New Roman" w:hAnsi="Times New Roman" w:cs="Times New Roman"/>
                <w:b w:val="0"/>
                <w:bCs/>
                <w:color w:val="auto"/>
                <w:sz w:val="24"/>
                <w:lang w:val="en-US" w:eastAsia="zh-CN"/>
              </w:rPr>
              <w:t>加热</w:t>
            </w:r>
            <w:r>
              <w:rPr>
                <w:rFonts w:hint="default" w:ascii="Times New Roman" w:hAnsi="Times New Roman" w:eastAsia="宋体" w:cs="Times New Roman"/>
                <w:b w:val="0"/>
                <w:bCs/>
                <w:color w:val="auto"/>
                <w:sz w:val="24"/>
                <w:lang w:val="en-US" w:eastAsia="zh-CN"/>
              </w:rPr>
              <w:t>固化以及修整切割等</w:t>
            </w:r>
            <w:r>
              <w:rPr>
                <w:rFonts w:hint="default" w:ascii="Times New Roman" w:hAnsi="Times New Roman" w:cs="Times New Roman"/>
                <w:b w:val="0"/>
                <w:bCs/>
                <w:color w:val="auto"/>
                <w:sz w:val="24"/>
                <w:lang w:val="en-US" w:eastAsia="zh-CN"/>
              </w:rPr>
              <w:t>工序</w:t>
            </w:r>
            <w:r>
              <w:rPr>
                <w:rFonts w:hint="default" w:ascii="Times New Roman" w:hAnsi="Times New Roman" w:eastAsia="宋体" w:cs="Times New Roman"/>
                <w:b w:val="0"/>
                <w:bCs/>
                <w:color w:val="auto"/>
                <w:sz w:val="24"/>
                <w:lang w:val="en-US" w:eastAsia="zh-CN"/>
              </w:rPr>
              <w:t>，制造出各种规格的玻璃钢管。各阶段情况如下：</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①原料混合：不饱和聚酯树脂、固化剂等原料在封闭负压原料间中的封闭式搅拌机进行三种原辅料初步搅拌混合，搅拌完成后，将树脂通过泵输送至高精度计算机控制管道连续缠绕机供胶系统，需对树脂不停搅拌，确保树脂的流动性，该系统为密闭系统，原料为黏稠状液体与糊状物质，树脂搅拌过程中产生的废气进入下一个工段，在缠绕成型生产线的树脂输送系统的出口排放。石英砂包装方式为袋装，投料过程粉尘产生量较小。上料过程采用封闭输送系统，仅投料口处有少量粉尘逸散。投料粉尘源强核算详见第四章1.3节。</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②浸胶缠绕夹砂：纱架上的玻璃纤维丝，在牵引机作用下进入树脂槽均匀涂抹树脂，再在缠绕机的作用下</w:t>
            </w:r>
            <w:r>
              <w:rPr>
                <w:rFonts w:hint="default" w:ascii="Times New Roman" w:hAnsi="Times New Roman" w:cs="Times New Roman"/>
                <w:b w:val="0"/>
                <w:bCs/>
                <w:color w:val="auto"/>
                <w:sz w:val="24"/>
                <w:lang w:val="en-US" w:eastAsia="zh-CN"/>
              </w:rPr>
              <w:t>按照“内衬层一夹砂层一外保护层”的工艺顺序缠绕在模具上。其中：内衬层：先缠绕表面毡（提高内表面光洁度和耐腐蚀性能），再缠绕短切毡（增强树脂浸润性和层间结合力）；夹砂层：在缠绕过程中同步加入石英砂，形成树脂砂浆复合层，提高管道刚度和抗外压能力；外保护层：缠绕网格布（增强抗冲击性能）和玻璃纤维丝，形成外保护结构。</w:t>
            </w:r>
            <w:r>
              <w:rPr>
                <w:rFonts w:hint="default" w:ascii="Times New Roman" w:hAnsi="Times New Roman" w:eastAsia="宋体" w:cs="Times New Roman"/>
                <w:b w:val="0"/>
                <w:bCs/>
                <w:color w:val="auto"/>
                <w:sz w:val="24"/>
                <w:lang w:val="en-US" w:eastAsia="zh-CN"/>
              </w:rPr>
              <w:t>缠绕完成后再敷上一层表面毡或网格布作为外保护层，确保管道外表面平整光滑。</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③预成型：完成包裹的玻璃纤维织层通过固定形状的模具，将包裹的玻璃纤维织物逐步过渡到产品型材形状，同时将多余树脂挤出到浸脂槽。该过程多余的树脂被重复利用，主要污染物为树脂常温挥发的有机废气。</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④模塑及固化：成型的型材进入加热模具中加热固化成型，根据设备厂方提供的相关数据，本项目考虑使用的树脂在固化中的放热曲线及物料与模具的摩擦性能，将模具分成3个不同的加热区：预热区（110℃）、凝胶区（140℃）、固化区（160℃），以控制固化速度。该过程主要污染物为树脂加热加速固化时挥发的有机废气、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cs="Times New Roman"/>
                <w:b w:val="0"/>
                <w:bCs/>
                <w:snapToGrid w:val="0"/>
                <w:color w:val="auto"/>
                <w:kern w:val="0"/>
                <w:sz w:val="24"/>
                <w:szCs w:val="24"/>
                <w:highlight w:val="none"/>
                <w:lang w:val="en-US" w:eastAsia="zh-CN" w:bidi="ar-SA"/>
              </w:rPr>
              <w:t>本项目</w:t>
            </w:r>
            <w:r>
              <w:rPr>
                <w:rFonts w:hint="default" w:ascii="Times New Roman" w:hAnsi="Times New Roman" w:eastAsia="宋体" w:cs="Times New Roman"/>
                <w:b w:val="0"/>
                <w:bCs/>
                <w:color w:val="auto"/>
                <w:sz w:val="24"/>
                <w:lang w:val="en-US" w:eastAsia="zh-CN"/>
              </w:rPr>
              <w:t>浸胶缠绕夹砂</w:t>
            </w:r>
            <w:r>
              <w:rPr>
                <w:rFonts w:hint="default" w:ascii="Times New Roman" w:hAnsi="Times New Roman" w:cs="Times New Roman"/>
                <w:b w:val="0"/>
                <w:bCs/>
                <w:color w:val="auto"/>
                <w:sz w:val="24"/>
                <w:lang w:val="en-US" w:eastAsia="zh-CN"/>
              </w:rPr>
              <w:t>、</w:t>
            </w:r>
            <w:r>
              <w:rPr>
                <w:rFonts w:hint="default" w:ascii="Times New Roman" w:hAnsi="Times New Roman" w:eastAsia="宋体" w:cs="Times New Roman"/>
                <w:b w:val="0"/>
                <w:bCs/>
                <w:color w:val="auto"/>
                <w:sz w:val="24"/>
                <w:lang w:val="en-US" w:eastAsia="zh-CN"/>
              </w:rPr>
              <w:t>预成型</w:t>
            </w:r>
            <w:r>
              <w:rPr>
                <w:rFonts w:hint="default" w:ascii="Times New Roman" w:hAnsi="Times New Roman" w:cs="Times New Roman"/>
                <w:b w:val="0"/>
                <w:bCs/>
                <w:color w:val="auto"/>
                <w:sz w:val="24"/>
                <w:lang w:val="en-US" w:eastAsia="zh-CN"/>
              </w:rPr>
              <w:t>、</w:t>
            </w:r>
            <w:r>
              <w:rPr>
                <w:rFonts w:hint="default" w:ascii="Times New Roman" w:hAnsi="Times New Roman" w:eastAsia="宋体" w:cs="Times New Roman"/>
                <w:b w:val="0"/>
                <w:bCs/>
                <w:color w:val="auto"/>
                <w:sz w:val="24"/>
                <w:lang w:val="en-US" w:eastAsia="zh-CN"/>
              </w:rPr>
              <w:t>模塑及固化</w:t>
            </w:r>
            <w:r>
              <w:rPr>
                <w:rFonts w:hint="default" w:ascii="Times New Roman" w:hAnsi="Times New Roman" w:cs="Times New Roman"/>
                <w:b w:val="0"/>
                <w:bCs/>
                <w:snapToGrid w:val="0"/>
                <w:color w:val="auto"/>
                <w:kern w:val="0"/>
                <w:sz w:val="24"/>
                <w:szCs w:val="24"/>
                <w:highlight w:val="none"/>
                <w:lang w:val="en-US" w:eastAsia="zh-CN" w:bidi="ar-SA"/>
              </w:rPr>
              <w:t>工序采用生产设施为连续管道缠绕机，为一体式生产设备，缠绕连续工序在一体式设备中完成，设备自带密闭式集气罩，集气罩尺寸为10m×5m×1.1m，此工序产生的有机废气由设备自带的集气罩收集后进入有机废气治理设施，产品在固化区固化后自然冷却定型，冷却过程中不产生有机废气。</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⑤管道切割修整：固化成型的玻璃钢管道按照订单要求长度进行在线切割，打磨修整，保证产品长度及外观质量，该过程主要污染物为切割粉尘、边角料、噪声。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⑥水压测试。按技术要求对管道进行水压测试</w:t>
            </w:r>
            <w:r>
              <w:rPr>
                <w:rFonts w:hint="default" w:ascii="Times New Roman" w:hAnsi="Times New Roman" w:cs="Times New Roman"/>
                <w:b w:val="0"/>
                <w:bCs/>
                <w:color w:val="auto"/>
                <w:sz w:val="24"/>
                <w:lang w:val="en-US" w:eastAsia="zh-CN"/>
              </w:rPr>
              <w:t>，试压废水经三级沉淀池处理后循环使用于试压工序，定期补充新鲜水，不外排</w:t>
            </w:r>
            <w:r>
              <w:rPr>
                <w:rFonts w:hint="default" w:ascii="Times New Roman" w:hAnsi="Times New Roman" w:eastAsia="宋体" w:cs="Times New Roman"/>
                <w:b w:val="0"/>
                <w:bCs/>
                <w:color w:val="auto"/>
                <w:sz w:val="24"/>
                <w:lang w:val="en-US" w:eastAsia="zh-CN"/>
              </w:rPr>
              <w:t>。</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⑦检验。对管道成品的各项指标进行检测，成品入库。</w:t>
            </w:r>
          </w:p>
          <w:p>
            <w:pPr>
              <w:pStyle w:val="49"/>
              <w:adjustRightInd/>
              <w:spacing w:line="360" w:lineRule="auto"/>
              <w:ind w:firstLine="482" w:firstLineChars="200"/>
              <w:jc w:val="left"/>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2.2PE管材生产线</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PE管材生产工艺流程及产排污环节见下图。</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0" w:firstLineChars="0"/>
              <w:jc w:val="center"/>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cs="Times New Roman"/>
              </w:rPr>
              <w:drawing>
                <wp:inline distT="0" distB="0" distL="114300" distR="114300">
                  <wp:extent cx="3283585" cy="5621020"/>
                  <wp:effectExtent l="0" t="0" r="12065" b="1778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3283585" cy="5621020"/>
                          </a:xfrm>
                          <a:prstGeom prst="rect">
                            <a:avLst/>
                          </a:prstGeom>
                          <a:noFill/>
                          <a:ln>
                            <a:noFill/>
                          </a:ln>
                        </pic:spPr>
                      </pic:pic>
                    </a:graphicData>
                  </a:graphic>
                </wp:inline>
              </w:drawing>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图</w:t>
            </w:r>
            <w:r>
              <w:rPr>
                <w:rFonts w:hint="default" w:ascii="Times New Roman" w:hAnsi="Times New Roman" w:cs="Times New Roman"/>
                <w:b/>
                <w:bCs/>
                <w:color w:val="auto"/>
                <w:kern w:val="2"/>
                <w:sz w:val="21"/>
                <w:szCs w:val="21"/>
                <w:lang w:val="en-US" w:eastAsia="zh-CN" w:bidi="ar-SA"/>
              </w:rPr>
              <w:t xml:space="preserve">2-4   </w:t>
            </w:r>
            <w:r>
              <w:rPr>
                <w:rFonts w:hint="default" w:ascii="Times New Roman" w:hAnsi="Times New Roman" w:eastAsia="宋体" w:cs="Times New Roman"/>
                <w:b/>
                <w:bCs/>
                <w:color w:val="auto"/>
                <w:kern w:val="2"/>
                <w:sz w:val="21"/>
                <w:szCs w:val="21"/>
                <w:lang w:val="en-US" w:eastAsia="zh-CN" w:bidi="ar-SA"/>
              </w:rPr>
              <w:t xml:space="preserve"> PE管生产工艺流程及产污环节图</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工艺流程简述：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①原料（PE粒料、色母）混合后加入挤出机，进行挤出。挤出过程中</w:t>
            </w:r>
            <w:r>
              <w:rPr>
                <w:rFonts w:hint="eastAsia" w:ascii="Times New Roman" w:cs="Times New Roman"/>
                <w:b w:val="0"/>
                <w:bCs/>
                <w:color w:val="auto"/>
                <w:sz w:val="24"/>
                <w:lang w:val="en-US" w:eastAsia="zh-CN"/>
              </w:rPr>
              <w:t>有</w:t>
            </w:r>
            <w:r>
              <w:rPr>
                <w:rFonts w:hint="default" w:ascii="Times New Roman" w:hAnsi="Times New Roman" w:eastAsia="宋体" w:cs="Times New Roman"/>
                <w:b w:val="0"/>
                <w:bCs/>
                <w:color w:val="auto"/>
                <w:sz w:val="24"/>
                <w:lang w:val="en-US" w:eastAsia="zh-CN"/>
              </w:rPr>
              <w:t>温度的地方主要有机身和机头，热量来源为挤塑机机身部位的摩擦热和电加热，以及机头部</w:t>
            </w:r>
            <w:bookmarkStart w:id="9" w:name="_GoBack"/>
            <w:bookmarkEnd w:id="9"/>
            <w:r>
              <w:rPr>
                <w:rFonts w:hint="default" w:ascii="Times New Roman" w:hAnsi="Times New Roman" w:eastAsia="宋体" w:cs="Times New Roman"/>
                <w:b w:val="0"/>
                <w:bCs/>
                <w:color w:val="auto"/>
                <w:sz w:val="24"/>
                <w:lang w:val="en-US" w:eastAsia="zh-CN"/>
              </w:rPr>
              <w:t>位的电加热，机身主要包括螺杆和机筒。挤塑机螺杆分3个区段：加料段（送料段）、熔化段（压缩段）、计量段（均化段），这三段相应的对物料组成了3个功能区：固体输送区、物料塑化区、熔体输送区。固体输送区的料筒温度一般控制在100-140℃。物料塑化区的温度控制在170-190℃。熔体输送区的温度应略低一些，一般为160-180℃。在加热的同时，通过螺杆转动，将原料向前推移挤压，使之逐渐熔融状塑化带，进入机头模具，挤压出柔软的管状制品。该过程主要污染物为挥发性有机废气、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②真空定径、水冷</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牵引柔软的管状制品离开模具后，进入定径套，在真空和水冷却的作用下定径。牵引装置的作用是给机头挤出的管材提供一定的牵引力和牵引速度，均匀的引出管材，并通过调节牵引速度调节管子的壁厚。该过程主要污染物为冷却废水、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③切割、检验</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牵引后的半成品按照要求规格切割成型，该切割采用刀片冲切的原理，实现管材的无屑切断，最后检验合格即为成品，入库。该过程主要污染物为边角料、不合格产品、噪声。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2" w:firstLineChars="200"/>
              <w:textAlignment w:val="auto"/>
              <w:rPr>
                <w:rFonts w:hint="default" w:ascii="Times New Roman" w:hAnsi="Times New Roman" w:eastAsia="宋体" w:cs="Times New Roman"/>
                <w:b/>
                <w:bCs w:val="0"/>
                <w:color w:val="auto"/>
                <w:sz w:val="24"/>
                <w:lang w:val="en-US" w:eastAsia="zh-CN"/>
              </w:rPr>
            </w:pPr>
            <w:r>
              <w:rPr>
                <w:rFonts w:hint="default" w:ascii="Times New Roman" w:hAnsi="Times New Roman" w:eastAsia="宋体" w:cs="Times New Roman"/>
                <w:b/>
                <w:bCs w:val="0"/>
                <w:color w:val="auto"/>
                <w:sz w:val="24"/>
                <w:lang w:val="en-US" w:eastAsia="zh-CN"/>
              </w:rPr>
              <w:t>2.3PVC管材生产线</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PVC管材生产工艺流程及产排污环节见下图。</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0" w:firstLineChars="0"/>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919095" cy="4658995"/>
                  <wp:effectExtent l="0" t="0" r="14605"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3"/>
                          <a:stretch>
                            <a:fillRect/>
                          </a:stretch>
                        </pic:blipFill>
                        <pic:spPr>
                          <a:xfrm>
                            <a:off x="0" y="0"/>
                            <a:ext cx="2919095" cy="4658995"/>
                          </a:xfrm>
                          <a:prstGeom prst="rect">
                            <a:avLst/>
                          </a:prstGeom>
                          <a:noFill/>
                          <a:ln>
                            <a:noFill/>
                          </a:ln>
                        </pic:spPr>
                      </pic:pic>
                    </a:graphicData>
                  </a:graphic>
                </wp:inline>
              </w:drawing>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图2-5   PVC管材生产工艺流程及产污环节图</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工艺流程简述：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①混合搅拌：将PVC树脂粉、碳酸钙粉等原材料按一定比例用高速搅拌机混合搅拌。物料经与机械内壁的高速碰撞摩擦快速升温至设定温度，搅拌时间约20min，混料搅拌过程会产生少量粉尘、噪声。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②挤出成型：经混合搅拌后的物料经过输送机自动输送至挤出机投料口内，物料在螺杆旋转作用下通过料筒内壁和螺杆表面摩擦剪切作用向前输送至加料段，在此松散物料被向前输送同时被压实；在压缩段，螺槽深度变浅，进一步压实，同时在料筒外加热和螺杆与料筒内壁摩擦剪切作用下，料温升高开始熔融，压缩段结束，进入均质段，在此，物料均匀、定温、定量挤出熔体，到机头后成型得到制品。机头模具内部布有盘管，冷却水循环流动使模具温度降低，以利于产品成型与模具及时分离。挤出工段加热采用电加热，加热温度120℃左右。根据PVC理化性质，氯化氢少量释放出来，但本项目添加稳定剂，可以中和和吸收PVC热分解时释放出的氯化氢，从而大大抑制PVC热降解反应。因此本工序PVC树脂粉熔融会产生少量的VOCs、氯化氢和氯乙烯、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③真空定径、水冷</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牵引柔软的管状制品离开模具后，进入定径套，在真空和水冷却的作用下定径。牵引装置的作用是给机头挤出的管材提供一定的牵引力和牵引速度，均匀的引出管材，并通过调节牵引速度调节管子的壁厚。该过程产生冷却废水。</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④切割、检验</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牵引后的半成品按照要求规格切割成型，该切割采用刀片冲切的原理，实现管材的无屑切断，最后检验合格即为成品，入库。该过程主要污染物为边角料、不合格产品、噪声。</w:t>
            </w:r>
          </w:p>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82" w:firstLineChars="200"/>
              <w:textAlignment w:val="auto"/>
              <w:rPr>
                <w:rFonts w:hint="default" w:ascii="Times New Roman" w:hAnsi="Times New Roman" w:eastAsia="宋体" w:cs="Times New Roman"/>
                <w:b/>
                <w:bCs w:val="0"/>
                <w:color w:val="auto"/>
                <w:sz w:val="24"/>
                <w:lang w:val="en-US" w:eastAsia="zh-CN"/>
              </w:rPr>
            </w:pPr>
            <w:r>
              <w:rPr>
                <w:rFonts w:hint="default" w:ascii="Times New Roman" w:hAnsi="Times New Roman" w:eastAsia="宋体" w:cs="Times New Roman"/>
                <w:b/>
                <w:bCs w:val="0"/>
                <w:color w:val="auto"/>
                <w:sz w:val="24"/>
                <w:lang w:val="en-US" w:eastAsia="zh-CN"/>
              </w:rPr>
              <w:t>2.4 HDPE双壁波纹管生产线</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b w:val="0"/>
                <w:bCs/>
                <w:color w:val="auto"/>
                <w:kern w:val="0"/>
                <w:sz w:val="24"/>
                <w:szCs w:val="20"/>
                <w:lang w:val="en-US" w:eastAsia="zh-CN" w:bidi="ar-SA"/>
              </w:rPr>
              <w:t>单壁波纹管生产工艺流程及产排污环节见下图。</w:t>
            </w:r>
            <w:r>
              <w:rPr>
                <w:rFonts w:hint="default" w:ascii="Times New Roman" w:hAnsi="Times New Roman" w:eastAsia="宋体" w:cs="Times New Roman"/>
                <w:sz w:val="24"/>
                <w:szCs w:val="24"/>
                <w:lang w:eastAsia="zh-CN"/>
              </w:rPr>
              <w:drawing>
                <wp:inline distT="0" distB="0" distL="114300" distR="114300">
                  <wp:extent cx="2762885" cy="3366135"/>
                  <wp:effectExtent l="0" t="0" r="0" b="5715"/>
                  <wp:docPr id="5" name="ECB019B1-382A-4266-B25C-5B523AA43C14-2" descr="C:/Users/Administrator/AppData/Local/Temp/wps.KHltsv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2" descr="C:/Users/Administrator/AppData/Local/Temp/wps.KHltsvwps"/>
                          <pic:cNvPicPr>
                            <a:picLocks noChangeAspect="1"/>
                          </pic:cNvPicPr>
                        </pic:nvPicPr>
                        <pic:blipFill>
                          <a:blip r:embed="rId14"/>
                          <a:srcRect t="8717" b="5396"/>
                          <a:stretch>
                            <a:fillRect/>
                          </a:stretch>
                        </pic:blipFill>
                        <pic:spPr>
                          <a:xfrm>
                            <a:off x="0" y="0"/>
                            <a:ext cx="2762885" cy="33661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left="0" w:firstLine="0" w:firstLineChars="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图</w:t>
            </w:r>
            <w:r>
              <w:rPr>
                <w:rFonts w:hint="default" w:ascii="Times New Roman" w:hAnsi="Times New Roman" w:cs="Times New Roman"/>
                <w:b/>
                <w:bCs/>
                <w:sz w:val="21"/>
                <w:szCs w:val="21"/>
                <w:lang w:val="en-US" w:eastAsia="zh-CN"/>
              </w:rPr>
              <w:t>2-6</w:t>
            </w:r>
            <w:r>
              <w:rPr>
                <w:rFonts w:hint="default" w:ascii="Times New Roman" w:hAnsi="Times New Roman" w:eastAsia="宋体" w:cs="Times New Roman"/>
                <w:b/>
                <w:bCs/>
                <w:sz w:val="21"/>
                <w:szCs w:val="21"/>
                <w:lang w:val="en-US" w:eastAsia="zh-CN"/>
              </w:rPr>
              <w:t xml:space="preserve">  </w:t>
            </w:r>
            <w:r>
              <w:rPr>
                <w:rFonts w:hint="default" w:ascii="Times New Roman" w:hAnsi="Times New Roman" w:cs="Times New Roman"/>
                <w:b/>
                <w:bCs/>
                <w:sz w:val="21"/>
                <w:szCs w:val="21"/>
                <w:lang w:val="en-US" w:eastAsia="zh-CN"/>
              </w:rPr>
              <w:t>生产</w:t>
            </w:r>
            <w:r>
              <w:rPr>
                <w:rFonts w:hint="default" w:ascii="Times New Roman" w:hAnsi="Times New Roman" w:eastAsia="宋体" w:cs="Times New Roman"/>
                <w:b/>
                <w:bCs/>
                <w:sz w:val="21"/>
                <w:szCs w:val="21"/>
                <w:lang w:val="en-US" w:eastAsia="zh-CN"/>
              </w:rPr>
              <w:t>工艺流程及产污环节图</w:t>
            </w:r>
          </w:p>
          <w:p>
            <w:pPr>
              <w:pStyle w:val="29"/>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b/>
                <w:bCs/>
                <w:sz w:val="24"/>
                <w:szCs w:val="24"/>
                <w:lang w:val="en-US" w:eastAsia="zh-CN"/>
              </w:rPr>
              <w:t>生产</w:t>
            </w:r>
            <w:r>
              <w:rPr>
                <w:rFonts w:hint="default" w:ascii="Times New Roman" w:hAnsi="Times New Roman" w:eastAsia="宋体" w:cs="Times New Roman"/>
                <w:b/>
                <w:bCs/>
                <w:sz w:val="24"/>
                <w:szCs w:val="24"/>
                <w:lang w:eastAsia="zh-CN"/>
              </w:rPr>
              <w:t>工艺流程简述</w:t>
            </w:r>
            <w:r>
              <w:rPr>
                <w:rFonts w:hint="default" w:ascii="Times New Roman" w:hAnsi="Times New Roman" w:eastAsia="宋体" w:cs="Times New Roman"/>
                <w:sz w:val="24"/>
                <w:szCs w:val="24"/>
                <w:lang w:eastAsia="zh-CN"/>
              </w:rPr>
              <w:t>：</w:t>
            </w:r>
          </w:p>
          <w:p>
            <w:pPr>
              <w:keepNext w:val="0"/>
              <w:keepLines w:val="0"/>
              <w:pageBreakBefore w:val="0"/>
              <w:widowControl/>
              <w:suppressLineNumbers w:val="0"/>
              <w:kinsoku/>
              <w:wordWrap/>
              <w:overflowPunct/>
              <w:topLinePunct w:val="0"/>
              <w:autoSpaceDE/>
              <w:autoSpaceDN/>
              <w:bidi w:val="0"/>
              <w:adjustRightInd w:val="0"/>
              <w:snapToGrid w:val="0"/>
              <w:spacing w:line="360" w:lineRule="auto"/>
              <w:ind w:right="0" w:firstLine="480" w:firstLineChars="200"/>
              <w:jc w:val="left"/>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配料：本项目主要原料为PE树脂及色母，按照比例加入自动上料机，经自动上料机搅拌均匀同时干燥预处理，本项目干燥机采用电加热。本项目使用的PE树脂及色母均为颗粒状搅拌过程不产生颗粒物，主要产生的污染物为噪声。</w:t>
            </w:r>
          </w:p>
          <w:p>
            <w:pPr>
              <w:keepNext w:val="0"/>
              <w:keepLines w:val="0"/>
              <w:pageBreakBefore w:val="0"/>
              <w:widowControl/>
              <w:suppressLineNumbers w:val="0"/>
              <w:kinsoku/>
              <w:wordWrap/>
              <w:overflowPunct/>
              <w:topLinePunct w:val="0"/>
              <w:autoSpaceDE/>
              <w:autoSpaceDN/>
              <w:bidi w:val="0"/>
              <w:adjustRightInd w:val="0"/>
              <w:snapToGrid w:val="0"/>
              <w:spacing w:line="360" w:lineRule="auto"/>
              <w:ind w:right="0" w:firstLine="480" w:firstLineChars="200"/>
              <w:jc w:val="left"/>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熔融挤出：经干燥机预处理后的原辅材料进入单螺杆挤出机加热至熔融状态，后经模具挤出成型。此过程主要产生噪声、废气、固废。废气经集气罩收集后进入吸附/脱附+催化燃烧装置处理，处理后的废气经15米排气筒排放。挤出过程会产生少量不合格产品，不合格产品经收集后集中外售。</w:t>
            </w:r>
          </w:p>
          <w:p>
            <w:pPr>
              <w:pStyle w:val="13"/>
              <w:keepNext w:val="0"/>
              <w:keepLines w:val="0"/>
              <w:pageBreakBefore w:val="0"/>
              <w:widowControl/>
              <w:kinsoku/>
              <w:wordWrap/>
              <w:overflowPunct/>
              <w:topLinePunct w:val="0"/>
              <w:autoSpaceDE/>
              <w:autoSpaceDN/>
              <w:bidi w:val="0"/>
              <w:adjustRightInd w:val="0"/>
              <w:snapToGrid w:val="0"/>
              <w:spacing w:before="0" w:after="0" w:line="360" w:lineRule="auto"/>
              <w:ind w:left="0" w:right="0" w:firstLine="480" w:firstLineChars="200"/>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牵引：</w:t>
            </w:r>
            <w:r>
              <w:rPr>
                <w:rFonts w:hint="default" w:ascii="Times New Roman" w:hAnsi="Times New Roman" w:eastAsia="宋体" w:cs="Times New Roman"/>
                <w:color w:val="000000"/>
                <w:kern w:val="0"/>
                <w:sz w:val="24"/>
                <w:szCs w:val="24"/>
                <w:lang w:val="en-US" w:eastAsia="zh-CN" w:bidi="ar"/>
              </w:rPr>
              <w:t>根据壁厚，调整快慢。将已经成型的</w:t>
            </w:r>
            <w:r>
              <w:rPr>
                <w:rFonts w:hint="default" w:ascii="Times New Roman" w:hAnsi="Times New Roman" w:cs="Times New Roman"/>
                <w:color w:val="000000"/>
                <w:kern w:val="0"/>
                <w:sz w:val="24"/>
                <w:szCs w:val="24"/>
                <w:lang w:val="en-US" w:eastAsia="zh-CN" w:bidi="ar"/>
              </w:rPr>
              <w:t>波纹管</w:t>
            </w:r>
            <w:r>
              <w:rPr>
                <w:rFonts w:hint="default" w:ascii="Times New Roman" w:hAnsi="Times New Roman" w:eastAsia="宋体" w:cs="Times New Roman"/>
                <w:color w:val="000000"/>
                <w:kern w:val="0"/>
                <w:sz w:val="24"/>
                <w:szCs w:val="24"/>
                <w:lang w:val="en-US" w:eastAsia="zh-CN" w:bidi="ar"/>
              </w:rPr>
              <w:t>牵引出来</w:t>
            </w:r>
            <w:r>
              <w:rPr>
                <w:rFonts w:hint="default" w:ascii="Times New Roman" w:hAnsi="Times New Roman" w:cs="Times New Roman"/>
                <w:color w:val="000000"/>
                <w:kern w:val="0"/>
                <w:sz w:val="24"/>
                <w:szCs w:val="24"/>
                <w:lang w:val="en-US" w:eastAsia="zh-CN" w:bidi="ar"/>
              </w:rPr>
              <w:t>。</w:t>
            </w:r>
          </w:p>
          <w:p>
            <w:pPr>
              <w:keepNext w:val="0"/>
              <w:keepLines w:val="0"/>
              <w:pageBreakBefore w:val="0"/>
              <w:kinsoku/>
              <w:wordWrap/>
              <w:overflowPunct/>
              <w:topLinePunct w:val="0"/>
              <w:autoSpaceDE/>
              <w:autoSpaceDN/>
              <w:bidi w:val="0"/>
              <w:adjustRightInd w:val="0"/>
              <w:snapToGrid w:val="0"/>
              <w:spacing w:line="360" w:lineRule="auto"/>
              <w:ind w:right="0" w:firstLine="480" w:firstLineChars="200"/>
              <w:textAlignment w:val="auto"/>
              <w:rPr>
                <w:rFonts w:hint="default" w:ascii="Times New Roman" w:hAnsi="Times New Roman" w:cs="Times New Roman"/>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切割：根据需求将波纹管切割成需求的长度，本项目采用无屑切割机故切割过程不产生固废。</w:t>
            </w:r>
          </w:p>
          <w:p>
            <w:pPr>
              <w:pStyle w:val="6"/>
              <w:keepNext/>
              <w:keepLines/>
              <w:pageBreakBefore w:val="0"/>
              <w:widowControl w:val="0"/>
              <w:numPr>
                <w:ilvl w:val="0"/>
                <w:numId w:val="0"/>
              </w:numPr>
              <w:kinsoku/>
              <w:wordWrap/>
              <w:overflowPunct/>
              <w:topLinePunct w:val="0"/>
              <w:autoSpaceDE/>
              <w:autoSpaceDN/>
              <w:bidi w:val="0"/>
              <w:adjustRightInd w:val="0"/>
              <w:snapToGrid/>
              <w:spacing w:line="240" w:lineRule="auto"/>
              <w:ind w:firstLine="422" w:firstLineChars="200"/>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lang w:val="en-US" w:eastAsia="zh-CN"/>
              </w:rPr>
              <w:t>表2-10            排污节点及治理设施一览表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1952"/>
              <w:gridCol w:w="825"/>
              <w:gridCol w:w="1543"/>
              <w:gridCol w:w="2544"/>
              <w:gridCol w:w="45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污染类别</w:t>
                  </w: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产污环节/节点</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污染源名称</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主要污染因子</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治理措施/环保设施</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排放规律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废气</w:t>
                  </w: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不饱和聚酯树脂搅拌、输送；管道缠绕、固化成型</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混合树脂缠绕固化废气</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非甲烷总烃、苯乙烯、臭气浓度</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全封闭厂房，微负压控制，收集效率</w:t>
                  </w:r>
                  <w:r>
                    <w:rPr>
                      <w:rFonts w:hint="default" w:ascii="Times New Roman" w:hAnsi="Times New Roman" w:cs="Times New Roman"/>
                      <w:b w:val="0"/>
                      <w:bCs w:val="0"/>
                      <w:i w:val="0"/>
                      <w:iCs w:val="0"/>
                      <w:caps w:val="0"/>
                      <w:color w:val="0F1115"/>
                      <w:spacing w:val="0"/>
                      <w:kern w:val="0"/>
                      <w:sz w:val="18"/>
                      <w:szCs w:val="18"/>
                      <w:lang w:val="en-US" w:eastAsia="zh-CN" w:bidi="ar"/>
                    </w:rPr>
                    <w:t>90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%）+活性炭吸附/脱附+催化燃烧装置（处理效率≥</w:t>
                  </w:r>
                  <w:r>
                    <w:rPr>
                      <w:rFonts w:hint="default" w:ascii="Times New Roman" w:hAnsi="Times New Roman" w:cs="Times New Roman"/>
                      <w:b w:val="0"/>
                      <w:bCs w:val="0"/>
                      <w:i w:val="0"/>
                      <w:iCs w:val="0"/>
                      <w:caps w:val="0"/>
                      <w:color w:val="0F1115"/>
                      <w:spacing w:val="0"/>
                      <w:kern w:val="0"/>
                      <w:sz w:val="18"/>
                      <w:szCs w:val="18"/>
                      <w:lang w:val="en-US" w:eastAsia="zh-CN" w:bidi="ar"/>
                    </w:rPr>
                    <w:t>90%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）+15m高排气筒（DA001）排放</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连续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玻璃钢管道切割、修整打磨</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切割修整废气</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颗粒物</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切割设备上方设置外部型集气罩（罩口尺寸大于产尘口，收集效率90%）+袋式除尘器（处理效率99%）+15m高排气筒（DA002）排放</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间歇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PE管挤出成型</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PE管挤出废气</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集气罩（收集效率90%）+活性炭吸附/脱附+催化燃烧装置（处理效率≥</w:t>
                  </w:r>
                  <w:r>
                    <w:rPr>
                      <w:rFonts w:hint="default" w:ascii="Times New Roman" w:hAnsi="Times New Roman" w:cs="Times New Roman"/>
                      <w:b w:val="0"/>
                      <w:bCs w:val="0"/>
                      <w:i w:val="0"/>
                      <w:iCs w:val="0"/>
                      <w:caps w:val="0"/>
                      <w:color w:val="0F1115"/>
                      <w:spacing w:val="0"/>
                      <w:kern w:val="0"/>
                      <w:sz w:val="18"/>
                      <w:szCs w:val="18"/>
                      <w:lang w:val="en-US" w:eastAsia="zh-CN" w:bidi="ar"/>
                    </w:rPr>
                    <w:t>90%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）+15m高排气筒（DA003）排放</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连续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PVC管高速混合、挤出成型</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PVC管混料挤出废气</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颗粒物、非甲烷总烃、氯化氢、氯乙烯</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混料粉尘：袋式除尘器处理；挤出废气：集气罩（收集效率90%）+活性炭吸附/脱附+催化燃烧装置（处理效率≥</w:t>
                  </w:r>
                  <w:r>
                    <w:rPr>
                      <w:rFonts w:hint="default" w:ascii="Times New Roman" w:hAnsi="Times New Roman" w:cs="Times New Roman"/>
                      <w:b w:val="0"/>
                      <w:bCs w:val="0"/>
                      <w:i w:val="0"/>
                      <w:iCs w:val="0"/>
                      <w:caps w:val="0"/>
                      <w:color w:val="0F1115"/>
                      <w:spacing w:val="0"/>
                      <w:kern w:val="0"/>
                      <w:sz w:val="18"/>
                      <w:szCs w:val="18"/>
                      <w:lang w:val="en-US" w:eastAsia="zh-CN" w:bidi="ar"/>
                    </w:rPr>
                    <w:t>90%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）+15m高排气筒（DA003）排放</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连续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HDPE双壁波纹管熔融挤出</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HDPE波纹管挤出废气</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集气罩（收集效率90%）+活性炭吸附/脱附+催化燃烧装置（处理效率≥</w:t>
                  </w:r>
                  <w:r>
                    <w:rPr>
                      <w:rFonts w:hint="default" w:ascii="Times New Roman" w:hAnsi="Times New Roman" w:cs="Times New Roman"/>
                      <w:b w:val="0"/>
                      <w:bCs w:val="0"/>
                      <w:i w:val="0"/>
                      <w:iCs w:val="0"/>
                      <w:caps w:val="0"/>
                      <w:color w:val="0F1115"/>
                      <w:spacing w:val="0"/>
                      <w:kern w:val="0"/>
                      <w:sz w:val="18"/>
                      <w:szCs w:val="18"/>
                      <w:lang w:val="en-US" w:eastAsia="zh-CN" w:bidi="ar"/>
                    </w:rPr>
                    <w:t>90%</w:t>
                  </w:r>
                  <w:r>
                    <w:rPr>
                      <w:rFonts w:hint="default" w:ascii="Times New Roman" w:hAnsi="Times New Roman" w:eastAsia="宋体" w:cs="Times New Roman"/>
                      <w:b w:val="0"/>
                      <w:bCs w:val="0"/>
                      <w:i w:val="0"/>
                      <w:iCs w:val="0"/>
                      <w:caps w:val="0"/>
                      <w:color w:val="0F1115"/>
                      <w:spacing w:val="0"/>
                      <w:kern w:val="0"/>
                      <w:sz w:val="18"/>
                      <w:szCs w:val="18"/>
                      <w:lang w:val="en-US" w:eastAsia="zh-CN" w:bidi="ar"/>
                    </w:rPr>
                    <w:t>）+15m高排气筒（DA003）排放</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连续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废水</w:t>
                  </w: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员工日常生活（含食堂用水）</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生活污水</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CODcr、BOD</w:t>
                  </w:r>
                  <w:r>
                    <w:rPr>
                      <w:rFonts w:hint="default" w:ascii="Times New Roman" w:hAnsi="Times New Roman" w:cs="Times New Roman"/>
                      <w:b w:val="0"/>
                      <w:bCs w:val="0"/>
                      <w:i w:val="0"/>
                      <w:iCs w:val="0"/>
                      <w:caps w:val="0"/>
                      <w:color w:val="0F1115"/>
                      <w:spacing w:val="0"/>
                      <w:kern w:val="0"/>
                      <w:sz w:val="18"/>
                      <w:szCs w:val="18"/>
                      <w:lang w:val="en-US" w:eastAsia="zh-CN" w:bidi="ar"/>
                    </w:rPr>
                    <w:t>5</w:t>
                  </w:r>
                  <w:r>
                    <w:rPr>
                      <w:rFonts w:hint="default" w:ascii="Times New Roman" w:hAnsi="Times New Roman" w:eastAsia="宋体" w:cs="Times New Roman"/>
                      <w:b w:val="0"/>
                      <w:bCs w:val="0"/>
                      <w:i w:val="0"/>
                      <w:iCs w:val="0"/>
                      <w:caps w:val="0"/>
                      <w:color w:val="0F1115"/>
                      <w:spacing w:val="0"/>
                      <w:kern w:val="0"/>
                      <w:sz w:val="18"/>
                      <w:szCs w:val="18"/>
                      <w:lang w:val="en-US" w:eastAsia="zh-CN" w:bidi="ar"/>
                    </w:rPr>
                    <w:t>、SS、NH₃-N、动植物油</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食堂废水经隔油池预处理后，与其他生活污水一并排入</w:t>
                  </w:r>
                  <w:r>
                    <w:rPr>
                      <w:rFonts w:hint="default" w:ascii="Times New Roman" w:hAnsi="Times New Roman" w:cs="Times New Roman"/>
                      <w:b w:val="0"/>
                      <w:bCs w:val="0"/>
                      <w:i w:val="0"/>
                      <w:iCs w:val="0"/>
                      <w:caps w:val="0"/>
                      <w:color w:val="0F1115"/>
                      <w:spacing w:val="0"/>
                      <w:kern w:val="0"/>
                      <w:sz w:val="18"/>
                      <w:szCs w:val="18"/>
                      <w:lang w:val="en-US" w:eastAsia="zh-CN" w:bidi="ar"/>
                    </w:rPr>
                    <w:t>尉犁县</w:t>
                  </w:r>
                  <w:r>
                    <w:rPr>
                      <w:rFonts w:hint="default" w:ascii="Times New Roman" w:hAnsi="Times New Roman" w:eastAsia="宋体" w:cs="Times New Roman"/>
                      <w:b w:val="0"/>
                      <w:bCs w:val="0"/>
                      <w:i w:val="0"/>
                      <w:iCs w:val="0"/>
                      <w:caps w:val="0"/>
                      <w:color w:val="0F1115"/>
                      <w:spacing w:val="0"/>
                      <w:kern w:val="0"/>
                      <w:sz w:val="18"/>
                      <w:szCs w:val="18"/>
                      <w:lang w:val="en-US" w:eastAsia="zh-CN" w:bidi="ar"/>
                    </w:rPr>
                    <w:t>污水管网</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间歇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玻璃钢管道水压试验</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试压废水</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SS（悬浮物）</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三级沉淀池沉淀处理后循环使用，定期补充新鲜水，不外排</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PE/PVC/HDPE管材真空定径、水冷</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冷却循环水</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SS、热（温度升高）</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经冷却塔冷却后循环使用，定期补充新鲜水，不外排</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噪声</w:t>
                  </w: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树脂搅拌及输送系统、缠绕机、修整机、切割机、挤出机、牵引机、成型机、风机等</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设备运行噪声</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等效连续A声级（Leq）</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选用低噪声设备、基础减振、厂房隔声、定期维护保养、风机加装消声器、厂区合理布局（高噪设备远离厂界）</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连续/间歇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固体废物</w:t>
                  </w: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原料拆包、产品包装</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废包装材料</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废纸板、废编织袋、废塑料膜</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集中收集后外售给废品回收站（</w:t>
                  </w:r>
                  <w:r>
                    <w:rPr>
                      <w:rFonts w:hint="eastAsia" w:cs="Times New Roman"/>
                      <w:b w:val="0"/>
                      <w:bCs w:val="0"/>
                      <w:i w:val="0"/>
                      <w:iCs w:val="0"/>
                      <w:caps w:val="0"/>
                      <w:color w:val="0F1115"/>
                      <w:spacing w:val="0"/>
                      <w:kern w:val="0"/>
                      <w:sz w:val="18"/>
                      <w:szCs w:val="18"/>
                      <w:lang w:val="en-US" w:eastAsia="zh-CN" w:bidi="ar"/>
                    </w:rPr>
                    <w:t>一般工业固废</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代码：SW17</w:t>
                  </w:r>
                  <w:r>
                    <w:rPr>
                      <w:rFonts w:hint="default" w:ascii="Times New Roman" w:hAnsi="Times New Roman" w:cs="Times New Roman"/>
                      <w:b w:val="0"/>
                      <w:bCs w:val="0"/>
                      <w:i w:val="0"/>
                      <w:iCs w:val="0"/>
                      <w:caps w:val="0"/>
                      <w:color w:val="0F1115"/>
                      <w:spacing w:val="0"/>
                      <w:kern w:val="0"/>
                      <w:sz w:val="18"/>
                      <w:szCs w:val="18"/>
                      <w:lang w:val="en-US" w:eastAsia="zh-CN" w:bidi="ar"/>
                    </w:rPr>
                    <w:t xml:space="preserve"> </w:t>
                  </w:r>
                  <w:r>
                    <w:rPr>
                      <w:rFonts w:hint="default" w:ascii="Times New Roman" w:hAnsi="Times New Roman" w:eastAsia="宋体" w:cs="Times New Roman"/>
                      <w:b w:val="0"/>
                      <w:bCs w:val="0"/>
                      <w:i w:val="0"/>
                      <w:iCs w:val="0"/>
                      <w:caps w:val="0"/>
                      <w:color w:val="0F1115"/>
                      <w:spacing w:val="0"/>
                      <w:kern w:val="0"/>
                      <w:sz w:val="18"/>
                      <w:szCs w:val="18"/>
                      <w:lang w:val="en-US" w:eastAsia="zh-CN" w:bidi="ar"/>
                    </w:rPr>
                    <w:t>900-005-S17）</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管道检验</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不合格产品</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玻璃钢复合材料、PE/PVC/HDPE管材</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外售给相关回收单位综合利用（</w:t>
                  </w:r>
                  <w:r>
                    <w:rPr>
                      <w:rFonts w:hint="eastAsia" w:cs="Times New Roman"/>
                      <w:b w:val="0"/>
                      <w:bCs w:val="0"/>
                      <w:i w:val="0"/>
                      <w:iCs w:val="0"/>
                      <w:caps w:val="0"/>
                      <w:color w:val="0F1115"/>
                      <w:spacing w:val="0"/>
                      <w:kern w:val="0"/>
                      <w:sz w:val="18"/>
                      <w:szCs w:val="18"/>
                      <w:lang w:val="en-US" w:eastAsia="zh-CN" w:bidi="ar"/>
                    </w:rPr>
                    <w:t>一般工业固废</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代码：SW17 900-003-S17）</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管道切割、修整</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边角料</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玻璃钢复合材料</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同上（</w:t>
                  </w:r>
                  <w:r>
                    <w:rPr>
                      <w:rFonts w:hint="eastAsia" w:cs="Times New Roman"/>
                      <w:b w:val="0"/>
                      <w:bCs w:val="0"/>
                      <w:i w:val="0"/>
                      <w:iCs w:val="0"/>
                      <w:caps w:val="0"/>
                      <w:color w:val="0F1115"/>
                      <w:spacing w:val="0"/>
                      <w:kern w:val="0"/>
                      <w:sz w:val="18"/>
                      <w:szCs w:val="18"/>
                      <w:lang w:val="en-US" w:eastAsia="zh-CN" w:bidi="ar"/>
                    </w:rPr>
                    <w:t>一般工业固废</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代码：SW17 900-003-S17）</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PE/PVC/HDPE管材检验、切割</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不合格产品、边角料</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PE/PVC/HDPE塑料</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外售给塑料回收单位综合利用（</w:t>
                  </w:r>
                  <w:r>
                    <w:rPr>
                      <w:rFonts w:hint="eastAsia" w:cs="Times New Roman"/>
                      <w:b w:val="0"/>
                      <w:bCs w:val="0"/>
                      <w:i w:val="0"/>
                      <w:iCs w:val="0"/>
                      <w:caps w:val="0"/>
                      <w:color w:val="0F1115"/>
                      <w:spacing w:val="0"/>
                      <w:kern w:val="0"/>
                      <w:sz w:val="18"/>
                      <w:szCs w:val="18"/>
                      <w:lang w:val="en-US" w:eastAsia="zh-CN" w:bidi="ar"/>
                    </w:rPr>
                    <w:t>一般工业固废</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代码：SW17 900-003-S17）</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袋式除尘器</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除尘灰</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颗粒物（石英砂、树脂粉末等）</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回用于生产（</w:t>
                  </w:r>
                  <w:r>
                    <w:rPr>
                      <w:rFonts w:hint="eastAsia" w:cs="Times New Roman"/>
                      <w:b w:val="0"/>
                      <w:bCs w:val="0"/>
                      <w:i w:val="0"/>
                      <w:iCs w:val="0"/>
                      <w:caps w:val="0"/>
                      <w:color w:val="0F1115"/>
                      <w:spacing w:val="0"/>
                      <w:kern w:val="0"/>
                      <w:sz w:val="18"/>
                      <w:szCs w:val="18"/>
                      <w:lang w:val="en-US" w:eastAsia="zh-CN" w:bidi="ar"/>
                    </w:rPr>
                    <w:t>一般工业固废</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代码：SW59 900-099-S59）</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废滤袋</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废纤维织物</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集中收集后送尉犁县固废填埋场填埋（</w:t>
                  </w:r>
                  <w:r>
                    <w:rPr>
                      <w:rFonts w:hint="eastAsia" w:cs="Times New Roman"/>
                      <w:b w:val="0"/>
                      <w:bCs w:val="0"/>
                      <w:i w:val="0"/>
                      <w:iCs w:val="0"/>
                      <w:caps w:val="0"/>
                      <w:color w:val="0F1115"/>
                      <w:spacing w:val="0"/>
                      <w:kern w:val="0"/>
                      <w:sz w:val="18"/>
                      <w:szCs w:val="18"/>
                      <w:lang w:val="en-US" w:eastAsia="zh-CN" w:bidi="ar"/>
                    </w:rPr>
                    <w:t>一般工业固废</w:t>
                  </w:r>
                  <w:r>
                    <w:rPr>
                      <w:rFonts w:hint="default" w:ascii="Times New Roman" w:hAnsi="Times New Roman" w:eastAsia="宋体" w:cs="Times New Roman"/>
                      <w:b w:val="0"/>
                      <w:bCs w:val="0"/>
                      <w:i w:val="0"/>
                      <w:iCs w:val="0"/>
                      <w:caps w:val="0"/>
                      <w:color w:val="0F1115"/>
                      <w:spacing w:val="0"/>
                      <w:kern w:val="0"/>
                      <w:sz w:val="18"/>
                      <w:szCs w:val="18"/>
                      <w:lang w:val="en-US" w:eastAsia="zh-CN" w:bidi="ar"/>
                    </w:rPr>
                    <w:t>代码：SW59 900-009-S59）</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树脂、固化剂、促进剂包装桶</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废包装桶</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沾染树脂/固化剂的废桶</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完好无损的由原厂家回收（不按固废管理）；破损的按危险废物（HW49 900-041-49）委托有资质单位处置</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废气治理（催化燃烧）</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废催化剂</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color w:val="auto"/>
                      <w:sz w:val="18"/>
                      <w:szCs w:val="18"/>
                      <w:vertAlign w:val="baseline"/>
                      <w:lang w:val="en-US" w:eastAsia="zh-CN"/>
                    </w:rPr>
                    <w:t>载体含镍</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闭口密封罐封装，暂存于危废贮存点，委托有资质单位处置（HW46 261-087-46）</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废气治理（活性炭吸附）</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废活性炭</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吸附有机废气的废活性炭</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取出后立即密封包装（闭口PP桶或内衬防漏袋编织袋），暂存于危废贮存点，委托有资质单位处置（HW49 900-039-49）</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设备维护、保养</w:t>
                  </w: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废机油、废润滑油</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废矿物油</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闭口钢桶或HDPE闭口桶盛装（充装量≤3/4），底部设防泄漏托盘，暂存于危废贮存点，委托有资质单位处置（HW08 900-214-08）</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89"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125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lang w:val="en-US" w:eastAsia="zh-CN"/>
                    </w:rPr>
                  </w:pPr>
                </w:p>
              </w:tc>
              <w:tc>
                <w:tcPr>
                  <w:tcW w:w="5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废机油桶</w:t>
                  </w:r>
                </w:p>
              </w:tc>
              <w:tc>
                <w:tcPr>
                  <w:tcW w:w="99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含油废物</w:t>
                  </w:r>
                </w:p>
              </w:tc>
              <w:tc>
                <w:tcPr>
                  <w:tcW w:w="163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加盖密封，暂存于危废贮存点，委托有资质单位处置（HW08 900-249-08）</w:t>
                  </w:r>
                </w:p>
              </w:tc>
              <w:tc>
                <w:tcPr>
                  <w:tcW w:w="29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r>
          </w:tbl>
          <w:p>
            <w:pPr>
              <w:pStyle w:val="6"/>
              <w:keepNext/>
              <w:keepLines/>
              <w:pageBreakBefore w:val="0"/>
              <w:widowControl w:val="0"/>
              <w:numPr>
                <w:ilvl w:val="0"/>
                <w:numId w:val="0"/>
              </w:numPr>
              <w:kinsoku/>
              <w:wordWrap/>
              <w:overflowPunct/>
              <w:topLinePunct w:val="0"/>
              <w:autoSpaceDE/>
              <w:autoSpaceDN/>
              <w:bidi w:val="0"/>
              <w:adjustRightInd w:val="0"/>
              <w:snapToGrid/>
              <w:spacing w:line="360" w:lineRule="auto"/>
              <w:ind w:firstLine="422"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物料平衡核算：</w:t>
            </w:r>
          </w:p>
          <w:p>
            <w:pPr>
              <w:pStyle w:val="6"/>
              <w:keepNext/>
              <w:keepLines/>
              <w:pageBreakBefore w:val="0"/>
              <w:widowControl w:val="0"/>
              <w:numPr>
                <w:ilvl w:val="0"/>
                <w:numId w:val="0"/>
              </w:numPr>
              <w:kinsoku/>
              <w:wordWrap/>
              <w:overflowPunct/>
              <w:topLinePunct w:val="0"/>
              <w:autoSpaceDE/>
              <w:autoSpaceDN/>
              <w:bidi w:val="0"/>
              <w:adjustRightInd w:val="0"/>
              <w:snapToGrid/>
              <w:spacing w:line="240" w:lineRule="auto"/>
              <w:ind w:firstLine="422"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表2-11         连续缠绕玻璃钢管道生产线物料平衡</w:t>
            </w:r>
          </w:p>
          <w:tbl>
            <w:tblPr>
              <w:tblStyle w:val="36"/>
              <w:tblW w:w="4998"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63"/>
              <w:gridCol w:w="1580"/>
              <w:gridCol w:w="2240"/>
              <w:gridCol w:w="15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522"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投入物料</w:t>
                  </w:r>
                </w:p>
              </w:tc>
              <w:tc>
                <w:tcPr>
                  <w:tcW w:w="1017"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投入量（t/a）</w:t>
                  </w:r>
                </w:p>
              </w:tc>
              <w:tc>
                <w:tcPr>
                  <w:tcW w:w="1442"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产出类别</w:t>
                  </w:r>
                </w:p>
              </w:tc>
              <w:tc>
                <w:tcPr>
                  <w:tcW w:w="1017"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产出量（t/a）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不饱和聚酯树脂</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3531.3</w:t>
                  </w:r>
                </w:p>
              </w:tc>
              <w:tc>
                <w:tcPr>
                  <w:tcW w:w="224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玻璃钢管道产品</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10000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固化剂</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70</w:t>
                  </w:r>
                </w:p>
              </w:tc>
              <w:tc>
                <w:tcPr>
                  <w:tcW w:w="224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有机废气</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75.907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促进剂</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35</w:t>
                  </w:r>
                </w:p>
              </w:tc>
              <w:tc>
                <w:tcPr>
                  <w:tcW w:w="224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颗粒物排放</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3.815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石英砂颗粒</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3394.818</w:t>
                  </w:r>
                </w:p>
              </w:tc>
              <w:tc>
                <w:tcPr>
                  <w:tcW w:w="224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除尘灰</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rPr>
                  </w:pPr>
                  <w:r>
                    <w:rPr>
                      <w:rFonts w:hint="default" w:ascii="Times New Roman" w:hAnsi="Times New Roman" w:eastAsia="宋体" w:cs="Times New Roman"/>
                      <w:i w:val="0"/>
                      <w:iCs w:val="0"/>
                      <w:color w:val="000000"/>
                      <w:kern w:val="0"/>
                      <w:sz w:val="18"/>
                      <w:szCs w:val="18"/>
                      <w:u w:val="none"/>
                      <w:lang w:val="en-US" w:eastAsia="zh-CN" w:bidi="ar"/>
                    </w:rPr>
                    <w:t>31.185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玻璃纤维</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3087.2</w:t>
                  </w:r>
                </w:p>
              </w:tc>
              <w:tc>
                <w:tcPr>
                  <w:tcW w:w="224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边角料（外售）</w:t>
                  </w:r>
                </w:p>
              </w:tc>
              <w:tc>
                <w:tcPr>
                  <w:tcW w:w="158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表面毡/网格布/短切毡</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45</w:t>
                  </w:r>
                </w:p>
              </w:tc>
              <w:tc>
                <w:tcPr>
                  <w:tcW w:w="224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不合格产品（外售）</w:t>
                  </w:r>
                </w:p>
              </w:tc>
              <w:tc>
                <w:tcPr>
                  <w:tcW w:w="158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24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沉淀池污泥（填埋）</w:t>
                  </w:r>
                </w:p>
              </w:tc>
              <w:tc>
                <w:tcPr>
                  <w:tcW w:w="1580" w:type="dxa"/>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36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10163.318</w:t>
                  </w:r>
                </w:p>
              </w:tc>
              <w:tc>
                <w:tcPr>
                  <w:tcW w:w="224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1580"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i w:val="0"/>
                      <w:iCs w:val="0"/>
                      <w:color w:val="000000"/>
                      <w:kern w:val="0"/>
                      <w:sz w:val="18"/>
                      <w:szCs w:val="18"/>
                      <w:u w:val="none"/>
                      <w:lang w:val="en-US" w:eastAsia="zh-CN" w:bidi="ar"/>
                    </w:rPr>
                    <w:t>10163.318</w:t>
                  </w:r>
                </w:p>
              </w:tc>
            </w:tr>
          </w:tbl>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表2-12            PVC管生产线物料平衡</w:t>
            </w:r>
          </w:p>
          <w:tbl>
            <w:tblPr>
              <w:tblStyle w:val="35"/>
              <w:tblW w:w="4998"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072"/>
              <w:gridCol w:w="1469"/>
              <w:gridCol w:w="2752"/>
              <w:gridCol w:w="147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trPr>
              <w:tc>
                <w:tcPr>
                  <w:tcW w:w="133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投入物料</w:t>
                  </w:r>
                </w:p>
              </w:tc>
              <w:tc>
                <w:tcPr>
                  <w:tcW w:w="94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投入量（t/a）</w:t>
                  </w:r>
                </w:p>
              </w:tc>
              <w:tc>
                <w:tcPr>
                  <w:tcW w:w="177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产出类别</w:t>
                  </w:r>
                </w:p>
              </w:tc>
              <w:tc>
                <w:tcPr>
                  <w:tcW w:w="94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产出量（t/a）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334"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聚氯乙烯粉（PVC）</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1271.928</w:t>
                  </w:r>
                </w:p>
              </w:tc>
              <w:tc>
                <w:tcPr>
                  <w:tcW w:w="1772"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PVC管产品</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334"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轻质碳酸钙</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250</w:t>
                  </w:r>
                </w:p>
              </w:tc>
              <w:tc>
                <w:tcPr>
                  <w:tcW w:w="177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挥发性有机物</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2.25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trPr>
              <w:tc>
                <w:tcPr>
                  <w:tcW w:w="1334"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177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氯化氢</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0.178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trPr>
              <w:tc>
                <w:tcPr>
                  <w:tcW w:w="1334"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177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颗粒物排放</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0.981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334"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177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除尘灰</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8.019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334"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1772"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边角料/不合格产品（外售）</w:t>
                  </w:r>
                </w:p>
              </w:tc>
              <w:tc>
                <w:tcPr>
                  <w:tcW w:w="946"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133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合计</w:t>
                  </w:r>
                </w:p>
              </w:tc>
              <w:tc>
                <w:tcPr>
                  <w:tcW w:w="94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1521.928</w:t>
                  </w:r>
                </w:p>
              </w:tc>
              <w:tc>
                <w:tcPr>
                  <w:tcW w:w="177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合计</w:t>
                  </w:r>
                </w:p>
              </w:tc>
              <w:tc>
                <w:tcPr>
                  <w:tcW w:w="94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1521.928</w:t>
                  </w:r>
                </w:p>
              </w:tc>
            </w:tr>
          </w:tbl>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表2-13            PE管生产线物料平衡</w:t>
            </w:r>
          </w:p>
          <w:tbl>
            <w:tblPr>
              <w:tblStyle w:val="35"/>
              <w:tblW w:w="4998"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20"/>
              <w:gridCol w:w="1689"/>
              <w:gridCol w:w="3164"/>
              <w:gridCol w:w="16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投入物料</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投入量（t/a）</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产出类别</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产出量（t/a）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PE粒料</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1482.75</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PE管产品</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1500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色母</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30</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有机废气</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2.25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边角料/不合格产品（外售）</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合计</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1512.75</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合计</w:t>
                  </w:r>
                </w:p>
              </w:tc>
              <w:tc>
                <w:tcPr>
                  <w:tcW w:w="0" w:type="auto"/>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1512.75</w:t>
                  </w:r>
                </w:p>
              </w:tc>
            </w:tr>
          </w:tbl>
          <w:p>
            <w:pPr>
              <w:keepNext w:val="0"/>
              <w:keepLines w:val="0"/>
              <w:pageBreakBefore w:val="0"/>
              <w:widowControl/>
              <w:kinsoku/>
              <w:wordWrap/>
              <w:overflowPunct w:val="0"/>
              <w:topLinePunct w:val="0"/>
              <w:autoSpaceDE w:val="0"/>
              <w:autoSpaceDN w:val="0"/>
              <w:bidi w:val="0"/>
              <w:adjustRightInd w:val="0"/>
              <w:snapToGrid w:val="0"/>
              <w:spacing w:before="157" w:beforeLines="50" w:after="0" w:line="240" w:lineRule="auto"/>
              <w:ind w:left="0" w:leftChars="0" w:right="0" w:rightChars="0" w:firstLine="422" w:firstLineChars="200"/>
              <w:jc w:val="both"/>
              <w:textAlignment w:val="baseline"/>
              <w:outlineLvl w:val="9"/>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pacing w:val="0"/>
                <w:sz w:val="21"/>
                <w:szCs w:val="21"/>
                <w:highlight w:val="none"/>
                <w:shd w:val="clear" w:color="auto" w:fill="auto"/>
                <w:lang w:val="en-US" w:eastAsia="zh-CN"/>
                <w14:textFill>
                  <w14:solidFill>
                    <w14:schemeClr w14:val="tx1"/>
                  </w14:solidFill>
                </w14:textFill>
              </w:rPr>
              <w:t>表2-14    HDPE双壁波纹管生产线物料平衡</w:t>
            </w:r>
          </w:p>
          <w:tbl>
            <w:tblPr>
              <w:tblStyle w:val="35"/>
              <w:tblW w:w="4998"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79"/>
              <w:gridCol w:w="1809"/>
              <w:gridCol w:w="2965"/>
              <w:gridCol w:w="18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5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投入物料</w:t>
                  </w:r>
                </w:p>
              </w:tc>
              <w:tc>
                <w:tcPr>
                  <w:tcW w:w="116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投入量（t/a）</w:t>
                  </w:r>
                </w:p>
              </w:tc>
              <w:tc>
                <w:tcPr>
                  <w:tcW w:w="190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产出类别</w:t>
                  </w:r>
                </w:p>
              </w:tc>
              <w:tc>
                <w:tcPr>
                  <w:tcW w:w="116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产出量（t/a）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5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PE粒料</w:t>
                  </w:r>
                </w:p>
              </w:tc>
              <w:tc>
                <w:tcPr>
                  <w:tcW w:w="1165"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1977</w:t>
                  </w:r>
                </w:p>
              </w:tc>
              <w:tc>
                <w:tcPr>
                  <w:tcW w:w="190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HDPE波纹管产品</w:t>
                  </w:r>
                </w:p>
              </w:tc>
              <w:tc>
                <w:tcPr>
                  <w:tcW w:w="1165"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2000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rPr>
              <w:tc>
                <w:tcPr>
                  <w:tcW w:w="75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色母</w:t>
                  </w:r>
                </w:p>
              </w:tc>
              <w:tc>
                <w:tcPr>
                  <w:tcW w:w="1165"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40</w:t>
                  </w:r>
                </w:p>
              </w:tc>
              <w:tc>
                <w:tcPr>
                  <w:tcW w:w="190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有机废气</w:t>
                  </w:r>
                </w:p>
              </w:tc>
              <w:tc>
                <w:tcPr>
                  <w:tcW w:w="1165"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5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1165"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w:t>
                  </w:r>
                </w:p>
              </w:tc>
              <w:tc>
                <w:tcPr>
                  <w:tcW w:w="1909"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边角料/不合格产品（外售）</w:t>
                  </w:r>
                </w:p>
              </w:tc>
              <w:tc>
                <w:tcPr>
                  <w:tcW w:w="1165" w:type="pct"/>
                  <w:tcBorders>
                    <w:tl2br w:val="nil"/>
                    <w:tr2bl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5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合计</w:t>
                  </w:r>
                </w:p>
              </w:tc>
              <w:tc>
                <w:tcPr>
                  <w:tcW w:w="116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2017</w:t>
                  </w:r>
                </w:p>
              </w:tc>
              <w:tc>
                <w:tcPr>
                  <w:tcW w:w="190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合计</w:t>
                  </w:r>
                </w:p>
              </w:tc>
              <w:tc>
                <w:tcPr>
                  <w:tcW w:w="116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2017</w:t>
                  </w:r>
                </w:p>
              </w:tc>
            </w:tr>
          </w:tbl>
          <w:p>
            <w:pPr>
              <w:rPr>
                <w:rFonts w:hint="default" w:ascii="Times New Roman" w:hAnsi="Times New Roman" w:cs="Times New Roman"/>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ign w:val="center"/>
          </w:tcPr>
          <w:p>
            <w:pPr>
              <w:pStyle w:val="32"/>
              <w:adjustRightInd w:val="0"/>
              <w:snapToGrid w:val="0"/>
              <w:spacing w:before="0" w:beforeAutospacing="0" w:after="0" w:afterAutospacing="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Cs w:val="24"/>
              </w:rPr>
              <w:t>与项目有关的原有环境污染问题</w:t>
            </w:r>
          </w:p>
        </w:tc>
        <w:tc>
          <w:tcPr>
            <w:tcW w:w="0" w:type="auto"/>
            <w:noWrap/>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
                <w:bCs w:val="0"/>
                <w:color w:val="auto"/>
                <w:szCs w:val="24"/>
                <w:lang w:val="en-US" w:eastAsia="zh-CN"/>
              </w:rPr>
              <w:t>1</w:t>
            </w:r>
            <w:r>
              <w:rPr>
                <w:rFonts w:hint="default" w:ascii="Times New Roman" w:hAnsi="Times New Roman" w:eastAsia="宋体" w:cs="Times New Roman"/>
                <w:b/>
                <w:bCs w:val="0"/>
                <w:color w:val="auto"/>
                <w:szCs w:val="24"/>
              </w:rPr>
              <w:t>、现有工程概况</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巴州中意新材料有限公司（现更名为“新疆中意新材料有限公司”）成立于2020年，是一家以玻璃纤维增强塑料制品制造为主导的专业复合材料生产企业。公司位于新疆巴音郭楞蒙古自治州尉犁工业园区主园区，东环路以西、创业路以东、敬业路以南，厂区占地48851.85m2。</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2021年1月7日，巴州中意新材料有限公司取得巴州生态环境局出具的《关于巴州中意新材料有限公司新材料生产线项目环境影响报告表的批复》（巴环评价函〔2021〕8号），批准建设“巴州中意新材料有限公司新材料生产线项目”（一期工程）。</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一期工程主要建设内容为：新建1号厂房（6048.13m2）、办公楼（1557.53m2，3F）、食堂（383.32m2，1F）、宿舍（532.35m2，1F）、公厕浴室（161.04m2，1F）、物资库房（359.91m2，1F）、配电室（72m2，1F）、门卫室（72.65m2，1F）、1#大车停车棚（663m2，1F）、小车停车棚（315.02m2，1F）、消防水池（381.06m2，-1F）等。1号厂房内布置2条玻璃钢夹砂管道生产线、1条玻璃钢储罐生产线，设计产能为年产1000吨玻璃钢夹砂管道、400吨玻璃钢储罐。环评批复中规划2条SMC模压生产线及二期2#厂房热塑性复合材料托盘生产线因企业自身原因未建设，不纳入本次验收范围。</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一期工程于2021年10月开工建设，2022年5月建成，2022年6月投入试运行。</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lang w:val="en-US" w:eastAsia="zh-CN"/>
              </w:rPr>
              <w:t>2</w:t>
            </w:r>
            <w:r>
              <w:rPr>
                <w:rFonts w:hint="default" w:ascii="Times New Roman" w:hAnsi="Times New Roman" w:eastAsia="宋体" w:cs="Times New Roman"/>
                <w:b/>
                <w:bCs w:val="0"/>
                <w:color w:val="auto"/>
                <w:szCs w:val="24"/>
              </w:rPr>
              <w:t>、环保手续履行情况</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2.1环境影响评价</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2020年12月，巴州中意新材料有限公司委托河北省众联能源环保科技有限公司编制完成了《巴州中意新材料有限公司新材料生产线项目环境影响报告表》；2021年1月7日，取得巴州生态环境局出具的《关于巴州中意新材料有限公司新材料生产线项目环境影响报告表的批复》（巴环评价函〔2021〕8号）。</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2.2排污许可</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根据《固定污染源排污许可分类管理名录（2019年版）》，一期工程属于“二十五、非金属矿物制品业—玻璃纤维和玻璃纤维增强塑料制品制造306—其他”，实行登记管理。新疆中意新材料有限公司已于2022年6月完成固定污染源排污登记（登记编号：91652823MA78U1UN94001X），并按照排污登记管理要求建立了环境管理台账。</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2.3竣工环境保护验收</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2022年8月2日，新疆中意新材料有限公司组织召开了一期工程竣工环境保护验收现场会。验收工作组由建设单位（新疆中意新材料有限公司）、验收报告编制单位（新疆中测环保科技有限公司）及技术专家组成。验收结论为：项目执行了环境影响评价和环保“三同时”管理制度，落实了环评报告表提出的环保措施及批复要求，废气、噪声能够达标排放，固废和废水得到妥善处理，符合竣工环境保护验收条件，同意通过竣工环保验收。</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2.4突发环境事件应急预案</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公司已编制《突发环境事件应急预案》并于2023年3月14日在巴州生态环境局完成备案，备案编号：652823-2023-08-L，明确了应急组织架构、应急响应程序、应急物资配备及演练要求。</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lang w:val="en-US" w:eastAsia="zh-CN"/>
              </w:rPr>
            </w:pPr>
            <w:r>
              <w:rPr>
                <w:rFonts w:hint="default" w:ascii="Times New Roman" w:hAnsi="Times New Roman" w:eastAsia="宋体" w:cs="Times New Roman"/>
                <w:b/>
                <w:bCs w:val="0"/>
                <w:color w:val="auto"/>
                <w:szCs w:val="24"/>
                <w:lang w:val="en-US" w:eastAsia="zh-CN"/>
              </w:rPr>
              <w:t>3、现有工程污染物排放及达标情况</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3.1废气</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一期工程废气主要为玻璃钢夹砂管道生产过程中混料、缠绕、模压等工序产生的非甲烷总烃、苯乙烯、臭气浓度，修边工序产生的颗粒物（湿法作业，基本无颗粒物排放），以及食堂油烟。</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（1）有组织废气治理措施</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①缠绕、混料废气：1#厂房生产过程中密闭作业、微负压。混料、缠绕过程中产生的废气经集气装置收集后，经两级活性炭吸附装置处理后，由1根15m高排气筒（DA001）排放。验收监测期间，废气处理设施运行正常。</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②食堂油烟：食堂安装抽油烟机+集气罩收集油烟后经油烟净化器引至屋顶1m高排放。</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备注：环评批复中要求的“布袋除尘器+两级活性炭吸附装置”中的布袋除尘器，因一期工程实际不使用石英砂等固态粉料，无颗粒物产生，故未设置布袋除尘器，不属于重大变动。</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（2）验收监测数据达标分析</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根据《巴州中意新材料有限公司新材料生产线项目（一期）竣工环境保护验收监测报告表》（新疆中测测试有限责任公司，报告编号：ZCFQ2022060910-01、ZCQ2022060910-02等），验收监测期间生产工况正常，环保设施运行稳定。具体监测结果如下：</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①有组织废气</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新疆中测测试有限责任公司于2022年7月11日—12日对DA001排气筒进行了有组织废气监测，监测结果见表</w:t>
            </w:r>
            <w:r>
              <w:rPr>
                <w:rFonts w:hint="default" w:ascii="Times New Roman" w:hAnsi="Times New Roman" w:cs="Times New Roman"/>
                <w:bCs/>
                <w:color w:val="auto"/>
                <w:szCs w:val="24"/>
                <w:lang w:val="en-US" w:eastAsia="zh-CN"/>
              </w:rPr>
              <w:t>2-15</w:t>
            </w:r>
            <w:r>
              <w:rPr>
                <w:rFonts w:hint="default" w:ascii="Times New Roman" w:hAnsi="Times New Roman" w:eastAsia="宋体" w:cs="Times New Roman"/>
                <w:bCs/>
                <w:color w:val="auto"/>
                <w:szCs w:val="24"/>
              </w:rPr>
              <w:t>。</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 xml:space="preserve">2-15        </w:t>
            </w:r>
            <w:r>
              <w:rPr>
                <w:rFonts w:hint="default" w:ascii="Times New Roman" w:hAnsi="Times New Roman" w:eastAsia="宋体" w:cs="Times New Roman"/>
                <w:b/>
                <w:bCs w:val="0"/>
                <w:color w:val="auto"/>
                <w:szCs w:val="24"/>
              </w:rPr>
              <w:t>一期工程有组织废气验收监测结果</w:t>
            </w:r>
          </w:p>
          <w:tbl>
            <w:tblPr>
              <w:tblStyle w:val="36"/>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99"/>
              <w:gridCol w:w="2258"/>
              <w:gridCol w:w="360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监测日期</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监测因子</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监测结果范围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2022.7.11</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0.51~0.60mg/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2022.7.11</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苯乙烯</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0.0030~0.0295mg/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2022.7.11</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臭气浓度</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174~309（无量纲）</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2022.7.12</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0.57~0.81mg/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2022.7.12</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苯乙烯</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ND~0.0417mg/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2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2022.7.12</w:t>
                  </w:r>
                </w:p>
              </w:tc>
              <w:tc>
                <w:tcPr>
                  <w:tcW w:w="1454"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臭气浓度</w:t>
                  </w:r>
                </w:p>
              </w:tc>
              <w:tc>
                <w:tcPr>
                  <w:tcW w:w="232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232~309（无量纲）</w:t>
                  </w: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验收监测结果表明，DA001排气筒非甲烷总烃、苯乙烯排放浓度满足《合成树脂工业污染物排放标准》（GB31572-2015）表</w:t>
            </w:r>
            <w:r>
              <w:rPr>
                <w:rFonts w:hint="default" w:ascii="Times New Roman" w:hAnsi="Times New Roman" w:cs="Times New Roman"/>
                <w:bCs/>
                <w:color w:val="auto"/>
                <w:szCs w:val="24"/>
                <w:lang w:val="en-US" w:eastAsia="zh-CN"/>
              </w:rPr>
              <w:t>5</w:t>
            </w:r>
            <w:r>
              <w:rPr>
                <w:rFonts w:hint="default" w:ascii="Times New Roman" w:hAnsi="Times New Roman" w:eastAsia="宋体" w:cs="Times New Roman"/>
                <w:bCs/>
                <w:color w:val="auto"/>
                <w:szCs w:val="24"/>
              </w:rPr>
              <w:t>大气污染物排放限值（非甲烷总烃≤100mg/</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、苯乙烯≤50mg/</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）；臭气浓度满足《恶臭污染物排放标准》（GB14554-93）表2排放标准限值（15m排气筒，臭气浓度≤2000）。</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②食堂油烟</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新疆中测测试有限责任公司于2022年7月对食堂油烟进行了监测，监测结果见表</w:t>
            </w:r>
            <w:r>
              <w:rPr>
                <w:rFonts w:hint="default" w:ascii="Times New Roman" w:hAnsi="Times New Roman" w:cs="Times New Roman"/>
                <w:bCs/>
                <w:color w:val="auto"/>
                <w:szCs w:val="24"/>
                <w:lang w:val="en-US" w:eastAsia="zh-CN"/>
              </w:rPr>
              <w:t>2-16</w:t>
            </w:r>
            <w:r>
              <w:rPr>
                <w:rFonts w:hint="default" w:ascii="Times New Roman" w:hAnsi="Times New Roman" w:eastAsia="宋体" w:cs="Times New Roman"/>
                <w:bCs/>
                <w:color w:val="auto"/>
                <w:szCs w:val="24"/>
              </w:rPr>
              <w:t>。</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2-16</w:t>
            </w:r>
            <w:r>
              <w:rPr>
                <w:rFonts w:hint="default" w:ascii="Times New Roman" w:hAnsi="Times New Roman" w:eastAsia="宋体" w:cs="Times New Roman"/>
                <w:b/>
                <w:bCs w:val="0"/>
                <w:color w:val="auto"/>
                <w:szCs w:val="24"/>
              </w:rPr>
              <w:t xml:space="preserve"> </w:t>
            </w:r>
            <w:r>
              <w:rPr>
                <w:rFonts w:hint="default" w:ascii="Times New Roman" w:hAnsi="Times New Roman" w:cs="Times New Roman"/>
                <w:b/>
                <w:bCs w:val="0"/>
                <w:color w:val="auto"/>
                <w:szCs w:val="24"/>
                <w:lang w:val="en-US" w:eastAsia="zh-CN"/>
              </w:rPr>
              <w:t xml:space="preserve">         </w:t>
            </w:r>
            <w:r>
              <w:rPr>
                <w:rFonts w:hint="default" w:ascii="Times New Roman" w:hAnsi="Times New Roman" w:eastAsia="宋体" w:cs="Times New Roman"/>
                <w:b/>
                <w:bCs w:val="0"/>
                <w:color w:val="auto"/>
                <w:szCs w:val="24"/>
              </w:rPr>
              <w:t>一期工程食堂油烟监测结果</w:t>
            </w:r>
          </w:p>
          <w:tbl>
            <w:tblPr>
              <w:tblStyle w:val="36"/>
              <w:tblW w:w="4998"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42"/>
              <w:gridCol w:w="2374"/>
              <w:gridCol w:w="2374"/>
              <w:gridCol w:w="197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71"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监测项目</w:t>
                  </w:r>
                </w:p>
              </w:tc>
              <w:tc>
                <w:tcPr>
                  <w:tcW w:w="152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实测浓度范围（mg/</w:t>
                  </w:r>
                  <w:r>
                    <w:rPr>
                      <w:rFonts w:hint="default" w:ascii="Times New Roman" w:hAnsi="Times New Roman" w:cs="Times New Roman"/>
                      <w:kern w:val="0"/>
                      <w:sz w:val="18"/>
                      <w:szCs w:val="18"/>
                      <w:lang w:val="en-US" w:eastAsia="zh-CN" w:bidi="ar"/>
                    </w:rPr>
                    <w:t>m</w:t>
                  </w:r>
                  <w:r>
                    <w:rPr>
                      <w:rFonts w:hint="default" w:ascii="Times New Roman" w:hAnsi="Times New Roman"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w:t>
                  </w:r>
                </w:p>
              </w:tc>
              <w:tc>
                <w:tcPr>
                  <w:tcW w:w="152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基准浓度范围（mg/</w:t>
                  </w:r>
                  <w:r>
                    <w:rPr>
                      <w:rFonts w:hint="default" w:ascii="Times New Roman" w:hAnsi="Times New Roman" w:cs="Times New Roman"/>
                      <w:kern w:val="0"/>
                      <w:sz w:val="18"/>
                      <w:szCs w:val="18"/>
                      <w:lang w:val="en-US" w:eastAsia="zh-CN" w:bidi="ar"/>
                    </w:rPr>
                    <w:t>m</w:t>
                  </w:r>
                  <w:r>
                    <w:rPr>
                      <w:rFonts w:hint="default" w:ascii="Times New Roman" w:hAnsi="Times New Roman"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w:t>
                  </w:r>
                </w:p>
              </w:tc>
              <w:tc>
                <w:tcPr>
                  <w:tcW w:w="1270"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标准限值（mg/</w:t>
                  </w:r>
                  <w:r>
                    <w:rPr>
                      <w:rFonts w:hint="default" w:ascii="Times New Roman" w:hAnsi="Times New Roman" w:cs="Times New Roman"/>
                      <w:kern w:val="0"/>
                      <w:sz w:val="18"/>
                      <w:szCs w:val="18"/>
                      <w:lang w:val="en-US" w:eastAsia="zh-CN" w:bidi="ar"/>
                    </w:rPr>
                    <w:t>m</w:t>
                  </w:r>
                  <w:r>
                    <w:rPr>
                      <w:rFonts w:hint="default" w:ascii="Times New Roman" w:hAnsi="Times New Roman"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71"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油烟</w:t>
                  </w:r>
                </w:p>
              </w:tc>
              <w:tc>
                <w:tcPr>
                  <w:tcW w:w="152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0.20~0.49</w:t>
                  </w:r>
                </w:p>
              </w:tc>
              <w:tc>
                <w:tcPr>
                  <w:tcW w:w="152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0.037~0.086</w:t>
                  </w:r>
                </w:p>
              </w:tc>
              <w:tc>
                <w:tcPr>
                  <w:tcW w:w="1270"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2.0</w:t>
                  </w: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验收监测结果表明，食堂油烟排放浓度满足《饮食业油烟排放标准（试行）》（GB18483-2001）表2小型规模最高允许排放浓度2.0mg/</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限值要求。</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③无组织废气</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新疆中测测试有限责任公司于2022年6月20日—21日对厂界无组织废气进行了监测，在厂界上风向设1个参照点、下风向设3个监控点，监测结果见表</w:t>
            </w:r>
            <w:r>
              <w:rPr>
                <w:rFonts w:hint="default" w:ascii="Times New Roman" w:hAnsi="Times New Roman" w:cs="Times New Roman"/>
                <w:bCs/>
                <w:color w:val="auto"/>
                <w:szCs w:val="24"/>
                <w:lang w:val="en-US" w:eastAsia="zh-CN"/>
              </w:rPr>
              <w:t>2-17</w:t>
            </w:r>
            <w:r>
              <w:rPr>
                <w:rFonts w:hint="default" w:ascii="Times New Roman" w:hAnsi="Times New Roman" w:eastAsia="宋体" w:cs="Times New Roman"/>
                <w:bCs/>
                <w:color w:val="auto"/>
                <w:szCs w:val="24"/>
              </w:rPr>
              <w:t>。</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 xml:space="preserve">2-17        </w:t>
            </w:r>
            <w:r>
              <w:rPr>
                <w:rFonts w:hint="default" w:ascii="Times New Roman" w:hAnsi="Times New Roman" w:eastAsia="宋体" w:cs="Times New Roman"/>
                <w:b/>
                <w:bCs w:val="0"/>
                <w:color w:val="auto"/>
                <w:szCs w:val="24"/>
              </w:rPr>
              <w:t xml:space="preserve"> 一期工程无组织废气验收监测结果</w:t>
            </w:r>
          </w:p>
          <w:tbl>
            <w:tblPr>
              <w:tblStyle w:val="3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2046"/>
              <w:gridCol w:w="1871"/>
              <w:gridCol w:w="1582"/>
              <w:gridCol w:w="10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01"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监测因子</w:t>
                  </w:r>
                </w:p>
              </w:tc>
              <w:tc>
                <w:tcPr>
                  <w:tcW w:w="131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监测结果范围（mg/</w:t>
                  </w:r>
                  <w:r>
                    <w:rPr>
                      <w:rFonts w:hint="default" w:ascii="Times New Roman" w:hAnsi="Times New Roman" w:cs="Times New Roman"/>
                      <w:kern w:val="0"/>
                      <w:sz w:val="18"/>
                      <w:szCs w:val="18"/>
                      <w:lang w:val="en-US" w:eastAsia="zh-CN" w:bidi="ar"/>
                    </w:rPr>
                    <w:t>m</w:t>
                  </w:r>
                  <w:r>
                    <w:rPr>
                      <w:rFonts w:hint="default" w:ascii="Times New Roman" w:hAnsi="Times New Roman"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w:t>
                  </w:r>
                </w:p>
              </w:tc>
              <w:tc>
                <w:tcPr>
                  <w:tcW w:w="120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厂界最大值（mg/</w:t>
                  </w:r>
                  <w:r>
                    <w:rPr>
                      <w:rFonts w:hint="default" w:ascii="Times New Roman" w:hAnsi="Times New Roman" w:cs="Times New Roman"/>
                      <w:kern w:val="0"/>
                      <w:sz w:val="18"/>
                      <w:szCs w:val="18"/>
                      <w:lang w:val="en-US" w:eastAsia="zh-CN" w:bidi="ar"/>
                    </w:rPr>
                    <w:t>m</w:t>
                  </w:r>
                  <w:r>
                    <w:rPr>
                      <w:rFonts w:hint="default" w:ascii="Times New Roman" w:hAnsi="Times New Roman"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w:t>
                  </w:r>
                </w:p>
              </w:tc>
              <w:tc>
                <w:tcPr>
                  <w:tcW w:w="1019"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标准限值（mg/</w:t>
                  </w:r>
                  <w:r>
                    <w:rPr>
                      <w:rFonts w:hint="default" w:ascii="Times New Roman" w:hAnsi="Times New Roman" w:cs="Times New Roman"/>
                      <w:kern w:val="0"/>
                      <w:sz w:val="18"/>
                      <w:szCs w:val="18"/>
                      <w:lang w:val="en-US" w:eastAsia="zh-CN" w:bidi="ar"/>
                    </w:rPr>
                    <w:t>m</w:t>
                  </w:r>
                  <w:r>
                    <w:rPr>
                      <w:rFonts w:hint="default" w:ascii="Times New Roman" w:hAnsi="Times New Roman" w:cs="Times New Roman"/>
                      <w:kern w:val="0"/>
                      <w:sz w:val="18"/>
                      <w:szCs w:val="18"/>
                      <w:vertAlign w:val="superscript"/>
                      <w:lang w:val="en-US" w:eastAsia="zh-CN" w:bidi="ar"/>
                    </w:rPr>
                    <w:t>3</w:t>
                  </w:r>
                  <w:r>
                    <w:rPr>
                      <w:rFonts w:hint="default" w:ascii="Times New Roman" w:hAnsi="Times New Roman" w:eastAsia="宋体" w:cs="Times New Roman"/>
                      <w:kern w:val="0"/>
                      <w:sz w:val="18"/>
                      <w:szCs w:val="18"/>
                      <w:lang w:val="en-US" w:eastAsia="zh-CN" w:bidi="ar"/>
                    </w:rPr>
                    <w:t>）</w:t>
                  </w:r>
                </w:p>
              </w:tc>
              <w:tc>
                <w:tcPr>
                  <w:tcW w:w="65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01"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非甲烷总烃</w:t>
                  </w:r>
                </w:p>
              </w:tc>
              <w:tc>
                <w:tcPr>
                  <w:tcW w:w="131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0.56~0.92</w:t>
                  </w:r>
                </w:p>
              </w:tc>
              <w:tc>
                <w:tcPr>
                  <w:tcW w:w="120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0.92</w:t>
                  </w:r>
                </w:p>
              </w:tc>
              <w:tc>
                <w:tcPr>
                  <w:tcW w:w="1019"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4.0</w:t>
                  </w:r>
                </w:p>
              </w:tc>
              <w:tc>
                <w:tcPr>
                  <w:tcW w:w="65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01"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苯系物（苯）</w:t>
                  </w:r>
                </w:p>
              </w:tc>
              <w:tc>
                <w:tcPr>
                  <w:tcW w:w="131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ND~0.0108</w:t>
                  </w:r>
                </w:p>
              </w:tc>
              <w:tc>
                <w:tcPr>
                  <w:tcW w:w="120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0.0108</w:t>
                  </w:r>
                </w:p>
              </w:tc>
              <w:tc>
                <w:tcPr>
                  <w:tcW w:w="1019"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5.0（苯乙烯）</w:t>
                  </w:r>
                </w:p>
              </w:tc>
              <w:tc>
                <w:tcPr>
                  <w:tcW w:w="65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801"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臭气浓度</w:t>
                  </w:r>
                </w:p>
              </w:tc>
              <w:tc>
                <w:tcPr>
                  <w:tcW w:w="131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&lt;10~15（无量纲）</w:t>
                  </w:r>
                </w:p>
              </w:tc>
              <w:tc>
                <w:tcPr>
                  <w:tcW w:w="120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15（无量纲）</w:t>
                  </w:r>
                </w:p>
              </w:tc>
              <w:tc>
                <w:tcPr>
                  <w:tcW w:w="1019"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20（无量纲）</w:t>
                  </w:r>
                </w:p>
              </w:tc>
              <w:tc>
                <w:tcPr>
                  <w:tcW w:w="655"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5000" w:type="pct"/>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注：苯系物监测因子为苯、甲苯、二甲苯，验收监测报告中以苯系物表征苯乙烯类物质。监测结果均远低于标准限值。</w:t>
                  </w: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验收监测结果表明，厂界无组织排放非甲烷总烃浓度满足《合成树脂工业污染物排放标准》（GB31572-2015）表9企业边界大气污染物浓度限值（非甲烷总烃≤4.0mg/</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）；苯乙烯（以苯系物表征）及臭气浓度满足《恶臭污染物排放标准》（GB14554-93）表1二级新扩改建标准（苯乙烯≤5.0mg/</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、臭气浓度≤20）。</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（3）废气排放量核算</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根据验收监测数据及实际运行工况（年工作200天，每天8小时），一期工程废气污染物排放量核算如下：</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2-18</w:t>
            </w:r>
            <w:r>
              <w:rPr>
                <w:rFonts w:hint="default" w:ascii="Times New Roman" w:hAnsi="Times New Roman" w:eastAsia="宋体" w:cs="Times New Roman"/>
                <w:b/>
                <w:bCs w:val="0"/>
                <w:color w:val="auto"/>
                <w:szCs w:val="24"/>
              </w:rPr>
              <w:t xml:space="preserve"> </w:t>
            </w:r>
            <w:r>
              <w:rPr>
                <w:rFonts w:hint="default" w:ascii="Times New Roman" w:hAnsi="Times New Roman" w:cs="Times New Roman"/>
                <w:b/>
                <w:bCs w:val="0"/>
                <w:color w:val="auto"/>
                <w:szCs w:val="24"/>
                <w:lang w:val="en-US" w:eastAsia="zh-CN"/>
              </w:rPr>
              <w:t xml:space="preserve">               </w:t>
            </w:r>
            <w:r>
              <w:rPr>
                <w:rFonts w:hint="default" w:ascii="Times New Roman" w:hAnsi="Times New Roman" w:eastAsia="宋体" w:cs="Times New Roman"/>
                <w:b/>
                <w:bCs w:val="0"/>
                <w:color w:val="auto"/>
                <w:szCs w:val="24"/>
              </w:rPr>
              <w:t>一期工程废气污染物排放量核算表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997"/>
              <w:gridCol w:w="2443"/>
              <w:gridCol w:w="1673"/>
              <w:gridCol w:w="15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3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污染物</w:t>
                  </w:r>
                </w:p>
              </w:tc>
              <w:tc>
                <w:tcPr>
                  <w:tcW w:w="64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排放形式</w:t>
                  </w:r>
                </w:p>
              </w:tc>
              <w:tc>
                <w:tcPr>
                  <w:tcW w:w="157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排放速率（kg/h）</w:t>
                  </w:r>
                </w:p>
              </w:tc>
              <w:tc>
                <w:tcPr>
                  <w:tcW w:w="107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年工作时间（h）</w:t>
                  </w:r>
                </w:p>
              </w:tc>
              <w:tc>
                <w:tcPr>
                  <w:tcW w:w="96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排放量（t/a）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3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非甲烷总烃</w:t>
                  </w:r>
                </w:p>
              </w:tc>
              <w:tc>
                <w:tcPr>
                  <w:tcW w:w="64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有组织</w:t>
                  </w:r>
                </w:p>
              </w:tc>
              <w:tc>
                <w:tcPr>
                  <w:tcW w:w="157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5.02×10⁻⁴~7.11×10⁻⁴</w:t>
                  </w:r>
                </w:p>
              </w:tc>
              <w:tc>
                <w:tcPr>
                  <w:tcW w:w="107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1600</w:t>
                  </w:r>
                </w:p>
              </w:tc>
              <w:tc>
                <w:tcPr>
                  <w:tcW w:w="96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0.001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3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非甲烷总烃</w:t>
                  </w:r>
                </w:p>
              </w:tc>
              <w:tc>
                <w:tcPr>
                  <w:tcW w:w="64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无组织</w:t>
                  </w:r>
                </w:p>
              </w:tc>
              <w:tc>
                <w:tcPr>
                  <w:tcW w:w="157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w:t>
                  </w:r>
                </w:p>
              </w:tc>
              <w:tc>
                <w:tcPr>
                  <w:tcW w:w="107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w:t>
                  </w:r>
                </w:p>
              </w:tc>
              <w:tc>
                <w:tcPr>
                  <w:tcW w:w="96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3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苯乙烯</w:t>
                  </w:r>
                </w:p>
              </w:tc>
              <w:tc>
                <w:tcPr>
                  <w:tcW w:w="64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有组织</w:t>
                  </w:r>
                </w:p>
              </w:tc>
              <w:tc>
                <w:tcPr>
                  <w:tcW w:w="157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2.44×10⁻⁴~3.61×10⁻⁴</w:t>
                  </w:r>
                </w:p>
              </w:tc>
              <w:tc>
                <w:tcPr>
                  <w:tcW w:w="107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1600</w:t>
                  </w:r>
                </w:p>
              </w:tc>
              <w:tc>
                <w:tcPr>
                  <w:tcW w:w="96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0.0005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3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苯乙烯</w:t>
                  </w:r>
                </w:p>
              </w:tc>
              <w:tc>
                <w:tcPr>
                  <w:tcW w:w="64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无组织</w:t>
                  </w:r>
                </w:p>
              </w:tc>
              <w:tc>
                <w:tcPr>
                  <w:tcW w:w="157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w:t>
                  </w:r>
                </w:p>
              </w:tc>
              <w:tc>
                <w:tcPr>
                  <w:tcW w:w="1077"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w:t>
                  </w:r>
                </w:p>
              </w:tc>
              <w:tc>
                <w:tcPr>
                  <w:tcW w:w="968"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5000" w:type="pct"/>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18"/>
                      <w:szCs w:val="18"/>
                      <w:lang w:val="en-US" w:eastAsia="zh-CN" w:bidi="ar"/>
                    </w:rPr>
                  </w:pPr>
                  <w:r>
                    <w:rPr>
                      <w:rFonts w:hint="default" w:ascii="Times New Roman" w:hAnsi="Times New Roman" w:eastAsia="宋体" w:cs="Times New Roman"/>
                      <w:kern w:val="0"/>
                      <w:sz w:val="18"/>
                      <w:szCs w:val="18"/>
                      <w:lang w:val="en-US" w:eastAsia="zh-CN" w:bidi="ar"/>
                    </w:rPr>
                    <w:t>说明：</w:t>
                  </w:r>
                  <w:r>
                    <w:rPr>
                      <w:rFonts w:hint="default" w:ascii="Times New Roman" w:hAnsi="Times New Roman" w:cs="Times New Roman"/>
                      <w:kern w:val="0"/>
                      <w:sz w:val="18"/>
                      <w:szCs w:val="18"/>
                      <w:lang w:val="en-US" w:eastAsia="zh-CN" w:bidi="ar"/>
                    </w:rPr>
                    <w:t>表中的核算数据为《巴州中意新材料有限公司新材料生产线项目（一期）竣工环境保护验收监测报告表》中数据。</w:t>
                  </w: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3.2废水</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一期工程废水主要为员工生活污水，产生量为360</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/a（1.2</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3</w:t>
            </w:r>
            <w:r>
              <w:rPr>
                <w:rFonts w:hint="default" w:ascii="Times New Roman" w:hAnsi="Times New Roman" w:eastAsia="宋体" w:cs="Times New Roman"/>
                <w:bCs/>
                <w:color w:val="auto"/>
                <w:szCs w:val="24"/>
              </w:rPr>
              <w:t>/d）。</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生活污水经防渗化粪池处理后，排入园区污水管网，最终进入尉犁县城镇污水处理厂集中处置。验收监测期间，废水处理设施运行正常。</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3.3 噪声</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一期工程主要噪声源为缠绕机、模压机、空压机、风机等设备。主要降噪措施包括：选用低噪声设备、基础减震、厂房隔声、风机空压机单独密闭隔声间、加强设备维护保养等。</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新疆中测测试有限责任公司于2022年6月20日—21日对厂界四周噪声进行了监测，监测结果见表</w:t>
            </w:r>
            <w:r>
              <w:rPr>
                <w:rFonts w:hint="default" w:ascii="Times New Roman" w:hAnsi="Times New Roman" w:cs="Times New Roman"/>
                <w:bCs/>
                <w:color w:val="auto"/>
                <w:szCs w:val="24"/>
                <w:lang w:val="en-US" w:eastAsia="zh-CN"/>
              </w:rPr>
              <w:t>2-19</w:t>
            </w:r>
            <w:r>
              <w:rPr>
                <w:rFonts w:hint="default" w:ascii="Times New Roman" w:hAnsi="Times New Roman" w:eastAsia="宋体" w:cs="Times New Roman"/>
                <w:bCs/>
                <w:color w:val="auto"/>
                <w:szCs w:val="24"/>
              </w:rPr>
              <w:t>。</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2-19</w:t>
            </w:r>
            <w:r>
              <w:rPr>
                <w:rFonts w:hint="default" w:ascii="Times New Roman" w:hAnsi="Times New Roman" w:eastAsia="宋体" w:cs="Times New Roman"/>
                <w:b/>
                <w:bCs w:val="0"/>
                <w:color w:val="auto"/>
                <w:szCs w:val="24"/>
              </w:rPr>
              <w:t xml:space="preserve"> </w:t>
            </w:r>
            <w:r>
              <w:rPr>
                <w:rFonts w:hint="default" w:ascii="Times New Roman" w:hAnsi="Times New Roman" w:cs="Times New Roman"/>
                <w:b/>
                <w:bCs w:val="0"/>
                <w:color w:val="auto"/>
                <w:szCs w:val="24"/>
                <w:lang w:val="en-US" w:eastAsia="zh-CN"/>
              </w:rPr>
              <w:t xml:space="preserve">          </w:t>
            </w:r>
            <w:r>
              <w:rPr>
                <w:rFonts w:hint="default" w:ascii="Times New Roman" w:hAnsi="Times New Roman" w:eastAsia="宋体" w:cs="Times New Roman"/>
                <w:b/>
                <w:bCs w:val="0"/>
                <w:color w:val="auto"/>
                <w:szCs w:val="24"/>
              </w:rPr>
              <w:t>一期工程厂界噪声验收监测结果 单位：dB（A）</w:t>
            </w:r>
          </w:p>
          <w:tbl>
            <w:tblPr>
              <w:tblStyle w:val="36"/>
              <w:tblW w:w="4999"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865"/>
              <w:gridCol w:w="867"/>
              <w:gridCol w:w="865"/>
              <w:gridCol w:w="867"/>
              <w:gridCol w:w="1484"/>
              <w:gridCol w:w="140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06"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监测点位</w:t>
                  </w:r>
                </w:p>
              </w:tc>
              <w:tc>
                <w:tcPr>
                  <w:tcW w:w="1115" w:type="pct"/>
                  <w:gridSpan w:val="2"/>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2022.6.20</w:t>
                  </w:r>
                </w:p>
              </w:tc>
              <w:tc>
                <w:tcPr>
                  <w:tcW w:w="1115" w:type="pct"/>
                  <w:gridSpan w:val="2"/>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2022.6.21</w:t>
                  </w:r>
                </w:p>
              </w:tc>
              <w:tc>
                <w:tcPr>
                  <w:tcW w:w="955" w:type="pct"/>
                  <w:tcBorders>
                    <w:tl2br w:val="nil"/>
                    <w:tr2bl w:val="nil"/>
                  </w:tcBorders>
                  <w:vAlign w:val="center"/>
                </w:tcPr>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标准限值</w:t>
                  </w:r>
                </w:p>
              </w:tc>
              <w:tc>
                <w:tcPr>
                  <w:tcW w:w="906" w:type="pct"/>
                  <w:vMerge w:val="restart"/>
                  <w:tcBorders>
                    <w:tl2br w:val="nil"/>
                    <w:tr2bl w:val="nil"/>
                  </w:tcBorders>
                  <w:vAlign w:val="center"/>
                </w:tcPr>
                <w:p>
                  <w:pPr>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06"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vertAlign w:val="baseline"/>
                    </w:rPr>
                  </w:pP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昼间</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夜间</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昼间</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夜间</w:t>
                  </w:r>
                </w:p>
              </w:tc>
              <w:tc>
                <w:tcPr>
                  <w:tcW w:w="95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昼间/夜间</w:t>
                  </w:r>
                </w:p>
              </w:tc>
              <w:tc>
                <w:tcPr>
                  <w:tcW w:w="906" w:type="pct"/>
                  <w:vMerge w:val="continue"/>
                  <w:tcBorders>
                    <w:tl2br w:val="nil"/>
                    <w:tr2bl w:val="nil"/>
                  </w:tcBorders>
                  <w:vAlign w:val="center"/>
                </w:tcPr>
                <w:p>
                  <w:pPr>
                    <w:jc w:val="center"/>
                    <w:rPr>
                      <w:rFonts w:hint="default" w:ascii="Times New Roman" w:hAnsi="Times New Roman" w:eastAsia="宋体" w:cs="Times New Roman"/>
                      <w:b w:val="0"/>
                      <w:bCs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东厂界</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51.4</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43.9</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51.2</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44.7</w:t>
                  </w:r>
                </w:p>
              </w:tc>
              <w:tc>
                <w:tcPr>
                  <w:tcW w:w="95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65/55</w:t>
                  </w:r>
                </w:p>
              </w:tc>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南厂界</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53.1</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42.5</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52.6</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42.3</w:t>
                  </w:r>
                </w:p>
              </w:tc>
              <w:tc>
                <w:tcPr>
                  <w:tcW w:w="95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65/55</w:t>
                  </w:r>
                </w:p>
              </w:tc>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西厂界</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52.0</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44.6</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53.4</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44.0</w:t>
                  </w:r>
                </w:p>
              </w:tc>
              <w:tc>
                <w:tcPr>
                  <w:tcW w:w="95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65/55</w:t>
                  </w:r>
                </w:p>
              </w:tc>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北厂界</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50.4</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41.2</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52.0</w:t>
                  </w:r>
                </w:p>
              </w:tc>
              <w:tc>
                <w:tcPr>
                  <w:tcW w:w="5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41.9</w:t>
                  </w:r>
                </w:p>
              </w:tc>
              <w:tc>
                <w:tcPr>
                  <w:tcW w:w="95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65/55</w:t>
                  </w:r>
                </w:p>
              </w:tc>
              <w:tc>
                <w:tcPr>
                  <w:tcW w:w="90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kern w:val="0"/>
                      <w:sz w:val="18"/>
                      <w:szCs w:val="18"/>
                      <w:lang w:val="en-US" w:eastAsia="zh-CN" w:bidi="ar"/>
                    </w:rPr>
                    <w:t>达标</w:t>
                  </w: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验收监测结果表明，厂界四周昼、夜间噪声值均满足《工业企业厂界环境噪声排放标准》（GB12348-2008）3类标准限值要求。</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3.4 固体废物</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一期工程固体废物产生及处置情况见表</w:t>
            </w:r>
            <w:r>
              <w:rPr>
                <w:rFonts w:hint="default" w:ascii="Times New Roman" w:hAnsi="Times New Roman" w:cs="Times New Roman"/>
                <w:bCs/>
                <w:color w:val="auto"/>
                <w:szCs w:val="24"/>
                <w:lang w:val="en-US" w:eastAsia="zh-CN"/>
              </w:rPr>
              <w:t>2-20</w:t>
            </w:r>
            <w:r>
              <w:rPr>
                <w:rFonts w:hint="default" w:ascii="Times New Roman" w:hAnsi="Times New Roman" w:eastAsia="宋体" w:cs="Times New Roman"/>
                <w:bCs/>
                <w:color w:val="auto"/>
                <w:szCs w:val="24"/>
              </w:rPr>
              <w:t>。</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2-20</w:t>
            </w:r>
            <w:r>
              <w:rPr>
                <w:rFonts w:hint="default" w:ascii="Times New Roman" w:hAnsi="Times New Roman" w:eastAsia="宋体" w:cs="Times New Roman"/>
                <w:b/>
                <w:bCs w:val="0"/>
                <w:color w:val="auto"/>
                <w:szCs w:val="24"/>
              </w:rPr>
              <w:t xml:space="preserve"> 一期工程固体废物产生及处置情况一览表</w:t>
            </w:r>
          </w:p>
          <w:tbl>
            <w:tblPr>
              <w:tblStyle w:val="36"/>
              <w:tblW w:w="7773" w:type="dxa"/>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816"/>
              <w:gridCol w:w="2324"/>
              <w:gridCol w:w="232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固废种类</w:t>
                  </w:r>
                </w:p>
              </w:tc>
              <w:tc>
                <w:tcPr>
                  <w:tcW w:w="116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属性</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实际产生量（t/a）</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处置措施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废包装袋</w:t>
                  </w:r>
                </w:p>
              </w:tc>
              <w:tc>
                <w:tcPr>
                  <w:tcW w:w="116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一般工业固废</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0.006</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eastAsia="宋体" w:cs="Times New Roman"/>
                      <w:b w:val="0"/>
                      <w:bCs w:val="0"/>
                      <w:kern w:val="0"/>
                      <w:sz w:val="18"/>
                      <w:szCs w:val="18"/>
                      <w:lang w:val="en-US" w:eastAsia="zh-CN" w:bidi="ar"/>
                    </w:rPr>
                    <w:t>定期外售给废品回收站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116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交由环卫部门处理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废润滑油</w:t>
                  </w:r>
                </w:p>
              </w:tc>
              <w:tc>
                <w:tcPr>
                  <w:tcW w:w="116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危险废物</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0.003</w:t>
                  </w:r>
                </w:p>
              </w:tc>
              <w:tc>
                <w:tcPr>
                  <w:tcW w:w="1494"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r>
                    <w:rPr>
                      <w:rFonts w:hint="default" w:ascii="Times New Roman" w:hAnsi="Times New Roman" w:cs="Times New Roman"/>
                      <w:b w:val="0"/>
                      <w:bCs w:val="0"/>
                      <w:kern w:val="0"/>
                      <w:sz w:val="18"/>
                      <w:szCs w:val="18"/>
                      <w:lang w:val="en-US" w:eastAsia="zh-CN" w:bidi="ar"/>
                    </w:rPr>
                    <w:t>集中收集后交由库尔勒速润再生物资利用有限公司处置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12" w:hRule="atLeast"/>
              </w:trPr>
              <w:tc>
                <w:tcPr>
                  <w:tcW w:w="84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废液压油</w:t>
                  </w:r>
                </w:p>
              </w:tc>
              <w:tc>
                <w:tcPr>
                  <w:tcW w:w="116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危险废物</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0.003</w:t>
                  </w:r>
                </w:p>
              </w:tc>
              <w:tc>
                <w:tcPr>
                  <w:tcW w:w="1494"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废活性炭</w:t>
                  </w:r>
                </w:p>
              </w:tc>
              <w:tc>
                <w:tcPr>
                  <w:tcW w:w="116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危险废物</w:t>
                  </w:r>
                </w:p>
              </w:tc>
              <w:tc>
                <w:tcPr>
                  <w:tcW w:w="1494"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0.5</w:t>
                  </w:r>
                </w:p>
              </w:tc>
              <w:tc>
                <w:tcPr>
                  <w:tcW w:w="1494"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kern w:val="0"/>
                      <w:sz w:val="18"/>
                      <w:szCs w:val="18"/>
                      <w:lang w:val="en-US" w:eastAsia="zh-CN" w:bidi="ar"/>
                    </w:rPr>
                  </w:pP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lang w:val="en-US" w:eastAsia="zh-CN"/>
              </w:rPr>
            </w:pPr>
            <w:r>
              <w:rPr>
                <w:rFonts w:hint="default" w:ascii="Times New Roman" w:hAnsi="Times New Roman" w:eastAsia="宋体" w:cs="Times New Roman"/>
                <w:b/>
                <w:bCs w:val="0"/>
                <w:color w:val="auto"/>
                <w:szCs w:val="24"/>
                <w:lang w:val="en-US" w:eastAsia="zh-CN"/>
              </w:rPr>
              <w:t>4、现有工程污染物排放量汇总</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eastAsia="宋体" w:cs="Times New Roman"/>
                <w:bCs/>
                <w:color w:val="auto"/>
                <w:szCs w:val="24"/>
              </w:rPr>
              <w:t>根据一期工程竣工环境保护验收监测报告、环评报告及实际运行情况，现有工程污染物排放总量汇总见表</w:t>
            </w:r>
            <w:r>
              <w:rPr>
                <w:rFonts w:hint="default" w:ascii="Times New Roman" w:hAnsi="Times New Roman" w:cs="Times New Roman"/>
                <w:bCs/>
                <w:color w:val="auto"/>
                <w:szCs w:val="24"/>
                <w:lang w:val="en-US" w:eastAsia="zh-CN"/>
              </w:rPr>
              <w:t>2-21</w:t>
            </w:r>
            <w:r>
              <w:rPr>
                <w:rFonts w:hint="default" w:ascii="Times New Roman" w:hAnsi="Times New Roman" w:eastAsia="宋体" w:cs="Times New Roman"/>
                <w:bCs/>
                <w:color w:val="auto"/>
                <w:szCs w:val="24"/>
              </w:rPr>
              <w:t>。</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482" w:firstLineChars="200"/>
              <w:jc w:val="left"/>
              <w:textAlignment w:val="auto"/>
              <w:rPr>
                <w:rFonts w:hint="default" w:ascii="Times New Roman" w:hAnsi="Times New Roman" w:eastAsia="宋体" w:cs="Times New Roman"/>
                <w:b/>
                <w:bCs w:val="0"/>
                <w:color w:val="auto"/>
                <w:szCs w:val="24"/>
                <w:vertAlign w:val="baseline"/>
              </w:rPr>
            </w:pPr>
            <w:r>
              <w:rPr>
                <w:rFonts w:hint="default" w:ascii="Times New Roman" w:hAnsi="Times New Roman" w:eastAsia="宋体" w:cs="Times New Roman"/>
                <w:b/>
                <w:bCs w:val="0"/>
                <w:color w:val="auto"/>
                <w:szCs w:val="24"/>
              </w:rPr>
              <w:t>表</w:t>
            </w:r>
            <w:r>
              <w:rPr>
                <w:rFonts w:hint="default" w:ascii="Times New Roman" w:hAnsi="Times New Roman" w:cs="Times New Roman"/>
                <w:b/>
                <w:bCs w:val="0"/>
                <w:color w:val="auto"/>
                <w:szCs w:val="24"/>
                <w:lang w:val="en-US" w:eastAsia="zh-CN"/>
              </w:rPr>
              <w:t xml:space="preserve">2-21         </w:t>
            </w:r>
            <w:r>
              <w:rPr>
                <w:rFonts w:hint="default" w:ascii="Times New Roman" w:hAnsi="Times New Roman" w:eastAsia="宋体" w:cs="Times New Roman"/>
                <w:b/>
                <w:bCs w:val="0"/>
                <w:color w:val="auto"/>
                <w:szCs w:val="24"/>
              </w:rPr>
              <w:t xml:space="preserve"> 一期工程污染物排放量汇总表</w:t>
            </w:r>
          </w:p>
          <w:tbl>
            <w:tblPr>
              <w:tblStyle w:val="36"/>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583"/>
              <w:gridCol w:w="2583"/>
              <w:gridCol w:w="26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污染物类别</w:t>
                  </w: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污染物名称</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实际排放量（t/a）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废气</w:t>
                  </w: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苯乙烯</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一般工业固废</w:t>
                  </w: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废包装袋</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危险废物</w:t>
                  </w: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废润滑油</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废液压油</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0.003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67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p>
              </w:tc>
              <w:tc>
                <w:tcPr>
                  <w:tcW w:w="267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废活性炭</w:t>
                  </w:r>
                </w:p>
              </w:tc>
              <w:tc>
                <w:tcPr>
                  <w:tcW w:w="2673"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0.5</w:t>
                  </w:r>
                </w:p>
              </w:tc>
            </w:tr>
          </w:tbl>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lang w:val="en-US" w:eastAsia="zh-CN"/>
              </w:rPr>
            </w:pPr>
            <w:r>
              <w:rPr>
                <w:rFonts w:hint="default" w:ascii="Times New Roman" w:hAnsi="Times New Roman" w:eastAsia="宋体" w:cs="Times New Roman"/>
                <w:b/>
                <w:bCs w:val="0"/>
                <w:color w:val="auto"/>
                <w:szCs w:val="24"/>
                <w:lang w:val="en-US" w:eastAsia="zh-CN"/>
              </w:rPr>
              <w:t>5、现有工程存在的环境问题及整改措施</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存在问题：</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cs="Times New Roman"/>
                <w:b/>
                <w:bCs w:val="0"/>
                <w:color w:val="auto"/>
                <w:szCs w:val="24"/>
                <w:lang w:val="en-US" w:eastAsia="zh-CN"/>
              </w:rPr>
              <w:t>①</w:t>
            </w:r>
            <w:r>
              <w:rPr>
                <w:rFonts w:hint="default" w:ascii="Times New Roman" w:hAnsi="Times New Roman" w:eastAsia="宋体" w:cs="Times New Roman"/>
                <w:bCs/>
                <w:color w:val="auto"/>
                <w:szCs w:val="24"/>
              </w:rPr>
              <w:t>一期工程危废贮存点面积12</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2</w:t>
            </w:r>
            <w:r>
              <w:rPr>
                <w:rFonts w:hint="default" w:ascii="Times New Roman" w:hAnsi="Times New Roman" w:eastAsia="宋体" w:cs="Times New Roman"/>
                <w:bCs/>
                <w:color w:val="auto"/>
                <w:szCs w:val="24"/>
              </w:rPr>
              <w:t>，基本满足现有危废暂存需求，但未严格按危废类别分区存放，部分区域标识标牌不够规范，与《危险废物贮存污染控制标准》（GB18597-2023）中关于贮存分区及标识管理的相关要求存在差距。</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lang w:val="en-US" w:eastAsia="zh-CN"/>
              </w:rPr>
            </w:pPr>
            <w:r>
              <w:rPr>
                <w:rFonts w:hint="default" w:ascii="Times New Roman" w:hAnsi="Times New Roman" w:cs="Times New Roman"/>
                <w:bCs/>
                <w:color w:val="auto"/>
                <w:szCs w:val="24"/>
                <w:lang w:val="en-US" w:eastAsia="zh-CN"/>
              </w:rPr>
              <w:t>②本项目现有工程VOCs治理设施为</w:t>
            </w:r>
            <w:r>
              <w:rPr>
                <w:rFonts w:hint="default" w:ascii="Times New Roman" w:hAnsi="Times New Roman" w:eastAsia="宋体" w:cs="Times New Roman"/>
                <w:bCs/>
                <w:color w:val="auto"/>
                <w:szCs w:val="24"/>
              </w:rPr>
              <w:t>两级活性炭吸附装置</w:t>
            </w:r>
            <w:r>
              <w:rPr>
                <w:rFonts w:hint="default" w:ascii="Times New Roman" w:hAnsi="Times New Roman" w:cs="Times New Roman"/>
                <w:bCs/>
                <w:color w:val="auto"/>
                <w:szCs w:val="24"/>
                <w:lang w:eastAsia="zh-CN"/>
              </w:rPr>
              <w:t>，</w:t>
            </w:r>
            <w:r>
              <w:rPr>
                <w:rFonts w:hint="default" w:ascii="Times New Roman" w:hAnsi="Times New Roman" w:cs="Times New Roman"/>
                <w:bCs/>
                <w:color w:val="auto"/>
                <w:szCs w:val="24"/>
                <w:lang w:val="en-US" w:eastAsia="zh-CN"/>
              </w:rPr>
              <w:t>运行至今未按照要求进行定期跟换有机废气处理装置的活性炭。</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
                <w:bCs w:val="0"/>
                <w:color w:val="auto"/>
                <w:szCs w:val="24"/>
              </w:rPr>
            </w:pPr>
            <w:r>
              <w:rPr>
                <w:rFonts w:hint="default" w:ascii="Times New Roman" w:hAnsi="Times New Roman" w:eastAsia="宋体" w:cs="Times New Roman"/>
                <w:b/>
                <w:bCs w:val="0"/>
                <w:color w:val="auto"/>
                <w:szCs w:val="24"/>
              </w:rPr>
              <w:t>整改措施：</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default" w:ascii="Times New Roman" w:hAnsi="Times New Roman" w:eastAsia="宋体" w:cs="Times New Roman"/>
                <w:bCs/>
                <w:color w:val="auto"/>
                <w:szCs w:val="24"/>
              </w:rPr>
            </w:pPr>
            <w:r>
              <w:rPr>
                <w:rFonts w:hint="default" w:ascii="Times New Roman" w:hAnsi="Times New Roman" w:cs="Times New Roman"/>
                <w:b/>
                <w:bCs w:val="0"/>
                <w:color w:val="auto"/>
                <w:szCs w:val="24"/>
                <w:lang w:val="en-US" w:eastAsia="zh-CN"/>
              </w:rPr>
              <w:t>①</w:t>
            </w:r>
            <w:r>
              <w:rPr>
                <w:rFonts w:hint="default" w:ascii="Times New Roman" w:hAnsi="Times New Roman" w:eastAsia="宋体" w:cs="Times New Roman"/>
                <w:bCs/>
                <w:color w:val="auto"/>
                <w:szCs w:val="24"/>
              </w:rPr>
              <w:t>本次二期工程</w:t>
            </w:r>
            <w:r>
              <w:rPr>
                <w:rFonts w:hint="default" w:ascii="Times New Roman" w:hAnsi="Times New Roman" w:eastAsia="宋体" w:cs="Times New Roman"/>
                <w:bCs/>
                <w:color w:val="auto"/>
                <w:szCs w:val="24"/>
                <w:lang w:val="en-US" w:eastAsia="zh-CN"/>
              </w:rPr>
              <w:t>对现有</w:t>
            </w:r>
            <w:r>
              <w:rPr>
                <w:rFonts w:hint="default" w:ascii="Times New Roman" w:hAnsi="Times New Roman" w:eastAsia="宋体" w:cs="Times New Roman"/>
                <w:bCs/>
                <w:color w:val="auto"/>
                <w:szCs w:val="24"/>
              </w:rPr>
              <w:t>1</w:t>
            </w:r>
            <w:r>
              <w:rPr>
                <w:rFonts w:hint="default" w:ascii="Times New Roman" w:hAnsi="Times New Roman" w:cs="Times New Roman"/>
                <w:bCs/>
                <w:color w:val="auto"/>
                <w:szCs w:val="24"/>
                <w:lang w:val="en-US" w:eastAsia="zh-CN"/>
              </w:rPr>
              <w:t>2</w:t>
            </w:r>
            <w:r>
              <w:rPr>
                <w:rFonts w:hint="default" w:ascii="Times New Roman" w:hAnsi="Times New Roman" w:cs="Times New Roman"/>
                <w:bCs/>
                <w:color w:val="auto"/>
                <w:szCs w:val="24"/>
                <w:lang w:eastAsia="zh-CN"/>
              </w:rPr>
              <w:t>m</w:t>
            </w:r>
            <w:r>
              <w:rPr>
                <w:rFonts w:hint="default" w:ascii="Times New Roman" w:hAnsi="Times New Roman" w:cs="Times New Roman"/>
                <w:bCs/>
                <w:color w:val="auto"/>
                <w:szCs w:val="24"/>
                <w:vertAlign w:val="superscript"/>
                <w:lang w:eastAsia="zh-CN"/>
              </w:rPr>
              <w:t>2</w:t>
            </w:r>
            <w:r>
              <w:rPr>
                <w:rFonts w:hint="default" w:ascii="Times New Roman" w:hAnsi="Times New Roman" w:eastAsia="宋体" w:cs="Times New Roman"/>
                <w:bCs/>
                <w:color w:val="auto"/>
                <w:szCs w:val="24"/>
              </w:rPr>
              <w:t>危废贮存点（位于</w:t>
            </w:r>
            <w:r>
              <w:rPr>
                <w:rFonts w:hint="default" w:ascii="Times New Roman" w:hAnsi="Times New Roman" w:eastAsia="宋体" w:cs="Times New Roman"/>
                <w:bCs/>
                <w:color w:val="auto"/>
                <w:szCs w:val="24"/>
                <w:lang w:val="en-US" w:eastAsia="zh-CN"/>
              </w:rPr>
              <w:t>1</w:t>
            </w:r>
            <w:r>
              <w:rPr>
                <w:rFonts w:hint="default" w:ascii="Times New Roman" w:hAnsi="Times New Roman" w:eastAsia="宋体" w:cs="Times New Roman"/>
                <w:bCs/>
                <w:color w:val="auto"/>
                <w:szCs w:val="24"/>
              </w:rPr>
              <w:t>#厂房东北角），按要求划分废活性炭区、废机油区、废催化剂区、废包装桶区等各危废存放区域，完善危废标识标志，规范危废台账管理，落实“四防”（防风、防雨、防晒、防渗漏）要求。</w:t>
            </w:r>
          </w:p>
          <w:p>
            <w:pPr>
              <w:pStyle w:val="32"/>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default" w:ascii="Times New Roman" w:hAnsi="Times New Roman" w:eastAsia="宋体" w:cs="Times New Roman"/>
                <w:bCs/>
                <w:color w:val="auto"/>
                <w:szCs w:val="24"/>
                <w:lang w:val="en-US" w:eastAsia="zh-CN"/>
              </w:rPr>
            </w:pPr>
            <w:r>
              <w:rPr>
                <w:rFonts w:hint="default" w:ascii="Times New Roman" w:hAnsi="Times New Roman" w:cs="Times New Roman"/>
                <w:bCs/>
                <w:color w:val="auto"/>
                <w:szCs w:val="24"/>
                <w:lang w:val="en-US" w:eastAsia="zh-CN"/>
              </w:rPr>
              <w:t>②现有工程应按要求定期更换有机废气处理装置中的活性炭，废活性炭应交由有资质单位进行处置。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Cs/>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Cs/>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Cs/>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Cs/>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Cs/>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default" w:ascii="Times New Roman" w:hAnsi="Times New Roman" w:eastAsia="宋体" w:cs="Times New Roman"/>
                <w:bCs/>
                <w:color w:val="auto"/>
                <w:kern w:val="0"/>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Cs/>
                <w:color w:val="auto"/>
                <w:kern w:val="0"/>
                <w:szCs w:val="21"/>
                <w:lang w:val="en-US" w:eastAsia="zh-CN"/>
              </w:rPr>
            </w:pPr>
          </w:p>
        </w:tc>
      </w:tr>
    </w:tbl>
    <w:p>
      <w:pPr>
        <w:rPr>
          <w:rFonts w:hint="default" w:ascii="Times New Roman" w:hAnsi="Times New Roman" w:cs="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pStyle w:val="32"/>
        <w:spacing w:before="0" w:beforeAutospacing="0" w:after="0" w:afterAutospacing="0"/>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三、区域环境质量现状、环境保护目标及评价标准</w:t>
      </w:r>
    </w:p>
    <w:tbl>
      <w:tblPr>
        <w:tblStyle w:val="3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832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0" w:hRule="atLeast"/>
          <w:jc w:val="center"/>
        </w:trPr>
        <w:tc>
          <w:tcPr>
            <w:tcW w:w="403" w:type="pct"/>
            <w:noWrap/>
            <w:vAlign w:val="center"/>
          </w:tcPr>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 w:val="24"/>
              </w:rPr>
            </w:pPr>
            <w:r>
              <w:rPr>
                <w:rFonts w:hint="default" w:ascii="Times New Roman" w:hAnsi="Times New Roman" w:cs="Times New Roman"/>
                <w:color w:val="auto"/>
                <w:spacing w:val="0"/>
                <w:kern w:val="21"/>
                <w:position w:val="0"/>
                <w:sz w:val="24"/>
              </w:rPr>
              <w:t>区域</w:t>
            </w:r>
          </w:p>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 w:val="24"/>
              </w:rPr>
            </w:pPr>
            <w:r>
              <w:rPr>
                <w:rFonts w:hint="default" w:ascii="Times New Roman" w:hAnsi="Times New Roman" w:cs="Times New Roman"/>
                <w:color w:val="auto"/>
                <w:spacing w:val="0"/>
                <w:kern w:val="21"/>
                <w:position w:val="0"/>
                <w:sz w:val="24"/>
              </w:rPr>
              <w:t>环境</w:t>
            </w:r>
          </w:p>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 w:val="24"/>
              </w:rPr>
            </w:pPr>
            <w:r>
              <w:rPr>
                <w:rFonts w:hint="default" w:ascii="Times New Roman" w:hAnsi="Times New Roman" w:cs="Times New Roman"/>
                <w:color w:val="auto"/>
                <w:spacing w:val="0"/>
                <w:kern w:val="21"/>
                <w:position w:val="0"/>
                <w:sz w:val="24"/>
              </w:rPr>
              <w:t>质量</w:t>
            </w:r>
          </w:p>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Cs w:val="21"/>
              </w:rPr>
            </w:pPr>
            <w:r>
              <w:rPr>
                <w:rFonts w:hint="default" w:ascii="Times New Roman" w:hAnsi="Times New Roman" w:cs="Times New Roman"/>
                <w:color w:val="auto"/>
                <w:spacing w:val="0"/>
                <w:kern w:val="21"/>
                <w:position w:val="0"/>
                <w:sz w:val="24"/>
              </w:rPr>
              <w:t>现状</w:t>
            </w:r>
          </w:p>
        </w:tc>
        <w:tc>
          <w:tcPr>
            <w:tcW w:w="4596" w:type="pct"/>
            <w:noWrap/>
            <w:vAlign w:val="center"/>
          </w:tcPr>
          <w:p>
            <w:pPr>
              <w:keepNext w:val="0"/>
              <w:keepLines w:val="0"/>
              <w:pageBreakBefore w:val="0"/>
              <w:widowControl w:val="0"/>
              <w:tabs>
                <w:tab w:val="left" w:pos="-108"/>
              </w:tabs>
              <w:kinsoku/>
              <w:wordWrap/>
              <w:overflowPunct/>
              <w:topLinePunct w:val="0"/>
              <w:bidi w:val="0"/>
              <w:adjustRightInd/>
              <w:snapToGrid w:val="0"/>
              <w:spacing w:line="360" w:lineRule="auto"/>
              <w:ind w:firstLine="482" w:firstLineChars="200"/>
              <w:textAlignment w:val="auto"/>
              <w:outlineLvl w:val="9"/>
              <w:rPr>
                <w:rFonts w:hint="default" w:ascii="Times New Roman" w:hAnsi="Times New Roman" w:eastAsia="宋体" w:cs="Times New Roman"/>
                <w:b/>
                <w:bCs/>
                <w:color w:val="auto"/>
                <w:spacing w:val="0"/>
                <w:kern w:val="21"/>
                <w:position w:val="0"/>
                <w:sz w:val="24"/>
                <w:szCs w:val="24"/>
              </w:rPr>
            </w:pPr>
            <w:r>
              <w:rPr>
                <w:rFonts w:hint="default" w:ascii="Times New Roman" w:hAnsi="Times New Roman" w:cs="Times New Roman"/>
                <w:b/>
                <w:bCs/>
                <w:color w:val="auto"/>
                <w:spacing w:val="0"/>
                <w:kern w:val="21"/>
                <w:position w:val="0"/>
                <w:sz w:val="24"/>
                <w:szCs w:val="24"/>
                <w:lang w:val="en-US" w:eastAsia="zh-CN"/>
              </w:rPr>
              <w:t>1</w:t>
            </w:r>
            <w:r>
              <w:rPr>
                <w:rFonts w:hint="default" w:ascii="Times New Roman" w:hAnsi="Times New Roman" w:eastAsia="宋体" w:cs="Times New Roman"/>
                <w:b/>
                <w:bCs/>
                <w:color w:val="auto"/>
                <w:spacing w:val="0"/>
                <w:kern w:val="21"/>
                <w:position w:val="0"/>
                <w:sz w:val="24"/>
                <w:szCs w:val="24"/>
              </w:rPr>
              <w:t>、大气环境质量现状</w:t>
            </w:r>
          </w:p>
          <w:p>
            <w:pPr>
              <w:keepNext w:val="0"/>
              <w:keepLines w:val="0"/>
              <w:pageBreakBefore w:val="0"/>
              <w:widowControl w:val="0"/>
              <w:kinsoku/>
              <w:wordWrap/>
              <w:overflowPunct/>
              <w:topLinePunct w:val="0"/>
              <w:bidi w:val="0"/>
              <w:adjustRightInd/>
              <w:snapToGrid w:val="0"/>
              <w:spacing w:line="360" w:lineRule="auto"/>
              <w:ind w:firstLine="482" w:firstLineChars="200"/>
              <w:jc w:val="both"/>
              <w:textAlignment w:val="auto"/>
              <w:rPr>
                <w:rFonts w:hint="default" w:ascii="Times New Roman" w:hAnsi="Times New Roman" w:eastAsia="宋体" w:cs="Times New Roman"/>
                <w:b/>
                <w:color w:val="auto"/>
                <w:spacing w:val="0"/>
                <w:kern w:val="21"/>
                <w:position w:val="0"/>
                <w:sz w:val="24"/>
                <w:lang w:val="en-US" w:eastAsia="zh-CN"/>
              </w:rPr>
            </w:pPr>
            <w:bookmarkStart w:id="2" w:name="_Hlk76400648"/>
            <w:r>
              <w:rPr>
                <w:rFonts w:hint="default" w:ascii="Times New Roman" w:hAnsi="Times New Roman" w:cs="Times New Roman"/>
                <w:b/>
                <w:color w:val="auto"/>
                <w:spacing w:val="0"/>
                <w:kern w:val="21"/>
                <w:position w:val="0"/>
                <w:sz w:val="24"/>
                <w:lang w:val="en-US" w:eastAsia="zh-CN"/>
              </w:rPr>
              <w:t>1.1、</w:t>
            </w:r>
            <w:r>
              <w:rPr>
                <w:rFonts w:hint="default" w:ascii="Times New Roman" w:hAnsi="Times New Roman" w:eastAsia="宋体" w:cs="Times New Roman"/>
                <w:b/>
                <w:color w:val="auto"/>
                <w:spacing w:val="0"/>
                <w:kern w:val="21"/>
                <w:position w:val="0"/>
                <w:sz w:val="24"/>
                <w:lang w:val="en-US" w:eastAsia="zh-CN"/>
              </w:rPr>
              <w:t>达标区判定</w:t>
            </w:r>
          </w:p>
          <w:p>
            <w:pPr>
              <w:keepNext w:val="0"/>
              <w:keepLines w:val="0"/>
              <w:pageBreakBefore w:val="0"/>
              <w:widowControl w:val="0"/>
              <w:shd w:val="clear"/>
              <w:kinsoku/>
              <w:wordWrap/>
              <w:overflowPunct/>
              <w:topLinePunct w:val="0"/>
              <w:autoSpaceDE/>
              <w:autoSpaceDN/>
              <w:bidi w:val="0"/>
              <w:adjustRightInd/>
              <w:snapToGrid w:val="0"/>
              <w:spacing w:line="360" w:lineRule="auto"/>
              <w:ind w:firstLine="482"/>
              <w:textAlignment w:val="auto"/>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本次环境空气质量现状采用距离本项目区最近的环境空气质量监测站公布的尉犁县202</w:t>
            </w:r>
            <w:r>
              <w:rPr>
                <w:rFonts w:hint="default" w:ascii="Times New Roman" w:hAnsi="Times New Roman" w:eastAsia="宋体" w:cs="Times New Roman"/>
                <w:color w:val="000000" w:themeColor="text1"/>
                <w:spacing w:val="0"/>
                <w:kern w:val="21"/>
                <w:positio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年SO</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、NO</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、CO、O</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、PM</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、PM</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等六项基本污染物环境空气质量现状数据，现状评价结果见表3-</w:t>
            </w:r>
            <w:r>
              <w:rPr>
                <w:rFonts w:hint="default" w:ascii="Times New Roman" w:hAnsi="Times New Roman" w:cs="Times New Roman"/>
                <w:color w:val="000000" w:themeColor="text1"/>
                <w:spacing w:val="0"/>
                <w:kern w:val="21"/>
                <w:position w:val="0"/>
                <w:sz w:val="24"/>
                <w:szCs w:val="24"/>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所示。</w:t>
            </w:r>
          </w:p>
          <w:p>
            <w:pPr>
              <w:keepNext w:val="0"/>
              <w:keepLines w:val="0"/>
              <w:pageBreakBefore w:val="0"/>
              <w:shd w:val="clear"/>
              <w:kinsoku/>
              <w:wordWrap/>
              <w:overflowPunct/>
              <w:topLinePunct w:val="0"/>
              <w:bidi w:val="0"/>
              <w:adjustRightInd/>
              <w:snapToGrid w:val="0"/>
              <w:spacing w:line="240" w:lineRule="auto"/>
              <w:ind w:firstLine="482"/>
              <w:rPr>
                <w:rFonts w:hint="default" w:ascii="Times New Roman" w:hAnsi="Times New Roman" w:eastAsia="宋体" w:cs="Times New Roman"/>
                <w:b/>
                <w:bCs/>
                <w:color w:val="000000" w:themeColor="text1"/>
                <w:spacing w:val="0"/>
                <w:kern w:val="21"/>
                <w:position w:val="0"/>
                <w:highlight w:val="none"/>
                <w14:textFill>
                  <w14:solidFill>
                    <w14:schemeClr w14:val="tx1"/>
                  </w14:solidFill>
                </w14:textFill>
              </w:rPr>
            </w:pPr>
            <w:r>
              <w:rPr>
                <w:rFonts w:hint="default" w:ascii="Times New Roman" w:hAnsi="Times New Roman" w:eastAsia="宋体" w:cs="Times New Roman"/>
                <w:b/>
                <w:bCs/>
                <w:color w:val="000000" w:themeColor="text1"/>
                <w:spacing w:val="0"/>
                <w:kern w:val="21"/>
                <w:position w:val="0"/>
                <w:highlight w:val="none"/>
                <w14:textFill>
                  <w14:solidFill>
                    <w14:schemeClr w14:val="tx1"/>
                  </w14:solidFill>
                </w14:textFill>
              </w:rPr>
              <w:t>表3-</w:t>
            </w:r>
            <w:r>
              <w:rPr>
                <w:rFonts w:hint="default" w:ascii="Times New Roman" w:hAnsi="Times New Roman" w:cs="Times New Roman"/>
                <w:b/>
                <w:bCs/>
                <w:color w:val="000000" w:themeColor="text1"/>
                <w:spacing w:val="0"/>
                <w:kern w:val="21"/>
                <w:position w:val="0"/>
                <w:highlight w:val="none"/>
                <w:lang w:val="en-US" w:eastAsia="zh-CN"/>
                <w14:textFill>
                  <w14:solidFill>
                    <w14:schemeClr w14:val="tx1"/>
                  </w14:solidFill>
                </w14:textFill>
              </w:rPr>
              <w:t>1</w:t>
            </w:r>
            <w:r>
              <w:rPr>
                <w:rFonts w:hint="default" w:ascii="Times New Roman" w:hAnsi="Times New Roman" w:eastAsia="宋体" w:cs="Times New Roman"/>
                <w:b/>
                <w:bCs/>
                <w:color w:val="000000" w:themeColor="text1"/>
                <w:spacing w:val="0"/>
                <w:kern w:val="21"/>
                <w:position w:val="0"/>
                <w:highlight w:val="none"/>
                <w14:textFill>
                  <w14:solidFill>
                    <w14:schemeClr w14:val="tx1"/>
                  </w14:solidFill>
                </w14:textFill>
              </w:rPr>
              <w:t xml:space="preserve">             尉犁县202</w:t>
            </w:r>
            <w:r>
              <w:rPr>
                <w:rFonts w:hint="default" w:ascii="Times New Roman" w:hAnsi="Times New Roman" w:cs="Times New Roman"/>
                <w:b/>
                <w:bCs/>
                <w:color w:val="000000" w:themeColor="text1"/>
                <w:spacing w:val="0"/>
                <w:kern w:val="21"/>
                <w:position w:val="0"/>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spacing w:val="0"/>
                <w:kern w:val="21"/>
                <w:position w:val="0"/>
                <w:highlight w:val="none"/>
                <w14:textFill>
                  <w14:solidFill>
                    <w14:schemeClr w14:val="tx1"/>
                  </w14:solidFill>
                </w14:textFill>
              </w:rPr>
              <w:t>年环境空气质量数据</w:t>
            </w:r>
          </w:p>
          <w:tbl>
            <w:tblPr>
              <w:tblStyle w:val="36"/>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2227"/>
              <w:gridCol w:w="1341"/>
              <w:gridCol w:w="1774"/>
              <w:gridCol w:w="776"/>
              <w:gridCol w:w="73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污染物</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评价项目</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浓度（μg/m</w:t>
                  </w:r>
                  <w:r>
                    <w:rPr>
                      <w:rFonts w:hint="default" w:ascii="Times New Roman" w:hAnsi="Times New Roman" w:eastAsia="宋体" w:cs="Times New Roman"/>
                      <w:color w:val="000000" w:themeColor="text1"/>
                      <w:spacing w:val="0"/>
                      <w:kern w:val="21"/>
                      <w:position w:val="0"/>
                      <w:sz w:val="18"/>
                      <w:szCs w:val="18"/>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标准（二级）（μg/m</w:t>
                  </w:r>
                  <w:r>
                    <w:rPr>
                      <w:rFonts w:hint="default" w:ascii="Times New Roman" w:hAnsi="Times New Roman" w:eastAsia="宋体" w:cs="Times New Roman"/>
                      <w:color w:val="000000" w:themeColor="text1"/>
                      <w:spacing w:val="0"/>
                      <w:kern w:val="21"/>
                      <w:position w:val="0"/>
                      <w:sz w:val="18"/>
                      <w:szCs w:val="18"/>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w:t>
                  </w:r>
                </w:p>
              </w:tc>
              <w:tc>
                <w:tcPr>
                  <w:tcW w:w="480"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占标率%</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restar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SO</w:t>
                  </w:r>
                  <w:r>
                    <w:rPr>
                      <w:rFonts w:hint="default" w:ascii="Times New Roman" w:hAnsi="Times New Roman" w:eastAsia="宋体" w:cs="Times New Roman"/>
                      <w:color w:val="000000" w:themeColor="text1"/>
                      <w:spacing w:val="0"/>
                      <w:kern w:val="21"/>
                      <w:position w:val="0"/>
                      <w:sz w:val="18"/>
                      <w:szCs w:val="18"/>
                      <w:highlight w:val="none"/>
                      <w:vertAlign w:val="subscript"/>
                      <w14:textFill>
                        <w14:solidFill>
                          <w14:schemeClr w14:val="tx1"/>
                        </w14:solidFill>
                      </w14:textFill>
                    </w:rPr>
                    <w:t>2</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年平均</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4</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60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6.7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continue"/>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24h平均第98百分位数</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6</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150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4.0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restar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NO</w:t>
                  </w:r>
                  <w:r>
                    <w:rPr>
                      <w:rFonts w:hint="default" w:ascii="Times New Roman" w:hAnsi="Times New Roman" w:eastAsia="宋体" w:cs="Times New Roman"/>
                      <w:color w:val="000000" w:themeColor="text1"/>
                      <w:spacing w:val="0"/>
                      <w:kern w:val="21"/>
                      <w:position w:val="0"/>
                      <w:sz w:val="18"/>
                      <w:szCs w:val="18"/>
                      <w:highlight w:val="none"/>
                      <w:vertAlign w:val="subscript"/>
                      <w14:textFill>
                        <w14:solidFill>
                          <w14:schemeClr w14:val="tx1"/>
                        </w14:solidFill>
                      </w14:textFill>
                    </w:rPr>
                    <w:t>2</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年平均</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17</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40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42.5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continue"/>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24h平均第98百分位数</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47</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80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58.8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CO（mg/m</w:t>
                  </w:r>
                  <w:r>
                    <w:rPr>
                      <w:rFonts w:hint="default" w:ascii="Times New Roman" w:hAnsi="Times New Roman" w:eastAsia="宋体" w:cs="Times New Roman"/>
                      <w:color w:val="000000" w:themeColor="text1"/>
                      <w:spacing w:val="0"/>
                      <w:kern w:val="21"/>
                      <w:position w:val="0"/>
                      <w:sz w:val="18"/>
                      <w:szCs w:val="18"/>
                      <w:highlight w:val="none"/>
                      <w:vertAlign w:val="superscript"/>
                      <w14:textFill>
                        <w14:solidFill>
                          <w14:schemeClr w14:val="tx1"/>
                        </w14:solidFill>
                      </w14:textFill>
                    </w:rPr>
                    <w:t>3</w:t>
                  </w: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24h平均第95百分位数</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1.2</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4</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30.0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O</w:t>
                  </w:r>
                  <w:r>
                    <w:rPr>
                      <w:rFonts w:hint="default" w:ascii="Times New Roman" w:hAnsi="Times New Roman" w:eastAsia="宋体" w:cs="Times New Roman"/>
                      <w:color w:val="000000" w:themeColor="text1"/>
                      <w:spacing w:val="0"/>
                      <w:kern w:val="21"/>
                      <w:position w:val="0"/>
                      <w:sz w:val="18"/>
                      <w:szCs w:val="18"/>
                      <w:highlight w:val="none"/>
                      <w:vertAlign w:val="subscript"/>
                      <w14:textFill>
                        <w14:solidFill>
                          <w14:schemeClr w14:val="tx1"/>
                        </w14:solidFill>
                      </w14:textFill>
                    </w:rPr>
                    <w:t>3</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最大8小时滑动平均值的第90百分位数</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122</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160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76.3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04" w:hRule="atLeast"/>
              </w:trPr>
              <w:tc>
                <w:tcPr>
                  <w:tcW w:w="763" w:type="pct"/>
                  <w:vMerge w:val="restar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PM</w:t>
                  </w:r>
                  <w:r>
                    <w:rPr>
                      <w:rFonts w:hint="default" w:ascii="Times New Roman" w:hAnsi="Times New Roman" w:eastAsia="宋体" w:cs="Times New Roman"/>
                      <w:color w:val="000000" w:themeColor="text1"/>
                      <w:spacing w:val="0"/>
                      <w:kern w:val="21"/>
                      <w:position w:val="0"/>
                      <w:sz w:val="18"/>
                      <w:szCs w:val="18"/>
                      <w:highlight w:val="none"/>
                      <w:vertAlign w:val="subscript"/>
                      <w14:textFill>
                        <w14:solidFill>
                          <w14:schemeClr w14:val="tx1"/>
                        </w14:solidFill>
                      </w14:textFill>
                    </w:rPr>
                    <w:t>10</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年平均</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193</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60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321.7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超标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continue"/>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24h平均第95百分位数</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561</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120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467.5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超标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restar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PM</w:t>
                  </w:r>
                  <w:r>
                    <w:rPr>
                      <w:rFonts w:hint="default" w:ascii="Times New Roman" w:hAnsi="Times New Roman" w:eastAsia="宋体" w:cs="Times New Roman"/>
                      <w:color w:val="000000" w:themeColor="text1"/>
                      <w:spacing w:val="0"/>
                      <w:kern w:val="21"/>
                      <w:position w:val="0"/>
                      <w:sz w:val="18"/>
                      <w:szCs w:val="18"/>
                      <w:highlight w:val="none"/>
                      <w:vertAlign w:val="subscript"/>
                      <w14:textFill>
                        <w14:solidFill>
                          <w14:schemeClr w14:val="tx1"/>
                        </w14:solidFill>
                      </w14:textFill>
                    </w:rPr>
                    <w:t>2.5</w:t>
                  </w: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年平均</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63</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30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210.0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超标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63" w:type="pct"/>
                  <w:vMerge w:val="continue"/>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p>
              </w:tc>
              <w:tc>
                <w:tcPr>
                  <w:tcW w:w="137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24h平均第95百分位数</w:t>
                  </w:r>
                </w:p>
              </w:tc>
              <w:tc>
                <w:tcPr>
                  <w:tcW w:w="829"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lang w:val="en-US" w:eastAsia="zh-CN"/>
                      <w14:textFill>
                        <w14:solidFill>
                          <w14:schemeClr w14:val="tx1"/>
                        </w14:solidFill>
                      </w14:textFill>
                    </w:rPr>
                    <w:t>185</w:t>
                  </w:r>
                </w:p>
              </w:tc>
              <w:tc>
                <w:tcPr>
                  <w:tcW w:w="1097"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60</w:t>
                  </w:r>
                </w:p>
              </w:tc>
              <w:tc>
                <w:tcPr>
                  <w:tcW w:w="480" w:type="pct"/>
                  <w:tcBorders>
                    <w:tl2br w:val="nil"/>
                    <w:tr2bl w:val="nil"/>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spacing w:val="0"/>
                      <w:kern w:val="21"/>
                      <w:position w:val="0"/>
                      <w:sz w:val="18"/>
                      <w:szCs w:val="18"/>
                      <w:highlight w:val="none"/>
                      <w:u w:val="none"/>
                      <w:lang w:val="en-US" w:eastAsia="zh-CN" w:bidi="ar"/>
                      <w14:textFill>
                        <w14:solidFill>
                          <w14:schemeClr w14:val="tx1"/>
                        </w14:solidFill>
                      </w14:textFill>
                    </w:rPr>
                    <w:t xml:space="preserve">308.3 </w:t>
                  </w:r>
                </w:p>
              </w:tc>
              <w:tc>
                <w:tcPr>
                  <w:tcW w:w="452" w:type="pct"/>
                  <w:tcBorders>
                    <w:tl2br w:val="nil"/>
                    <w:tr2bl w:val="nil"/>
                  </w:tcBorders>
                  <w:vAlign w:val="center"/>
                </w:tcPr>
                <w:p>
                  <w:pPr>
                    <w:keepNext w:val="0"/>
                    <w:keepLines w:val="0"/>
                    <w:pageBreakBefore w:val="0"/>
                    <w:shd w:val="clear"/>
                    <w:kinsoku/>
                    <w:wordWrap/>
                    <w:overflowPunct/>
                    <w:topLinePunct w:val="0"/>
                    <w:autoSpaceDE/>
                    <w:autoSpaceDN/>
                    <w:bidi w:val="0"/>
                    <w:adjustRightInd/>
                    <w:snapToGrid w:val="0"/>
                    <w:spacing w:line="240" w:lineRule="auto"/>
                    <w:ind w:firstLine="0" w:firstLineChars="0"/>
                    <w:jc w:val="cente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pPr>
                  <w:r>
                    <w:rPr>
                      <w:rFonts w:hint="default" w:ascii="Times New Roman" w:hAnsi="Times New Roman" w:eastAsia="宋体" w:cs="Times New Roman"/>
                      <w:color w:val="000000" w:themeColor="text1"/>
                      <w:spacing w:val="0"/>
                      <w:kern w:val="21"/>
                      <w:position w:val="0"/>
                      <w:sz w:val="18"/>
                      <w:szCs w:val="18"/>
                      <w:highlight w:val="none"/>
                      <w14:textFill>
                        <w14:solidFill>
                          <w14:schemeClr w14:val="tx1"/>
                        </w14:solidFill>
                      </w14:textFill>
                    </w:rPr>
                    <w:t>超标</w:t>
                  </w:r>
                </w:p>
              </w:tc>
            </w:tr>
          </w:tbl>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pacing w:val="0"/>
                <w:kern w:val="21"/>
                <w:position w:val="0"/>
                <w:sz w:val="24"/>
                <w:szCs w:val="24"/>
              </w:rPr>
            </w:pP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202</w:t>
            </w:r>
            <w:r>
              <w:rPr>
                <w:rFonts w:hint="default" w:ascii="Times New Roman" w:hAnsi="Times New Roman" w:eastAsia="宋体" w:cs="Times New Roman"/>
                <w:color w:val="000000" w:themeColor="text1"/>
                <w:spacing w:val="0"/>
                <w:kern w:val="21"/>
                <w:position w:val="0"/>
                <w:sz w:val="24"/>
                <w:szCs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年，尉犁县空气质量监测总天数为365天，因受沙尘天气影响，PM</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、PM</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的年平均、24h平均第95百分位数空气质量浓度均超过《环境空气质量标准》（GB3095-2026）表1中过渡阶段二级标准；SO</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、NO</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、CO、O</w:t>
            </w:r>
            <w:r>
              <w:rPr>
                <w:rFonts w:hint="default" w:ascii="Times New Roman" w:hAnsi="Times New Roman" w:eastAsia="宋体" w:cs="Times New Roman"/>
                <w:color w:val="000000" w:themeColor="text1"/>
                <w:spacing w:val="0"/>
                <w:kern w:val="21"/>
                <w:position w:val="0"/>
                <w:sz w:val="24"/>
                <w:szCs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pacing w:val="0"/>
                <w:kern w:val="21"/>
                <w:position w:val="0"/>
                <w:sz w:val="24"/>
                <w:szCs w:val="24"/>
                <w:highlight w:val="none"/>
                <w14:textFill>
                  <w14:solidFill>
                    <w14:schemeClr w14:val="tx1"/>
                  </w14:solidFill>
                </w14:textFill>
              </w:rPr>
              <w:t>等其他监测指标均满足过渡阶段二级标准准，因此判断本项目所在区域为不达标区域。</w:t>
            </w:r>
          </w:p>
          <w:bookmarkEnd w:id="2"/>
          <w:p>
            <w:pPr>
              <w:keepNext w:val="0"/>
              <w:keepLines w:val="0"/>
              <w:pageBreakBefore w:val="0"/>
              <w:widowControl w:val="0"/>
              <w:kinsoku/>
              <w:wordWrap/>
              <w:overflowPunct/>
              <w:topLinePunct w:val="0"/>
              <w:bidi w:val="0"/>
              <w:adjustRightInd/>
              <w:snapToGrid w:val="0"/>
              <w:spacing w:line="360" w:lineRule="auto"/>
              <w:ind w:firstLine="482" w:firstLineChars="200"/>
              <w:jc w:val="both"/>
              <w:textAlignment w:val="auto"/>
              <w:rPr>
                <w:rFonts w:hint="default" w:ascii="Times New Roman" w:hAnsi="Times New Roman" w:cs="Times New Roman"/>
                <w:b/>
                <w:color w:val="auto"/>
                <w:spacing w:val="0"/>
                <w:kern w:val="21"/>
                <w:position w:val="0"/>
                <w:sz w:val="24"/>
              </w:rPr>
            </w:pPr>
            <w:r>
              <w:rPr>
                <w:rFonts w:hint="default" w:ascii="Times New Roman" w:hAnsi="Times New Roman" w:cs="Times New Roman"/>
                <w:b/>
                <w:color w:val="auto"/>
                <w:spacing w:val="0"/>
                <w:kern w:val="21"/>
                <w:position w:val="0"/>
                <w:sz w:val="24"/>
                <w:lang w:val="en-US" w:eastAsia="zh-CN"/>
              </w:rPr>
              <w:t>1.2、</w:t>
            </w:r>
            <w:r>
              <w:rPr>
                <w:rFonts w:hint="default" w:ascii="Times New Roman" w:hAnsi="Times New Roman" w:cs="Times New Roman"/>
                <w:b/>
                <w:color w:val="auto"/>
                <w:spacing w:val="0"/>
                <w:kern w:val="21"/>
                <w:position w:val="0"/>
                <w:sz w:val="24"/>
                <w:highlight w:val="none"/>
                <w:lang w:val="en-US" w:eastAsia="zh-CN"/>
              </w:rPr>
              <w:t>特征污染物</w:t>
            </w:r>
            <w:r>
              <w:rPr>
                <w:rFonts w:hint="default" w:ascii="Times New Roman" w:hAnsi="Times New Roman" w:cs="Times New Roman"/>
                <w:b/>
                <w:color w:val="auto"/>
                <w:spacing w:val="0"/>
                <w:kern w:val="21"/>
                <w:position w:val="0"/>
                <w:sz w:val="24"/>
                <w:lang w:val="en-US" w:eastAsia="zh-CN"/>
              </w:rPr>
              <w:t>环境质量现状</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根据《建设项目环境影响报告表编制技术指南（污染影响类）（试行）》要求，TSP环境质量现状评价监测数据引用新疆中测测试有限责任公司于2024年1月11日～1月18日对《巴州尉晟塑业有限公司滴灌配套及工业胶带生产线建设项目环境影响报告报告书》的监测数据。</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（1）监测地点、监测因子</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监测点位坐标经度：86.242199，纬度：41.361361，位于本项目西侧3.9km。监测点位详见附图4。</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其他污染因子：总悬浮颗粒物（TSP）</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（2）采样及分析方法</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采样方法和分析方法《环境空气总悬浮颗粒物的测定重量法》（GB/T15432-2022）。</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（3）监测时间及频率</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监测频率：TSP连续监测7天。</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de-DE" w:eastAsia="zh-CN" w:bidi="ar"/>
              </w:rPr>
              <w:t>监测时间：</w:t>
            </w:r>
            <w:r>
              <w:rPr>
                <w:rFonts w:hint="default" w:ascii="Times New Roman" w:hAnsi="Times New Roman" w:eastAsia="宋体" w:cs="Times New Roman"/>
                <w:b w:val="0"/>
                <w:bCs w:val="0"/>
                <w:color w:val="auto"/>
                <w:spacing w:val="0"/>
                <w:kern w:val="21"/>
                <w:position w:val="0"/>
                <w:sz w:val="24"/>
                <w:szCs w:val="24"/>
                <w:lang w:val="en-US" w:eastAsia="zh-CN" w:bidi="ar"/>
              </w:rPr>
              <w:t>2024年1月11日～1月18日</w:t>
            </w:r>
            <w:r>
              <w:rPr>
                <w:rFonts w:hint="default" w:ascii="Times New Roman" w:hAnsi="Times New Roman" w:eastAsia="宋体" w:cs="Times New Roman"/>
                <w:b w:val="0"/>
                <w:bCs w:val="0"/>
                <w:color w:val="auto"/>
                <w:spacing w:val="0"/>
                <w:kern w:val="21"/>
                <w:position w:val="0"/>
                <w:sz w:val="24"/>
                <w:szCs w:val="24"/>
                <w:lang w:val="de-DE" w:eastAsia="zh-CN" w:bidi="ar"/>
              </w:rPr>
              <w:t>。</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bookmarkStart w:id="3" w:name="_Toc28617"/>
            <w:r>
              <w:rPr>
                <w:rFonts w:hint="default" w:ascii="Times New Roman" w:hAnsi="Times New Roman" w:eastAsia="宋体" w:cs="Times New Roman"/>
                <w:b w:val="0"/>
                <w:bCs w:val="0"/>
                <w:color w:val="auto"/>
                <w:spacing w:val="0"/>
                <w:kern w:val="21"/>
                <w:position w:val="0"/>
                <w:sz w:val="24"/>
                <w:szCs w:val="24"/>
                <w:lang w:val="en-US" w:eastAsia="zh-CN" w:bidi="ar"/>
              </w:rPr>
              <w:t>（4）评价标准</w:t>
            </w:r>
            <w:bookmarkEnd w:id="3"/>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TSP执行《环境空气质量标准》（GB3095-2026）二级标准限值。</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（5）评价结果及结论</w:t>
            </w:r>
          </w:p>
          <w:p>
            <w:pPr>
              <w:pStyle w:val="47"/>
              <w:keepNext w:val="0"/>
              <w:keepLines w:val="0"/>
              <w:pageBreakBefore w:val="0"/>
              <w:kinsoku/>
              <w:wordWrap/>
              <w:overflowPunct/>
              <w:topLinePunct w:val="0"/>
              <w:bidi w:val="0"/>
              <w:adjustRightInd/>
              <w:snapToGrid w:val="0"/>
              <w:spacing w:after="0" w:line="240" w:lineRule="auto"/>
              <w:ind w:firstLine="422" w:firstLineChars="200"/>
              <w:jc w:val="both"/>
              <w:rPr>
                <w:rFonts w:hint="default" w:ascii="Times New Roman" w:hAnsi="Times New Roman" w:eastAsia="宋体" w:cs="Times New Roman"/>
                <w:b/>
                <w:bCs/>
                <w:color w:val="000000"/>
                <w:spacing w:val="0"/>
                <w:kern w:val="21"/>
                <w:position w:val="0"/>
                <w:sz w:val="21"/>
              </w:rPr>
            </w:pPr>
            <w:r>
              <w:rPr>
                <w:rFonts w:hint="default" w:ascii="Times New Roman" w:hAnsi="Times New Roman" w:eastAsia="宋体" w:cs="Times New Roman"/>
                <w:b/>
                <w:bCs/>
                <w:color w:val="000000"/>
                <w:spacing w:val="0"/>
                <w:kern w:val="21"/>
                <w:position w:val="0"/>
                <w:sz w:val="21"/>
              </w:rPr>
              <w:t>表</w:t>
            </w:r>
            <w:r>
              <w:rPr>
                <w:rFonts w:hint="default" w:ascii="Times New Roman" w:hAnsi="Times New Roman" w:eastAsia="宋体" w:cs="Times New Roman"/>
                <w:b/>
                <w:bCs/>
                <w:color w:val="000000"/>
                <w:spacing w:val="0"/>
                <w:kern w:val="21"/>
                <w:position w:val="0"/>
                <w:sz w:val="21"/>
                <w:lang w:val="en-US" w:eastAsia="zh-CN"/>
              </w:rPr>
              <w:t>3-2</w:t>
            </w:r>
            <w:r>
              <w:rPr>
                <w:rFonts w:hint="default" w:ascii="Times New Roman" w:hAnsi="Times New Roman" w:eastAsia="宋体" w:cs="Times New Roman"/>
                <w:b/>
                <w:bCs/>
                <w:color w:val="000000"/>
                <w:spacing w:val="0"/>
                <w:kern w:val="21"/>
                <w:position w:val="0"/>
                <w:sz w:val="21"/>
              </w:rPr>
              <w:t xml:space="preserve">                项目区环境空气质量评价结果统计表</w:t>
            </w:r>
          </w:p>
          <w:tbl>
            <w:tblPr>
              <w:tblStyle w:val="36"/>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981"/>
              <w:gridCol w:w="604"/>
              <w:gridCol w:w="583"/>
              <w:gridCol w:w="1321"/>
              <w:gridCol w:w="1493"/>
              <w:gridCol w:w="931"/>
              <w:gridCol w:w="605"/>
              <w:gridCol w:w="5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209" w:type="pct"/>
                  <w:gridSpan w:val="2"/>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监测点坐标/m</w:t>
                  </w:r>
                </w:p>
              </w:tc>
              <w:tc>
                <w:tcPr>
                  <w:tcW w:w="374"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污染物</w:t>
                  </w:r>
                </w:p>
              </w:tc>
              <w:tc>
                <w:tcPr>
                  <w:tcW w:w="361"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平均时间</w:t>
                  </w:r>
                </w:p>
              </w:tc>
              <w:tc>
                <w:tcPr>
                  <w:tcW w:w="817"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评价标准/（</w:t>
                  </w:r>
                  <w:r>
                    <w:rPr>
                      <w:rFonts w:hint="default" w:ascii="Times New Roman" w:hAnsi="Times New Roman" w:cs="Times New Roman"/>
                      <w:b w:val="0"/>
                      <w:bCs w:val="0"/>
                      <w:snapToGrid w:val="0"/>
                      <w:color w:val="000000"/>
                      <w:spacing w:val="0"/>
                      <w:kern w:val="21"/>
                      <w:position w:val="0"/>
                      <w:sz w:val="18"/>
                      <w:szCs w:val="18"/>
                      <w:highlight w:val="none"/>
                      <w:vertAlign w:val="baseline"/>
                      <w:lang w:val="en-US" w:eastAsia="zh-CN"/>
                    </w:rPr>
                    <w:t>m</w:t>
                  </w: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g/m</w:t>
                  </w:r>
                  <w:r>
                    <w:rPr>
                      <w:rFonts w:hint="default" w:ascii="Times New Roman" w:hAnsi="Times New Roman" w:eastAsia="宋体" w:cs="Times New Roman"/>
                      <w:b w:val="0"/>
                      <w:bCs w:val="0"/>
                      <w:snapToGrid w:val="0"/>
                      <w:color w:val="000000"/>
                      <w:spacing w:val="0"/>
                      <w:kern w:val="21"/>
                      <w:position w:val="0"/>
                      <w:sz w:val="18"/>
                      <w:szCs w:val="18"/>
                      <w:highlight w:val="none"/>
                      <w:vertAlign w:val="superscript"/>
                      <w:lang w:val="en-US" w:eastAsia="zh-CN"/>
                    </w:rPr>
                    <w:t>3</w:t>
                  </w: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w:t>
                  </w:r>
                </w:p>
              </w:tc>
              <w:tc>
                <w:tcPr>
                  <w:tcW w:w="923"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监测浓度范围/（</w:t>
                  </w:r>
                  <w:r>
                    <w:rPr>
                      <w:rFonts w:hint="default" w:ascii="Times New Roman" w:hAnsi="Times New Roman" w:cs="Times New Roman"/>
                      <w:b w:val="0"/>
                      <w:bCs w:val="0"/>
                      <w:snapToGrid w:val="0"/>
                      <w:color w:val="000000"/>
                      <w:spacing w:val="0"/>
                      <w:kern w:val="21"/>
                      <w:position w:val="0"/>
                      <w:sz w:val="18"/>
                      <w:szCs w:val="18"/>
                      <w:highlight w:val="none"/>
                      <w:vertAlign w:val="baseline"/>
                      <w:lang w:val="en-US" w:eastAsia="zh-CN"/>
                    </w:rPr>
                    <w:t>m</w:t>
                  </w: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g/m</w:t>
                  </w:r>
                  <w:r>
                    <w:rPr>
                      <w:rFonts w:hint="default" w:ascii="Times New Roman" w:hAnsi="Times New Roman" w:eastAsia="宋体" w:cs="Times New Roman"/>
                      <w:b w:val="0"/>
                      <w:bCs w:val="0"/>
                      <w:snapToGrid w:val="0"/>
                      <w:color w:val="000000"/>
                      <w:spacing w:val="0"/>
                      <w:kern w:val="21"/>
                      <w:position w:val="0"/>
                      <w:sz w:val="18"/>
                      <w:szCs w:val="18"/>
                      <w:highlight w:val="none"/>
                      <w:vertAlign w:val="superscript"/>
                      <w:lang w:val="en-US" w:eastAsia="zh-CN"/>
                    </w:rPr>
                    <w:t>3</w:t>
                  </w: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w:t>
                  </w:r>
                </w:p>
              </w:tc>
              <w:tc>
                <w:tcPr>
                  <w:tcW w:w="576"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最大浓度占标率/%</w:t>
                  </w:r>
                </w:p>
              </w:tc>
              <w:tc>
                <w:tcPr>
                  <w:tcW w:w="374"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超标率/%</w:t>
                  </w:r>
                </w:p>
              </w:tc>
              <w:tc>
                <w:tcPr>
                  <w:tcW w:w="361" w:type="pct"/>
                  <w:vMerge w:val="restar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60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X</w:t>
                  </w:r>
                </w:p>
              </w:tc>
              <w:tc>
                <w:tcPr>
                  <w:tcW w:w="60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Y</w:t>
                  </w:r>
                </w:p>
              </w:tc>
              <w:tc>
                <w:tcPr>
                  <w:tcW w:w="37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c>
                <w:tcPr>
                  <w:tcW w:w="361"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c>
                <w:tcPr>
                  <w:tcW w:w="817"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c>
                <w:tcPr>
                  <w:tcW w:w="923"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c>
                <w:tcPr>
                  <w:tcW w:w="576"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c>
                <w:tcPr>
                  <w:tcW w:w="374"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c>
                <w:tcPr>
                  <w:tcW w:w="361" w:type="pct"/>
                  <w:vMerge w:val="continue"/>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0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color w:val="auto"/>
                      <w:spacing w:val="0"/>
                      <w:kern w:val="21"/>
                      <w:position w:val="0"/>
                      <w:sz w:val="18"/>
                      <w:szCs w:val="18"/>
                      <w:lang w:val="en-US" w:eastAsia="zh-CN" w:bidi="ar"/>
                    </w:rPr>
                    <w:t>86.242199</w:t>
                  </w:r>
                </w:p>
              </w:tc>
              <w:tc>
                <w:tcPr>
                  <w:tcW w:w="60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color w:val="auto"/>
                      <w:spacing w:val="0"/>
                      <w:kern w:val="21"/>
                      <w:position w:val="0"/>
                      <w:sz w:val="18"/>
                      <w:szCs w:val="18"/>
                      <w:lang w:val="en-US" w:eastAsia="zh-CN" w:bidi="ar"/>
                    </w:rPr>
                    <w:t>41.361361</w:t>
                  </w:r>
                </w:p>
              </w:tc>
              <w:tc>
                <w:tcPr>
                  <w:tcW w:w="37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TSP</w:t>
                  </w:r>
                </w:p>
              </w:tc>
              <w:tc>
                <w:tcPr>
                  <w:tcW w:w="361"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rightChars="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日均值</w:t>
                  </w:r>
                </w:p>
              </w:tc>
              <w:tc>
                <w:tcPr>
                  <w:tcW w:w="817"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cs="Times New Roman"/>
                      <w:b w:val="0"/>
                      <w:bCs w:val="0"/>
                      <w:snapToGrid w:val="0"/>
                      <w:color w:val="000000"/>
                      <w:spacing w:val="0"/>
                      <w:kern w:val="21"/>
                      <w:position w:val="0"/>
                      <w:sz w:val="18"/>
                      <w:szCs w:val="18"/>
                      <w:highlight w:val="none"/>
                      <w:vertAlign w:val="baseline"/>
                      <w:lang w:val="en-US" w:eastAsia="zh-CN"/>
                    </w:rPr>
                    <w:t>0.3</w:t>
                  </w:r>
                </w:p>
              </w:tc>
              <w:tc>
                <w:tcPr>
                  <w:tcW w:w="923"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cs="Times New Roman"/>
                      <w:b w:val="0"/>
                      <w:bCs w:val="0"/>
                      <w:snapToGrid w:val="0"/>
                      <w:color w:val="000000"/>
                      <w:spacing w:val="0"/>
                      <w:kern w:val="21"/>
                      <w:position w:val="0"/>
                      <w:sz w:val="18"/>
                      <w:szCs w:val="18"/>
                      <w:highlight w:val="none"/>
                      <w:vertAlign w:val="baseline"/>
                      <w:lang w:val="en-US" w:eastAsia="zh-CN"/>
                    </w:rPr>
                    <w:t>0.200~0.215</w:t>
                  </w:r>
                </w:p>
              </w:tc>
              <w:tc>
                <w:tcPr>
                  <w:tcW w:w="576"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cs="Times New Roman"/>
                      <w:b w:val="0"/>
                      <w:bCs w:val="0"/>
                      <w:snapToGrid w:val="0"/>
                      <w:color w:val="000000"/>
                      <w:spacing w:val="0"/>
                      <w:kern w:val="21"/>
                      <w:position w:val="0"/>
                      <w:sz w:val="18"/>
                      <w:szCs w:val="18"/>
                      <w:highlight w:val="none"/>
                      <w:vertAlign w:val="baseline"/>
                      <w:lang w:val="en-US" w:eastAsia="zh-CN"/>
                    </w:rPr>
                    <w:t>71.7</w:t>
                  </w:r>
                </w:p>
              </w:tc>
              <w:tc>
                <w:tcPr>
                  <w:tcW w:w="374"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0</w:t>
                  </w:r>
                </w:p>
              </w:tc>
              <w:tc>
                <w:tcPr>
                  <w:tcW w:w="361" w:type="pct"/>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val="0"/>
                    <w:spacing w:line="240" w:lineRule="auto"/>
                    <w:ind w:right="0" w:firstLine="0" w:firstLineChars="0"/>
                    <w:jc w:val="center"/>
                    <w:textAlignment w:val="baseline"/>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pPr>
                  <w:r>
                    <w:rPr>
                      <w:rFonts w:hint="default" w:ascii="Times New Roman" w:hAnsi="Times New Roman" w:eastAsia="宋体" w:cs="Times New Roman"/>
                      <w:b w:val="0"/>
                      <w:bCs w:val="0"/>
                      <w:snapToGrid w:val="0"/>
                      <w:color w:val="000000"/>
                      <w:spacing w:val="0"/>
                      <w:kern w:val="21"/>
                      <w:position w:val="0"/>
                      <w:sz w:val="18"/>
                      <w:szCs w:val="18"/>
                      <w:highlight w:val="none"/>
                      <w:vertAlign w:val="baseline"/>
                      <w:lang w:val="en-US" w:eastAsia="zh-CN"/>
                    </w:rPr>
                    <w:t>达标</w:t>
                  </w:r>
                </w:p>
              </w:tc>
            </w:tr>
          </w:tbl>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lang w:val="en-US" w:eastAsia="zh-CN" w:bidi="ar"/>
              </w:rPr>
            </w:pPr>
            <w:r>
              <w:rPr>
                <w:rFonts w:hint="default" w:ascii="Times New Roman" w:hAnsi="Times New Roman" w:eastAsia="宋体" w:cs="Times New Roman"/>
                <w:b w:val="0"/>
                <w:bCs w:val="0"/>
                <w:color w:val="auto"/>
                <w:spacing w:val="0"/>
                <w:kern w:val="21"/>
                <w:position w:val="0"/>
                <w:sz w:val="24"/>
                <w:szCs w:val="24"/>
                <w:lang w:val="en-US" w:eastAsia="zh-CN" w:bidi="ar"/>
              </w:rPr>
              <w:t>从上表分析结果可知，本项目所在区域颗粒物可满足《环境空气质量标准》（GB3095-2026）二级标准限值。</w:t>
            </w:r>
          </w:p>
          <w:p>
            <w:pPr>
              <w:keepNext w:val="0"/>
              <w:keepLines w:val="0"/>
              <w:pageBreakBefore w:val="0"/>
              <w:widowControl w:val="0"/>
              <w:tabs>
                <w:tab w:val="left" w:pos="-108"/>
              </w:tabs>
              <w:kinsoku/>
              <w:wordWrap/>
              <w:overflowPunct/>
              <w:topLinePunct w:val="0"/>
              <w:bidi w:val="0"/>
              <w:adjustRightInd/>
              <w:snapToGrid w:val="0"/>
              <w:spacing w:line="360" w:lineRule="auto"/>
              <w:ind w:firstLine="482" w:firstLineChars="200"/>
              <w:textAlignment w:val="auto"/>
              <w:outlineLvl w:val="9"/>
              <w:rPr>
                <w:rFonts w:hint="default" w:ascii="Times New Roman" w:hAnsi="Times New Roman" w:eastAsia="宋体" w:cs="Times New Roman"/>
                <w:b/>
                <w:bCs/>
                <w:color w:val="auto"/>
                <w:spacing w:val="0"/>
                <w:kern w:val="21"/>
                <w:position w:val="0"/>
                <w:sz w:val="24"/>
                <w:szCs w:val="24"/>
                <w:lang w:val="en-US" w:eastAsia="zh-CN"/>
              </w:rPr>
            </w:pPr>
            <w:r>
              <w:rPr>
                <w:rFonts w:hint="default" w:ascii="Times New Roman" w:hAnsi="Times New Roman" w:cs="Times New Roman"/>
                <w:b/>
                <w:bCs/>
                <w:color w:val="auto"/>
                <w:spacing w:val="0"/>
                <w:kern w:val="21"/>
                <w:position w:val="0"/>
                <w:sz w:val="24"/>
                <w:szCs w:val="24"/>
                <w:lang w:val="en-US" w:eastAsia="zh-CN"/>
              </w:rPr>
              <w:t>2</w:t>
            </w:r>
            <w:r>
              <w:rPr>
                <w:rFonts w:hint="default" w:ascii="Times New Roman" w:hAnsi="Times New Roman" w:eastAsia="宋体" w:cs="Times New Roman"/>
                <w:b/>
                <w:bCs/>
                <w:color w:val="auto"/>
                <w:spacing w:val="0"/>
                <w:kern w:val="21"/>
                <w:position w:val="0"/>
                <w:sz w:val="24"/>
                <w:szCs w:val="24"/>
                <w:lang w:val="en-US" w:eastAsia="zh-CN"/>
              </w:rPr>
              <w:t>、地表水环境质量现状</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highlight w:val="none"/>
                <w:lang w:val="en-US" w:eastAsia="zh-CN" w:bidi="ar"/>
              </w:rPr>
            </w:pPr>
            <w:r>
              <w:rPr>
                <w:rFonts w:hint="default" w:ascii="Times New Roman" w:hAnsi="Times New Roman" w:eastAsia="宋体" w:cs="Times New Roman"/>
                <w:b w:val="0"/>
                <w:bCs w:val="0"/>
                <w:color w:val="auto"/>
                <w:spacing w:val="0"/>
                <w:kern w:val="21"/>
                <w:position w:val="0"/>
                <w:sz w:val="24"/>
                <w:szCs w:val="24"/>
                <w:highlight w:val="none"/>
                <w:lang w:val="en-US" w:eastAsia="zh-CN" w:bidi="ar"/>
              </w:rPr>
              <w:t>根据《2025年巴音郭楞蒙古自治州生态环境状况公报》可知：2025年，全州地表水监测的31个考核断面（点位）中，Ⅰ~Ⅲ类优良水质断面占比96.8%。6条主要河流19个监测断面Ⅰ~Ⅲ类优良水质占100%；3个重要湖泊（水库）12个监测点位Ⅰ~Ⅲ类优良水质占91.7%，无劣Ⅴ类水体。</w:t>
            </w:r>
          </w:p>
          <w:p>
            <w:pPr>
              <w:pStyle w:val="6"/>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360" w:lineRule="auto"/>
              <w:ind w:left="0" w:right="0" w:firstLine="480" w:firstLineChars="200"/>
              <w:jc w:val="both"/>
              <w:textAlignment w:val="auto"/>
              <w:outlineLvl w:val="2"/>
              <w:rPr>
                <w:rFonts w:hint="default" w:ascii="Times New Roman" w:hAnsi="Times New Roman" w:eastAsia="宋体" w:cs="Times New Roman"/>
                <w:b w:val="0"/>
                <w:bCs w:val="0"/>
                <w:color w:val="auto"/>
                <w:spacing w:val="0"/>
                <w:kern w:val="21"/>
                <w:position w:val="0"/>
                <w:sz w:val="24"/>
                <w:szCs w:val="24"/>
                <w:highlight w:val="none"/>
                <w:lang w:val="en-US" w:eastAsia="zh-CN" w:bidi="ar"/>
              </w:rPr>
            </w:pPr>
            <w:r>
              <w:rPr>
                <w:rFonts w:hint="default" w:ascii="Times New Roman" w:hAnsi="Times New Roman" w:eastAsia="宋体" w:cs="Times New Roman"/>
                <w:b w:val="0"/>
                <w:bCs w:val="0"/>
                <w:color w:val="auto"/>
                <w:spacing w:val="0"/>
                <w:kern w:val="21"/>
                <w:position w:val="0"/>
                <w:sz w:val="24"/>
                <w:szCs w:val="24"/>
                <w:highlight w:val="none"/>
                <w:lang w:val="en-US" w:eastAsia="zh-CN" w:bidi="ar"/>
              </w:rPr>
              <w:t>项目区最近地表水体为库塔干渠位于项目区东侧6.9km处，属于孔雀河支流。根据《巴音郭楞蒙古自治州环境功能区划》库塔干渠为Ⅲ类水体，其水质可满足可达到《地表水环境质量标准》（GB3838-2002）中Ⅲ类标准限值要求。四、地下水、土壤环境质量现状</w:t>
            </w:r>
          </w:p>
          <w:p>
            <w:pPr>
              <w:keepNext w:val="0"/>
              <w:keepLines w:val="0"/>
              <w:pageBreakBefore w:val="0"/>
              <w:widowControl w:val="0"/>
              <w:tabs>
                <w:tab w:val="left" w:pos="-108"/>
              </w:tabs>
              <w:kinsoku/>
              <w:wordWrap/>
              <w:overflowPunct/>
              <w:topLinePunct w:val="0"/>
              <w:bidi w:val="0"/>
              <w:adjustRightInd/>
              <w:snapToGrid w:val="0"/>
              <w:spacing w:line="360" w:lineRule="auto"/>
              <w:ind w:firstLine="482" w:firstLineChars="200"/>
              <w:textAlignment w:val="auto"/>
              <w:outlineLvl w:val="9"/>
              <w:rPr>
                <w:rFonts w:hint="default" w:ascii="Times New Roman" w:hAnsi="Times New Roman" w:eastAsia="宋体" w:cs="Times New Roman"/>
                <w:b/>
                <w:bCs/>
                <w:color w:val="auto"/>
                <w:spacing w:val="0"/>
                <w:kern w:val="21"/>
                <w:position w:val="0"/>
                <w:sz w:val="24"/>
                <w:szCs w:val="24"/>
                <w:lang w:val="en-US" w:eastAsia="zh-CN"/>
              </w:rPr>
            </w:pPr>
            <w:r>
              <w:rPr>
                <w:rFonts w:hint="default" w:ascii="Times New Roman" w:hAnsi="Times New Roman" w:eastAsia="宋体" w:cs="Times New Roman"/>
                <w:b/>
                <w:bCs/>
                <w:color w:val="auto"/>
                <w:spacing w:val="0"/>
                <w:kern w:val="21"/>
                <w:position w:val="0"/>
                <w:sz w:val="24"/>
                <w:szCs w:val="24"/>
                <w:lang w:val="en-US" w:eastAsia="zh-CN"/>
              </w:rPr>
              <w:t>3、声环境质量现状</w:t>
            </w:r>
          </w:p>
          <w:p>
            <w:pPr>
              <w:pStyle w:val="49"/>
              <w:keepNext w:val="0"/>
              <w:keepLines w:val="0"/>
              <w:pageBreakBefore w:val="0"/>
              <w:widowControl w:val="0"/>
              <w:kinsoku/>
              <w:wordWrap/>
              <w:overflowPunct/>
              <w:topLinePunct w:val="0"/>
              <w:bidi w:val="0"/>
              <w:adjustRightInd/>
              <w:snapToGrid w:val="0"/>
              <w:spacing w:line="356" w:lineRule="auto"/>
              <w:ind w:firstLine="480" w:firstLineChars="200"/>
              <w:jc w:val="left"/>
              <w:textAlignment w:val="auto"/>
              <w:rPr>
                <w:rFonts w:hint="default" w:ascii="Times New Roman" w:hAnsi="Times New Roman" w:eastAsia="宋体" w:cs="Times New Roman"/>
                <w:b w:val="0"/>
                <w:bCs/>
                <w:color w:val="auto"/>
                <w:spacing w:val="0"/>
                <w:kern w:val="21"/>
                <w:position w:val="0"/>
                <w:highlight w:val="none"/>
                <w:lang w:val="en-US" w:eastAsia="zh-CN"/>
              </w:rPr>
            </w:pPr>
            <w:r>
              <w:rPr>
                <w:rFonts w:hint="default" w:ascii="Times New Roman" w:hAnsi="Times New Roman" w:eastAsia="宋体" w:cs="Times New Roman"/>
                <w:b w:val="0"/>
                <w:bCs/>
                <w:color w:val="auto"/>
                <w:spacing w:val="0"/>
                <w:kern w:val="21"/>
                <w:position w:val="0"/>
                <w:highlight w:val="none"/>
                <w:lang w:val="en-US" w:eastAsia="zh-CN"/>
              </w:rPr>
              <w:t>本项目运行区域及周边环境50m范围内无声环境敏感保护目标，故不进行声环境质量现状监测。</w:t>
            </w:r>
          </w:p>
          <w:p>
            <w:pPr>
              <w:keepNext w:val="0"/>
              <w:keepLines w:val="0"/>
              <w:pageBreakBefore w:val="0"/>
              <w:widowControl w:val="0"/>
              <w:tabs>
                <w:tab w:val="left" w:pos="-108"/>
              </w:tabs>
              <w:kinsoku/>
              <w:wordWrap/>
              <w:overflowPunct/>
              <w:topLinePunct w:val="0"/>
              <w:bidi w:val="0"/>
              <w:adjustRightInd/>
              <w:snapToGrid w:val="0"/>
              <w:spacing w:line="360" w:lineRule="auto"/>
              <w:ind w:firstLine="482" w:firstLineChars="200"/>
              <w:textAlignment w:val="auto"/>
              <w:outlineLvl w:val="9"/>
              <w:rPr>
                <w:rFonts w:hint="default" w:ascii="Times New Roman" w:hAnsi="Times New Roman" w:eastAsia="宋体" w:cs="Times New Roman"/>
                <w:b/>
                <w:bCs/>
                <w:color w:val="auto"/>
                <w:spacing w:val="0"/>
                <w:kern w:val="21"/>
                <w:position w:val="0"/>
                <w:sz w:val="24"/>
                <w:szCs w:val="24"/>
                <w:lang w:val="en-US" w:eastAsia="zh-CN"/>
              </w:rPr>
            </w:pPr>
            <w:r>
              <w:rPr>
                <w:rFonts w:hint="default" w:ascii="Times New Roman" w:hAnsi="Times New Roman" w:eastAsia="宋体" w:cs="Times New Roman"/>
                <w:b/>
                <w:bCs/>
                <w:color w:val="auto"/>
                <w:spacing w:val="0"/>
                <w:kern w:val="21"/>
                <w:position w:val="0"/>
                <w:sz w:val="24"/>
                <w:szCs w:val="24"/>
                <w:lang w:val="en-US" w:eastAsia="zh-CN"/>
              </w:rPr>
              <w:t>4、生态环境现状</w:t>
            </w:r>
          </w:p>
          <w:p>
            <w:pPr>
              <w:pStyle w:val="49"/>
              <w:keepNext w:val="0"/>
              <w:keepLines w:val="0"/>
              <w:pageBreakBefore w:val="0"/>
              <w:widowControl w:val="0"/>
              <w:kinsoku/>
              <w:wordWrap/>
              <w:overflowPunct/>
              <w:topLinePunct w:val="0"/>
              <w:bidi w:val="0"/>
              <w:adjustRightInd/>
              <w:snapToGrid w:val="0"/>
              <w:spacing w:line="356" w:lineRule="auto"/>
              <w:ind w:firstLine="480" w:firstLineChars="200"/>
              <w:jc w:val="left"/>
              <w:textAlignment w:val="auto"/>
              <w:rPr>
                <w:rFonts w:hint="default" w:ascii="Times New Roman" w:hAnsi="Times New Roman" w:eastAsia="宋体" w:cs="Times New Roman"/>
                <w:b w:val="0"/>
                <w:bCs/>
                <w:color w:val="auto"/>
                <w:spacing w:val="0"/>
                <w:kern w:val="21"/>
                <w:position w:val="0"/>
                <w:highlight w:val="none"/>
                <w:lang w:val="en-US" w:eastAsia="zh-CN"/>
              </w:rPr>
            </w:pPr>
            <w:r>
              <w:rPr>
                <w:rFonts w:hint="default" w:ascii="Times New Roman" w:hAnsi="Times New Roman" w:eastAsia="宋体" w:cs="Times New Roman"/>
                <w:b w:val="0"/>
                <w:bCs/>
                <w:color w:val="auto"/>
                <w:spacing w:val="0"/>
                <w:kern w:val="21"/>
                <w:position w:val="0"/>
                <w:highlight w:val="none"/>
                <w:lang w:val="en-US" w:eastAsia="zh-CN"/>
              </w:rPr>
              <w:t>根据《建设项目环境影响报告表编制技术指南（污染影响类）</w:t>
            </w:r>
            <w:r>
              <w:rPr>
                <w:rFonts w:hint="eastAsia" w:ascii="Times New Roman" w:eastAsia="宋体" w:cs="Times New Roman"/>
                <w:b w:val="0"/>
                <w:bCs/>
                <w:color w:val="auto"/>
                <w:spacing w:val="0"/>
                <w:kern w:val="21"/>
                <w:position w:val="0"/>
                <w:highlight w:val="none"/>
                <w:lang w:val="en-US" w:eastAsia="zh-CN"/>
              </w:rPr>
              <w:t>（试行）》</w:t>
            </w:r>
            <w:r>
              <w:rPr>
                <w:rFonts w:hint="default" w:ascii="Times New Roman" w:hAnsi="Times New Roman" w:eastAsia="宋体" w:cs="Times New Roman"/>
                <w:b w:val="0"/>
                <w:bCs/>
                <w:color w:val="auto"/>
                <w:spacing w:val="0"/>
                <w:kern w:val="21"/>
                <w:position w:val="0"/>
                <w:highlight w:val="none"/>
                <w:lang w:val="en-US" w:eastAsia="zh-CN"/>
              </w:rPr>
              <w:t>要求，园区内项目可不开展生态现状调查，本项目位于尉犁县工业园区内，因此不开展生态环境现状调查。</w:t>
            </w:r>
          </w:p>
          <w:p>
            <w:pPr>
              <w:keepNext w:val="0"/>
              <w:keepLines w:val="0"/>
              <w:pageBreakBefore w:val="0"/>
              <w:widowControl w:val="0"/>
              <w:tabs>
                <w:tab w:val="left" w:pos="-108"/>
              </w:tabs>
              <w:kinsoku/>
              <w:wordWrap/>
              <w:overflowPunct/>
              <w:topLinePunct w:val="0"/>
              <w:bidi w:val="0"/>
              <w:adjustRightInd/>
              <w:snapToGrid w:val="0"/>
              <w:spacing w:line="360" w:lineRule="auto"/>
              <w:ind w:firstLine="482" w:firstLineChars="200"/>
              <w:textAlignment w:val="auto"/>
              <w:outlineLvl w:val="9"/>
              <w:rPr>
                <w:rFonts w:hint="default" w:ascii="Times New Roman" w:hAnsi="Times New Roman" w:eastAsia="宋体" w:cs="Times New Roman"/>
                <w:b/>
                <w:bCs/>
                <w:color w:val="auto"/>
                <w:spacing w:val="0"/>
                <w:kern w:val="21"/>
                <w:position w:val="0"/>
                <w:sz w:val="24"/>
                <w:szCs w:val="24"/>
                <w:lang w:val="en-US" w:eastAsia="zh-CN"/>
              </w:rPr>
            </w:pPr>
            <w:r>
              <w:rPr>
                <w:rFonts w:hint="default" w:ascii="Times New Roman" w:hAnsi="Times New Roman" w:eastAsia="宋体" w:cs="Times New Roman"/>
                <w:b/>
                <w:bCs/>
                <w:color w:val="auto"/>
                <w:spacing w:val="0"/>
                <w:kern w:val="21"/>
                <w:position w:val="0"/>
                <w:sz w:val="24"/>
                <w:szCs w:val="24"/>
                <w:lang w:val="en-US" w:eastAsia="zh-CN"/>
              </w:rPr>
              <w:t>5、地下水、土壤环境现状</w:t>
            </w:r>
          </w:p>
          <w:p>
            <w:pPr>
              <w:pStyle w:val="49"/>
              <w:keepNext w:val="0"/>
              <w:keepLines w:val="0"/>
              <w:pageBreakBefore w:val="0"/>
              <w:widowControl w:val="0"/>
              <w:kinsoku/>
              <w:wordWrap/>
              <w:overflowPunct/>
              <w:topLinePunct w:val="0"/>
              <w:bidi w:val="0"/>
              <w:adjustRightInd/>
              <w:snapToGrid w:val="0"/>
              <w:spacing w:line="356" w:lineRule="auto"/>
              <w:ind w:firstLine="480" w:firstLineChars="200"/>
              <w:jc w:val="left"/>
              <w:textAlignment w:val="auto"/>
              <w:rPr>
                <w:rFonts w:hint="default" w:ascii="Times New Roman" w:hAnsi="Times New Roman" w:eastAsia="宋体" w:cs="Times New Roman"/>
                <w:b w:val="0"/>
                <w:bCs/>
                <w:color w:val="auto"/>
                <w:spacing w:val="0"/>
                <w:kern w:val="21"/>
                <w:position w:val="0"/>
                <w:highlight w:val="none"/>
                <w:lang w:val="en-US" w:eastAsia="zh-CN"/>
              </w:rPr>
            </w:pPr>
            <w:r>
              <w:rPr>
                <w:rFonts w:hint="default" w:ascii="Times New Roman" w:hAnsi="Times New Roman" w:eastAsia="宋体" w:cs="Times New Roman"/>
                <w:b w:val="0"/>
                <w:bCs/>
                <w:color w:val="auto"/>
                <w:spacing w:val="0"/>
                <w:kern w:val="21"/>
                <w:position w:val="0"/>
                <w:highlight w:val="none"/>
                <w:lang w:val="en-US" w:eastAsia="zh-CN"/>
              </w:rPr>
              <w:t>本项目不存在土壤、地下水污染途径，且评价范围内无地下水、土壤环境保护目标，根据《建设项目环境影响报告表编制技术指南（污染影响类）</w:t>
            </w:r>
            <w:r>
              <w:rPr>
                <w:rFonts w:hint="eastAsia" w:ascii="Times New Roman" w:eastAsia="宋体" w:cs="Times New Roman"/>
                <w:b w:val="0"/>
                <w:bCs/>
                <w:color w:val="auto"/>
                <w:spacing w:val="0"/>
                <w:kern w:val="21"/>
                <w:position w:val="0"/>
                <w:highlight w:val="none"/>
                <w:lang w:val="en-US" w:eastAsia="zh-CN"/>
              </w:rPr>
              <w:t>（试行）》</w:t>
            </w:r>
            <w:r>
              <w:rPr>
                <w:rFonts w:hint="default" w:ascii="Times New Roman" w:hAnsi="Times New Roman" w:eastAsia="宋体" w:cs="Times New Roman"/>
                <w:b w:val="0"/>
                <w:bCs/>
                <w:color w:val="auto"/>
                <w:spacing w:val="0"/>
                <w:kern w:val="21"/>
                <w:position w:val="0"/>
                <w:highlight w:val="none"/>
                <w:lang w:val="en-US" w:eastAsia="zh-CN"/>
              </w:rPr>
              <w:t>，本项目不需要进行地下水、土壤环境现状调查。</w:t>
            </w:r>
          </w:p>
          <w:p>
            <w:pPr>
              <w:pStyle w:val="49"/>
              <w:keepNext w:val="0"/>
              <w:keepLines w:val="0"/>
              <w:pageBreakBefore w:val="0"/>
              <w:widowControl w:val="0"/>
              <w:kinsoku/>
              <w:wordWrap/>
              <w:overflowPunct/>
              <w:topLinePunct w:val="0"/>
              <w:bidi w:val="0"/>
              <w:adjustRightInd/>
              <w:snapToGrid w:val="0"/>
              <w:spacing w:line="356" w:lineRule="auto"/>
              <w:ind w:firstLine="482" w:firstLineChars="200"/>
              <w:jc w:val="left"/>
              <w:textAlignment w:val="auto"/>
              <w:rPr>
                <w:rFonts w:hint="default" w:ascii="Times New Roman" w:hAnsi="Times New Roman" w:eastAsia="宋体" w:cs="Times New Roman"/>
                <w:color w:val="auto"/>
                <w:spacing w:val="0"/>
                <w:kern w:val="21"/>
                <w:position w:val="0"/>
                <w:sz w:val="24"/>
                <w:szCs w:val="24"/>
                <w:lang w:val="en-US" w:eastAsia="zh-CN"/>
              </w:rPr>
            </w:pPr>
            <w:r>
              <w:rPr>
                <w:rFonts w:hint="default" w:ascii="Times New Roman" w:hAnsi="Times New Roman" w:eastAsia="宋体" w:cs="Times New Roman"/>
                <w:color w:val="auto"/>
                <w:spacing w:val="0"/>
                <w:kern w:val="21"/>
                <w:position w:val="0"/>
                <w:sz w:val="24"/>
                <w:szCs w:val="24"/>
                <w:lang w:val="en-US" w:eastAsia="zh-CN"/>
              </w:rPr>
              <w:t>6、土地沙化现状调查</w:t>
            </w:r>
          </w:p>
          <w:p>
            <w:pPr>
              <w:pStyle w:val="49"/>
              <w:keepNext w:val="0"/>
              <w:keepLines w:val="0"/>
              <w:pageBreakBefore w:val="0"/>
              <w:widowControl w:val="0"/>
              <w:kinsoku/>
              <w:wordWrap/>
              <w:overflowPunct/>
              <w:topLinePunct w:val="0"/>
              <w:bidi w:val="0"/>
              <w:adjustRightInd/>
              <w:snapToGrid w:val="0"/>
              <w:spacing w:line="356" w:lineRule="auto"/>
              <w:ind w:firstLine="480" w:firstLineChars="200"/>
              <w:jc w:val="left"/>
              <w:textAlignment w:val="auto"/>
              <w:rPr>
                <w:rFonts w:hint="default" w:ascii="Times New Roman" w:hAnsi="Times New Roman" w:cs="Times New Roman"/>
                <w:color w:val="auto"/>
                <w:spacing w:val="0"/>
                <w:kern w:val="21"/>
                <w:position w:val="0"/>
                <w:szCs w:val="21"/>
              </w:rPr>
            </w:pPr>
            <w:r>
              <w:rPr>
                <w:rFonts w:hint="default" w:ascii="Times New Roman" w:hAnsi="Times New Roman" w:eastAsia="宋体" w:cs="Times New Roman"/>
                <w:b w:val="0"/>
                <w:bCs/>
                <w:color w:val="auto"/>
                <w:spacing w:val="0"/>
                <w:kern w:val="21"/>
                <w:position w:val="0"/>
                <w:highlight w:val="none"/>
                <w:lang w:val="en-US" w:eastAsia="zh-CN"/>
              </w:rPr>
              <w:t>本项目位于尉犁县东环路以西、创业路以东、敬业路南。根据《新疆第六次沙化监测报告》分析，并结合现场调查，本项目所在区域不涉及土地沙化情况。见附图7。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3" w:type="pct"/>
            <w:noWrap/>
            <w:vAlign w:val="center"/>
          </w:tcPr>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Cs w:val="21"/>
              </w:rPr>
            </w:pPr>
            <w:r>
              <w:rPr>
                <w:rFonts w:hint="default" w:ascii="Times New Roman" w:hAnsi="Times New Roman" w:cs="Times New Roman"/>
                <w:color w:val="auto"/>
                <w:spacing w:val="0"/>
                <w:kern w:val="21"/>
                <w:position w:val="0"/>
                <w:sz w:val="24"/>
              </w:rPr>
              <w:t>环境保护目标</w:t>
            </w:r>
          </w:p>
        </w:tc>
        <w:tc>
          <w:tcPr>
            <w:tcW w:w="4596" w:type="pct"/>
            <w:noWrap/>
            <w:vAlign w:val="top"/>
          </w:tcPr>
          <w:p>
            <w:pPr>
              <w:pStyle w:val="59"/>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jc w:val="both"/>
              <w:textAlignment w:val="auto"/>
              <w:rPr>
                <w:rFonts w:hint="default" w:ascii="Times New Roman" w:hAnsi="Times New Roman" w:eastAsia="宋体" w:cs="Times New Roman"/>
                <w:color w:val="auto"/>
                <w:spacing w:val="0"/>
                <w:kern w:val="21"/>
                <w:position w:val="0"/>
                <w:sz w:val="24"/>
                <w:lang w:eastAsia="zh-CN"/>
              </w:rPr>
            </w:pPr>
            <w:bookmarkStart w:id="4" w:name="_Ref369164422"/>
            <w:r>
              <w:rPr>
                <w:rFonts w:hint="default" w:ascii="Times New Roman" w:hAnsi="Times New Roman" w:eastAsia="宋体" w:cs="Times New Roman"/>
                <w:color w:val="auto"/>
                <w:spacing w:val="0"/>
                <w:kern w:val="21"/>
                <w:position w:val="0"/>
                <w:sz w:val="24"/>
              </w:rPr>
              <w:t>根据《建设项目环境影响报告表编制技术指南（污染影响类）</w:t>
            </w:r>
            <w:r>
              <w:rPr>
                <w:rFonts w:hint="eastAsia" w:ascii="Times New Roman" w:hAnsi="Times New Roman" w:cs="Times New Roman"/>
                <w:color w:val="auto"/>
                <w:spacing w:val="0"/>
                <w:kern w:val="21"/>
                <w:position w:val="0"/>
                <w:sz w:val="24"/>
                <w:lang w:eastAsia="zh-CN"/>
              </w:rPr>
              <w:t>（试行）》</w:t>
            </w:r>
            <w:r>
              <w:rPr>
                <w:rFonts w:hint="default" w:ascii="Times New Roman" w:hAnsi="Times New Roman" w:eastAsia="宋体" w:cs="Times New Roman"/>
                <w:color w:val="auto"/>
                <w:spacing w:val="0"/>
                <w:kern w:val="21"/>
                <w:position w:val="0"/>
                <w:sz w:val="24"/>
                <w:lang w:eastAsia="zh-CN"/>
              </w:rPr>
              <w:t>，</w:t>
            </w:r>
            <w:r>
              <w:rPr>
                <w:rFonts w:hint="default" w:ascii="Times New Roman" w:hAnsi="Times New Roman" w:eastAsia="宋体" w:cs="Times New Roman"/>
                <w:color w:val="auto"/>
                <w:spacing w:val="0"/>
                <w:kern w:val="21"/>
                <w:position w:val="0"/>
                <w:sz w:val="24"/>
                <w:lang w:val="en-US" w:eastAsia="zh-CN"/>
              </w:rPr>
              <w:t>本项目</w:t>
            </w:r>
            <w:r>
              <w:rPr>
                <w:rFonts w:hint="default" w:ascii="Times New Roman" w:hAnsi="Times New Roman" w:eastAsia="宋体" w:cs="Times New Roman"/>
                <w:color w:val="auto"/>
                <w:spacing w:val="0"/>
                <w:kern w:val="21"/>
                <w:position w:val="0"/>
                <w:sz w:val="24"/>
              </w:rPr>
              <w:t>各</w:t>
            </w:r>
            <w:r>
              <w:rPr>
                <w:rFonts w:hint="default" w:ascii="Times New Roman" w:hAnsi="Times New Roman" w:eastAsia="宋体" w:cs="Times New Roman"/>
                <w:color w:val="auto"/>
                <w:spacing w:val="0"/>
                <w:kern w:val="21"/>
                <w:position w:val="0"/>
                <w:sz w:val="24"/>
                <w:lang w:val="en-US" w:eastAsia="zh-CN"/>
              </w:rPr>
              <w:t>环境</w:t>
            </w:r>
            <w:r>
              <w:rPr>
                <w:rFonts w:hint="default" w:ascii="Times New Roman" w:hAnsi="Times New Roman" w:eastAsia="宋体" w:cs="Times New Roman"/>
                <w:color w:val="auto"/>
                <w:spacing w:val="0"/>
                <w:kern w:val="21"/>
                <w:position w:val="0"/>
                <w:sz w:val="24"/>
              </w:rPr>
              <w:t>要素环境保护目标</w:t>
            </w:r>
            <w:r>
              <w:rPr>
                <w:rFonts w:hint="default" w:ascii="Times New Roman" w:hAnsi="Times New Roman" w:eastAsia="宋体" w:cs="Times New Roman"/>
                <w:color w:val="auto"/>
                <w:spacing w:val="0"/>
                <w:kern w:val="21"/>
                <w:position w:val="0"/>
                <w:sz w:val="24"/>
                <w:lang w:eastAsia="zh-CN"/>
              </w:rPr>
              <w:t>为：</w:t>
            </w:r>
          </w:p>
          <w:p>
            <w:pPr>
              <w:pStyle w:val="141"/>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eastAsia="宋体" w:cs="Times New Roman"/>
                <w:color w:val="auto"/>
                <w:spacing w:val="0"/>
                <w:kern w:val="21"/>
                <w:position w:val="0"/>
                <w:sz w:val="24"/>
              </w:rPr>
            </w:pPr>
            <w:r>
              <w:rPr>
                <w:rFonts w:hint="default" w:ascii="Times New Roman" w:hAnsi="Times New Roman" w:eastAsia="宋体" w:cs="Times New Roman"/>
                <w:color w:val="auto"/>
                <w:spacing w:val="0"/>
                <w:kern w:val="21"/>
                <w:position w:val="0"/>
                <w:sz w:val="24"/>
                <w:szCs w:val="24"/>
                <w:lang w:val="en-US" w:eastAsia="en-US" w:bidi="ar-SA"/>
              </w:rPr>
              <w:t>（1）</w:t>
            </w:r>
            <w:r>
              <w:rPr>
                <w:rFonts w:hint="default" w:ascii="Times New Roman" w:hAnsi="Times New Roman" w:eastAsia="宋体" w:cs="Times New Roman"/>
                <w:color w:val="auto"/>
                <w:spacing w:val="0"/>
                <w:kern w:val="21"/>
                <w:position w:val="0"/>
                <w:sz w:val="24"/>
              </w:rPr>
              <w:t>大气环境保护目标</w:t>
            </w:r>
          </w:p>
          <w:p>
            <w:pPr>
              <w:pStyle w:val="141"/>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eastAsia="宋体" w:cs="Times New Roman"/>
                <w:color w:val="auto"/>
                <w:spacing w:val="0"/>
                <w:kern w:val="21"/>
                <w:position w:val="0"/>
                <w:sz w:val="24"/>
              </w:rPr>
            </w:pPr>
            <w:r>
              <w:rPr>
                <w:rFonts w:hint="default" w:ascii="Times New Roman" w:hAnsi="Times New Roman" w:eastAsia="宋体" w:cs="Times New Roman"/>
                <w:color w:val="auto"/>
                <w:spacing w:val="0"/>
                <w:kern w:val="21"/>
                <w:position w:val="0"/>
                <w:sz w:val="24"/>
              </w:rPr>
              <w:t>本项目厂界外为</w:t>
            </w:r>
            <w:r>
              <w:rPr>
                <w:rFonts w:hint="default" w:ascii="Times New Roman" w:hAnsi="Times New Roman" w:eastAsia="宋体" w:cs="Times New Roman"/>
                <w:color w:val="auto"/>
                <w:spacing w:val="0"/>
                <w:kern w:val="21"/>
                <w:position w:val="0"/>
                <w:sz w:val="24"/>
                <w:lang w:val="en-US" w:eastAsia="zh-CN"/>
              </w:rPr>
              <w:t>500m</w:t>
            </w:r>
            <w:r>
              <w:rPr>
                <w:rFonts w:hint="default" w:ascii="Times New Roman" w:hAnsi="Times New Roman" w:eastAsia="宋体" w:cs="Times New Roman"/>
                <w:color w:val="auto"/>
                <w:spacing w:val="0"/>
                <w:kern w:val="21"/>
                <w:position w:val="0"/>
                <w:sz w:val="24"/>
              </w:rPr>
              <w:t>范围内大气环境保护目标主</w:t>
            </w:r>
            <w:r>
              <w:rPr>
                <w:rFonts w:hint="default" w:ascii="Times New Roman" w:hAnsi="Times New Roman" w:eastAsia="宋体" w:cs="Times New Roman"/>
                <w:color w:val="auto"/>
                <w:spacing w:val="0"/>
                <w:kern w:val="21"/>
                <w:position w:val="0"/>
                <w:sz w:val="24"/>
                <w:lang w:eastAsia="zh-CN"/>
              </w:rPr>
              <w:t>要为</w:t>
            </w:r>
            <w:r>
              <w:rPr>
                <w:rFonts w:hint="default" w:ascii="Times New Roman" w:hAnsi="Times New Roman" w:eastAsia="宋体" w:cs="Times New Roman"/>
                <w:color w:val="auto"/>
                <w:spacing w:val="0"/>
                <w:kern w:val="21"/>
                <w:position w:val="0"/>
                <w:sz w:val="24"/>
                <w:lang w:val="en-US" w:eastAsia="zh-CN"/>
              </w:rPr>
              <w:t>尉犁县第九小学、尉臻公寓</w:t>
            </w:r>
            <w:r>
              <w:rPr>
                <w:rFonts w:hint="default" w:ascii="Times New Roman" w:hAnsi="Times New Roman" w:eastAsia="宋体" w:cs="Times New Roman"/>
                <w:color w:val="auto"/>
                <w:spacing w:val="0"/>
                <w:kern w:val="21"/>
                <w:position w:val="0"/>
                <w:sz w:val="24"/>
                <w:lang w:eastAsia="zh-CN"/>
              </w:rPr>
              <w:t>，</w:t>
            </w:r>
            <w:r>
              <w:rPr>
                <w:rFonts w:hint="default" w:ascii="Times New Roman" w:hAnsi="Times New Roman" w:eastAsia="宋体" w:cs="Times New Roman"/>
                <w:color w:val="auto"/>
                <w:spacing w:val="0"/>
                <w:kern w:val="21"/>
                <w:position w:val="0"/>
                <w:sz w:val="24"/>
              </w:rPr>
              <w:t>区域空气环境质量执行《环境空气质量标准》（GB3095-20</w:t>
            </w:r>
            <w:r>
              <w:rPr>
                <w:rFonts w:hint="default" w:ascii="Times New Roman" w:hAnsi="Times New Roman" w:eastAsia="宋体" w:cs="Times New Roman"/>
                <w:color w:val="auto"/>
                <w:spacing w:val="0"/>
                <w:kern w:val="21"/>
                <w:position w:val="0"/>
                <w:sz w:val="24"/>
                <w:lang w:val="en-US" w:eastAsia="zh-CN"/>
              </w:rPr>
              <w:t>26</w:t>
            </w:r>
            <w:r>
              <w:rPr>
                <w:rFonts w:hint="default" w:ascii="Times New Roman" w:hAnsi="Times New Roman" w:eastAsia="宋体" w:cs="Times New Roman"/>
                <w:color w:val="auto"/>
                <w:spacing w:val="0"/>
                <w:kern w:val="21"/>
                <w:position w:val="0"/>
                <w:sz w:val="24"/>
              </w:rPr>
              <w:t>）二级标准要求。</w:t>
            </w:r>
          </w:p>
          <w:p>
            <w:pPr>
              <w:pStyle w:val="59"/>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jc w:val="both"/>
              <w:textAlignment w:val="auto"/>
              <w:rPr>
                <w:rFonts w:hint="default" w:ascii="Times New Roman" w:hAnsi="Times New Roman" w:eastAsia="宋体" w:cs="Times New Roman"/>
                <w:color w:val="auto"/>
                <w:spacing w:val="0"/>
                <w:kern w:val="21"/>
                <w:position w:val="0"/>
                <w:sz w:val="24"/>
              </w:rPr>
            </w:pPr>
            <w:r>
              <w:rPr>
                <w:rFonts w:hint="default" w:ascii="Times New Roman" w:hAnsi="Times New Roman" w:eastAsia="宋体" w:cs="Times New Roman"/>
                <w:color w:val="auto"/>
                <w:spacing w:val="0"/>
                <w:kern w:val="21"/>
                <w:position w:val="0"/>
                <w:sz w:val="24"/>
                <w:lang w:eastAsia="zh-CN"/>
              </w:rPr>
              <w:t>（</w:t>
            </w:r>
            <w:r>
              <w:rPr>
                <w:rFonts w:hint="default" w:ascii="Times New Roman" w:hAnsi="Times New Roman" w:eastAsia="宋体" w:cs="Times New Roman"/>
                <w:color w:val="auto"/>
                <w:spacing w:val="0"/>
                <w:kern w:val="21"/>
                <w:position w:val="0"/>
                <w:sz w:val="24"/>
                <w:lang w:val="en-US" w:eastAsia="zh-CN"/>
              </w:rPr>
              <w:t>2</w:t>
            </w:r>
            <w:r>
              <w:rPr>
                <w:rFonts w:hint="default" w:ascii="Times New Roman" w:hAnsi="Times New Roman" w:eastAsia="宋体" w:cs="Times New Roman"/>
                <w:color w:val="auto"/>
                <w:spacing w:val="0"/>
                <w:kern w:val="21"/>
                <w:position w:val="0"/>
                <w:sz w:val="24"/>
                <w:lang w:eastAsia="zh-CN"/>
              </w:rPr>
              <w:t>）</w:t>
            </w:r>
            <w:r>
              <w:rPr>
                <w:rFonts w:hint="default" w:ascii="Times New Roman" w:hAnsi="Times New Roman" w:eastAsia="宋体" w:cs="Times New Roman"/>
                <w:color w:val="auto"/>
                <w:spacing w:val="0"/>
                <w:kern w:val="21"/>
                <w:position w:val="0"/>
                <w:sz w:val="24"/>
              </w:rPr>
              <w:t>声环境保护目标</w:t>
            </w:r>
          </w:p>
          <w:p>
            <w:pPr>
              <w:pStyle w:val="141"/>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jc w:val="both"/>
              <w:textAlignment w:val="auto"/>
              <w:rPr>
                <w:rFonts w:hint="default" w:ascii="Times New Roman" w:hAnsi="Times New Roman" w:eastAsia="宋体" w:cs="Times New Roman"/>
                <w:color w:val="auto"/>
                <w:spacing w:val="0"/>
                <w:kern w:val="21"/>
                <w:position w:val="0"/>
                <w:sz w:val="24"/>
              </w:rPr>
            </w:pPr>
            <w:r>
              <w:rPr>
                <w:rFonts w:hint="default" w:ascii="Times New Roman" w:hAnsi="Times New Roman" w:eastAsia="宋体" w:cs="Times New Roman"/>
                <w:color w:val="auto"/>
                <w:spacing w:val="0"/>
                <w:kern w:val="21"/>
                <w:position w:val="0"/>
                <w:sz w:val="24"/>
              </w:rPr>
              <w:t>本项目厂界外50m范围内</w:t>
            </w:r>
            <w:r>
              <w:rPr>
                <w:rFonts w:hint="default" w:ascii="Times New Roman" w:hAnsi="Times New Roman" w:cs="Times New Roman"/>
                <w:color w:val="auto"/>
                <w:spacing w:val="0"/>
                <w:kern w:val="21"/>
                <w:position w:val="0"/>
                <w:sz w:val="24"/>
                <w:lang w:val="en-US" w:eastAsia="zh-CN"/>
              </w:rPr>
              <w:t>无</w:t>
            </w:r>
            <w:r>
              <w:rPr>
                <w:rFonts w:hint="default" w:ascii="Times New Roman" w:hAnsi="Times New Roman" w:eastAsia="宋体" w:cs="Times New Roman"/>
                <w:color w:val="auto"/>
                <w:spacing w:val="0"/>
                <w:kern w:val="21"/>
                <w:position w:val="0"/>
                <w:sz w:val="24"/>
              </w:rPr>
              <w:t>声环境保护目标。</w:t>
            </w:r>
          </w:p>
          <w:p>
            <w:pPr>
              <w:pStyle w:val="59"/>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jc w:val="both"/>
              <w:textAlignment w:val="auto"/>
              <w:rPr>
                <w:rFonts w:hint="default" w:ascii="Times New Roman" w:hAnsi="Times New Roman" w:eastAsia="宋体" w:cs="Times New Roman"/>
                <w:color w:val="auto"/>
                <w:spacing w:val="0"/>
                <w:kern w:val="21"/>
                <w:position w:val="0"/>
                <w:sz w:val="24"/>
              </w:rPr>
            </w:pPr>
            <w:r>
              <w:rPr>
                <w:rFonts w:hint="default" w:ascii="Times New Roman" w:hAnsi="Times New Roman" w:eastAsia="宋体" w:cs="Times New Roman"/>
                <w:color w:val="auto"/>
                <w:spacing w:val="0"/>
                <w:kern w:val="21"/>
                <w:position w:val="0"/>
                <w:sz w:val="24"/>
                <w:highlight w:val="none"/>
                <w:lang w:eastAsia="zh-CN"/>
              </w:rPr>
              <w:t>（</w:t>
            </w:r>
            <w:r>
              <w:rPr>
                <w:rFonts w:hint="default" w:ascii="Times New Roman" w:hAnsi="Times New Roman" w:eastAsia="宋体" w:cs="Times New Roman"/>
                <w:color w:val="auto"/>
                <w:spacing w:val="0"/>
                <w:kern w:val="21"/>
                <w:position w:val="0"/>
                <w:sz w:val="24"/>
                <w:highlight w:val="none"/>
                <w:lang w:val="en-US" w:eastAsia="zh-CN"/>
              </w:rPr>
              <w:t>3</w:t>
            </w:r>
            <w:r>
              <w:rPr>
                <w:rFonts w:hint="default" w:ascii="Times New Roman" w:hAnsi="Times New Roman" w:eastAsia="宋体" w:cs="Times New Roman"/>
                <w:color w:val="auto"/>
                <w:spacing w:val="0"/>
                <w:kern w:val="21"/>
                <w:position w:val="0"/>
                <w:sz w:val="24"/>
                <w:highlight w:val="none"/>
                <w:lang w:eastAsia="zh-CN"/>
              </w:rPr>
              <w:t>）</w:t>
            </w:r>
            <w:r>
              <w:rPr>
                <w:rFonts w:hint="default" w:ascii="Times New Roman" w:hAnsi="Times New Roman" w:eastAsia="宋体" w:cs="Times New Roman"/>
                <w:color w:val="auto"/>
                <w:spacing w:val="0"/>
                <w:kern w:val="21"/>
                <w:position w:val="0"/>
                <w:sz w:val="24"/>
                <w:highlight w:val="none"/>
              </w:rPr>
              <w:t>地下水环境保护目标：</w:t>
            </w:r>
            <w:r>
              <w:rPr>
                <w:rFonts w:hint="default" w:ascii="Times New Roman" w:hAnsi="Times New Roman" w:eastAsia="宋体" w:cs="Times New Roman"/>
                <w:color w:val="auto"/>
                <w:spacing w:val="0"/>
                <w:kern w:val="21"/>
                <w:position w:val="0"/>
                <w:sz w:val="24"/>
                <w:highlight w:val="none"/>
                <w:lang w:val="en-US" w:eastAsia="zh-CN"/>
              </w:rPr>
              <w:t>本项目</w:t>
            </w:r>
            <w:r>
              <w:rPr>
                <w:rFonts w:hint="default" w:ascii="Times New Roman" w:hAnsi="Times New Roman" w:eastAsia="宋体" w:cs="Times New Roman"/>
                <w:color w:val="auto"/>
                <w:spacing w:val="0"/>
                <w:kern w:val="21"/>
                <w:position w:val="0"/>
                <w:sz w:val="24"/>
                <w:highlight w:val="none"/>
              </w:rPr>
              <w:t>厂界外500米范围内</w:t>
            </w:r>
            <w:r>
              <w:rPr>
                <w:rFonts w:hint="default" w:ascii="Times New Roman" w:hAnsi="Times New Roman" w:eastAsia="宋体" w:cs="Times New Roman"/>
                <w:color w:val="auto"/>
                <w:spacing w:val="0"/>
                <w:kern w:val="21"/>
                <w:position w:val="0"/>
                <w:sz w:val="24"/>
                <w:highlight w:val="none"/>
                <w:lang w:eastAsia="zh-CN"/>
              </w:rPr>
              <w:t>无</w:t>
            </w:r>
            <w:r>
              <w:rPr>
                <w:rFonts w:hint="default" w:ascii="Times New Roman" w:hAnsi="Times New Roman" w:eastAsia="宋体" w:cs="Times New Roman"/>
                <w:color w:val="auto"/>
                <w:spacing w:val="0"/>
                <w:kern w:val="21"/>
                <w:position w:val="0"/>
                <w:sz w:val="24"/>
                <w:highlight w:val="none"/>
              </w:rPr>
              <w:t>地下水集</w:t>
            </w:r>
            <w:r>
              <w:rPr>
                <w:rFonts w:hint="default" w:ascii="Times New Roman" w:hAnsi="Times New Roman" w:eastAsia="宋体" w:cs="Times New Roman"/>
                <w:color w:val="auto"/>
                <w:spacing w:val="0"/>
                <w:kern w:val="21"/>
                <w:position w:val="0"/>
                <w:sz w:val="24"/>
              </w:rPr>
              <w:t>中式饮用水水源和热水、矿泉水、温泉等特殊地下水资源</w:t>
            </w:r>
            <w:r>
              <w:rPr>
                <w:rFonts w:hint="default" w:ascii="Times New Roman" w:hAnsi="Times New Roman" w:eastAsia="宋体" w:cs="Times New Roman"/>
                <w:color w:val="auto"/>
                <w:spacing w:val="0"/>
                <w:kern w:val="21"/>
                <w:position w:val="0"/>
                <w:sz w:val="24"/>
                <w:lang w:eastAsia="zh-CN"/>
              </w:rPr>
              <w:t>等</w:t>
            </w:r>
            <w:r>
              <w:rPr>
                <w:rFonts w:hint="default" w:ascii="Times New Roman" w:hAnsi="Times New Roman" w:eastAsia="宋体" w:cs="Times New Roman"/>
                <w:color w:val="auto"/>
                <w:spacing w:val="0"/>
                <w:kern w:val="21"/>
                <w:position w:val="0"/>
                <w:sz w:val="24"/>
                <w:lang w:val="en-US" w:eastAsia="zh-CN"/>
              </w:rPr>
              <w:t>保护目标</w:t>
            </w:r>
            <w:r>
              <w:rPr>
                <w:rFonts w:hint="default" w:ascii="Times New Roman" w:hAnsi="Times New Roman" w:eastAsia="宋体" w:cs="Times New Roman"/>
                <w:color w:val="auto"/>
                <w:spacing w:val="0"/>
                <w:kern w:val="21"/>
                <w:position w:val="0"/>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jc w:val="both"/>
              <w:textAlignment w:val="auto"/>
              <w:rPr>
                <w:rFonts w:hint="default" w:ascii="Times New Roman" w:hAnsi="Times New Roman" w:eastAsia="宋体" w:cs="Times New Roman"/>
                <w:color w:val="auto"/>
                <w:spacing w:val="0"/>
                <w:kern w:val="21"/>
                <w:position w:val="0"/>
                <w:sz w:val="24"/>
                <w:szCs w:val="24"/>
              </w:rPr>
            </w:pPr>
            <w:r>
              <w:rPr>
                <w:rFonts w:hint="default" w:ascii="Times New Roman" w:hAnsi="Times New Roman" w:eastAsia="宋体" w:cs="Times New Roman"/>
                <w:color w:val="auto"/>
                <w:spacing w:val="0"/>
                <w:kern w:val="21"/>
                <w:position w:val="0"/>
                <w:sz w:val="24"/>
                <w:lang w:eastAsia="zh-CN"/>
              </w:rPr>
              <w:t>（</w:t>
            </w:r>
            <w:r>
              <w:rPr>
                <w:rFonts w:hint="default" w:ascii="Times New Roman" w:hAnsi="Times New Roman" w:eastAsia="宋体" w:cs="Times New Roman"/>
                <w:color w:val="auto"/>
                <w:spacing w:val="0"/>
                <w:kern w:val="21"/>
                <w:position w:val="0"/>
                <w:sz w:val="24"/>
                <w:lang w:val="en-US" w:eastAsia="zh-CN"/>
              </w:rPr>
              <w:t>4</w:t>
            </w:r>
            <w:r>
              <w:rPr>
                <w:rFonts w:hint="default" w:ascii="Times New Roman" w:hAnsi="Times New Roman" w:eastAsia="宋体" w:cs="Times New Roman"/>
                <w:color w:val="auto"/>
                <w:spacing w:val="0"/>
                <w:kern w:val="21"/>
                <w:position w:val="0"/>
                <w:sz w:val="24"/>
                <w:lang w:eastAsia="zh-CN"/>
              </w:rPr>
              <w:t>）</w:t>
            </w:r>
            <w:r>
              <w:rPr>
                <w:rFonts w:hint="default" w:ascii="Times New Roman" w:hAnsi="Times New Roman" w:eastAsia="宋体" w:cs="Times New Roman"/>
                <w:color w:val="auto"/>
                <w:spacing w:val="0"/>
                <w:kern w:val="21"/>
                <w:position w:val="0"/>
                <w:sz w:val="24"/>
              </w:rPr>
              <w:t>生态环境保护目标：</w:t>
            </w:r>
            <w:r>
              <w:rPr>
                <w:rFonts w:hint="default" w:ascii="Times New Roman" w:hAnsi="Times New Roman" w:eastAsia="宋体" w:cs="Times New Roman"/>
                <w:color w:val="auto"/>
                <w:spacing w:val="0"/>
                <w:kern w:val="21"/>
                <w:position w:val="0"/>
                <w:sz w:val="24"/>
                <w:szCs w:val="24"/>
                <w:lang w:val="en-US" w:eastAsia="zh-CN"/>
              </w:rPr>
              <w:t>本项目占地范围内无生态环境保护目标。</w:t>
            </w:r>
          </w:p>
          <w:bookmarkEnd w:id="4"/>
          <w:p>
            <w:pPr>
              <w:keepNext w:val="0"/>
              <w:keepLines w:val="0"/>
              <w:pageBreakBefore w:val="0"/>
              <w:kinsoku/>
              <w:wordWrap/>
              <w:overflowPunct/>
              <w:topLinePunct w:val="0"/>
              <w:bidi w:val="0"/>
              <w:adjustRightInd/>
              <w:snapToGrid w:val="0"/>
              <w:spacing w:line="360" w:lineRule="auto"/>
              <w:ind w:firstLine="480" w:firstLineChars="200"/>
              <w:jc w:val="left"/>
              <w:rPr>
                <w:rFonts w:hint="default" w:ascii="Times New Roman" w:hAnsi="Times New Roman" w:eastAsia="宋体" w:cs="Times New Roman"/>
                <w:color w:val="auto"/>
                <w:spacing w:val="0"/>
                <w:kern w:val="21"/>
                <w:position w:val="0"/>
                <w:sz w:val="24"/>
                <w:highlight w:val="none"/>
              </w:rPr>
            </w:pPr>
            <w:r>
              <w:rPr>
                <w:rFonts w:hint="default" w:ascii="Times New Roman" w:hAnsi="Times New Roman" w:eastAsia="宋体" w:cs="Times New Roman"/>
                <w:color w:val="auto"/>
                <w:spacing w:val="0"/>
                <w:kern w:val="21"/>
                <w:position w:val="0"/>
                <w:sz w:val="24"/>
                <w:highlight w:val="none"/>
              </w:rPr>
              <w:t>环境保护</w:t>
            </w:r>
            <w:r>
              <w:rPr>
                <w:rFonts w:hint="default" w:ascii="Times New Roman" w:hAnsi="Times New Roman" w:eastAsia="宋体" w:cs="Times New Roman"/>
                <w:b w:val="0"/>
                <w:bCs w:val="0"/>
                <w:color w:val="auto"/>
                <w:spacing w:val="0"/>
                <w:kern w:val="21"/>
                <w:position w:val="0"/>
                <w:sz w:val="24"/>
                <w:highlight w:val="none"/>
              </w:rPr>
              <w:t>目标详见</w:t>
            </w:r>
            <w:r>
              <w:rPr>
                <w:rFonts w:hint="default" w:ascii="Times New Roman" w:hAnsi="Times New Roman" w:cs="Times New Roman"/>
                <w:b w:val="0"/>
                <w:bCs w:val="0"/>
                <w:color w:val="auto"/>
                <w:spacing w:val="0"/>
                <w:kern w:val="21"/>
                <w:position w:val="0"/>
                <w:sz w:val="24"/>
                <w:highlight w:val="none"/>
                <w:lang w:val="en-US" w:eastAsia="zh-CN"/>
              </w:rPr>
              <w:t>3-3，环境保护目标分布图见附图</w:t>
            </w:r>
            <w:r>
              <w:rPr>
                <w:rFonts w:hint="default" w:ascii="Times New Roman" w:hAnsi="Times New Roman" w:eastAsia="宋体" w:cs="Times New Roman"/>
                <w:b w:val="0"/>
                <w:bCs w:val="0"/>
                <w:color w:val="auto"/>
                <w:spacing w:val="0"/>
                <w:kern w:val="21"/>
                <w:position w:val="0"/>
                <w:sz w:val="24"/>
                <w:highlight w:val="none"/>
              </w:rPr>
              <w:t>。</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pacing w:val="0"/>
                <w:kern w:val="21"/>
                <w:position w:val="0"/>
                <w:highlight w:val="none"/>
              </w:rPr>
            </w:pPr>
            <w:r>
              <w:rPr>
                <w:rFonts w:hint="default" w:ascii="Times New Roman" w:hAnsi="Times New Roman" w:eastAsia="宋体" w:cs="Times New Roman"/>
                <w:b/>
                <w:bCs/>
                <w:color w:val="auto"/>
                <w:spacing w:val="0"/>
                <w:kern w:val="21"/>
                <w:position w:val="0"/>
                <w:highlight w:val="none"/>
              </w:rPr>
              <w:t>表</w:t>
            </w:r>
            <w:r>
              <w:rPr>
                <w:rFonts w:hint="default" w:ascii="Times New Roman" w:hAnsi="Times New Roman" w:cs="Times New Roman"/>
                <w:b/>
                <w:bCs/>
                <w:color w:val="auto"/>
                <w:spacing w:val="0"/>
                <w:kern w:val="21"/>
                <w:position w:val="0"/>
                <w:highlight w:val="none"/>
                <w:lang w:val="en-US" w:eastAsia="zh-CN"/>
              </w:rPr>
              <w:t>3-3</w:t>
            </w:r>
            <w:r>
              <w:rPr>
                <w:rFonts w:hint="default" w:ascii="Times New Roman" w:hAnsi="Times New Roman" w:eastAsia="宋体" w:cs="Times New Roman"/>
                <w:b/>
                <w:bCs/>
                <w:color w:val="auto"/>
                <w:spacing w:val="0"/>
                <w:kern w:val="21"/>
                <w:position w:val="0"/>
                <w:highlight w:val="none"/>
              </w:rPr>
              <w:t xml:space="preserve">  本项目主要保护目标一览表</w:t>
            </w:r>
          </w:p>
          <w:tbl>
            <w:tblPr>
              <w:tblStyle w:val="3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2"/>
              <w:gridCol w:w="810"/>
              <w:gridCol w:w="993"/>
              <w:gridCol w:w="603"/>
              <w:gridCol w:w="1411"/>
              <w:gridCol w:w="1368"/>
              <w:gridCol w:w="2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环境要素</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eastAsia="zh-CN"/>
                    </w:rPr>
                  </w:pPr>
                  <w:r>
                    <w:rPr>
                      <w:rFonts w:hint="default" w:ascii="Times New Roman" w:hAnsi="Times New Roman" w:eastAsia="宋体" w:cs="Times New Roman"/>
                      <w:b w:val="0"/>
                      <w:bCs/>
                      <w:color w:val="auto"/>
                      <w:spacing w:val="0"/>
                      <w:kern w:val="21"/>
                      <w:position w:val="0"/>
                      <w:sz w:val="18"/>
                      <w:szCs w:val="18"/>
                      <w:highlight w:val="none"/>
                      <w:lang w:val="en-US" w:eastAsia="zh-CN"/>
                    </w:rPr>
                    <w:t>名称</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方位距离（m）</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保护</w:t>
                  </w:r>
                  <w:r>
                    <w:rPr>
                      <w:rFonts w:hint="default" w:ascii="Times New Roman" w:hAnsi="Times New Roman" w:cs="Times New Roman"/>
                      <w:b w:val="0"/>
                      <w:bCs/>
                      <w:color w:val="auto"/>
                      <w:spacing w:val="0"/>
                      <w:kern w:val="21"/>
                      <w:position w:val="0"/>
                      <w:sz w:val="18"/>
                      <w:szCs w:val="18"/>
                      <w:highlight w:val="none"/>
                      <w:lang w:val="en-US" w:eastAsia="zh-CN"/>
                    </w:rPr>
                    <w:t>对象</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规模（人）</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eastAsia="宋体" w:cs="Times New Roman"/>
                      <w:b w:val="0"/>
                      <w:bCs/>
                      <w:color w:val="auto"/>
                      <w:spacing w:val="0"/>
                      <w:kern w:val="21"/>
                      <w:position w:val="0"/>
                      <w:sz w:val="18"/>
                      <w:szCs w:val="18"/>
                      <w:highlight w:val="none"/>
                      <w:lang w:val="en-US" w:eastAsia="zh-CN"/>
                    </w:rPr>
                    <w:t>坐标</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标准类别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大气环境</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rPr>
                  </w:pPr>
                  <w:r>
                    <w:rPr>
                      <w:rFonts w:hint="default" w:ascii="Times New Roman" w:hAnsi="Times New Roman" w:cs="Times New Roman"/>
                      <w:b w:val="0"/>
                      <w:bCs/>
                      <w:color w:val="auto"/>
                      <w:spacing w:val="0"/>
                      <w:kern w:val="21"/>
                      <w:position w:val="0"/>
                      <w:sz w:val="18"/>
                      <w:szCs w:val="18"/>
                      <w:highlight w:val="none"/>
                      <w:lang w:val="en-US" w:eastAsia="zh-CN"/>
                    </w:rPr>
                    <w:t>尉犁县第九小学</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东侧70m</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文化区</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0（已建成，但未投入使用）</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eastAsia="宋体" w:cs="Times New Roman"/>
                      <w:b w:val="0"/>
                      <w:bCs/>
                      <w:color w:val="auto"/>
                      <w:spacing w:val="0"/>
                      <w:kern w:val="21"/>
                      <w:position w:val="0"/>
                      <w:sz w:val="18"/>
                      <w:szCs w:val="18"/>
                      <w:highlight w:val="none"/>
                      <w:lang w:val="en-US" w:eastAsia="zh-CN"/>
                    </w:rPr>
                    <w:t>经度：86.293799</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eastAsia="zh-CN"/>
                    </w:rPr>
                  </w:pPr>
                  <w:r>
                    <w:rPr>
                      <w:rFonts w:hint="default" w:ascii="Times New Roman" w:hAnsi="Times New Roman" w:eastAsia="宋体" w:cs="Times New Roman"/>
                      <w:b w:val="0"/>
                      <w:bCs/>
                      <w:color w:val="auto"/>
                      <w:spacing w:val="0"/>
                      <w:kern w:val="21"/>
                      <w:position w:val="0"/>
                      <w:sz w:val="18"/>
                      <w:szCs w:val="18"/>
                      <w:highlight w:val="none"/>
                      <w:lang w:val="en-US" w:eastAsia="zh-CN"/>
                    </w:rPr>
                    <w:t>纬度：41.365438</w:t>
                  </w:r>
                </w:p>
              </w:tc>
              <w:tc>
                <w:tcPr>
                  <w:tcW w:w="0" w:type="auto"/>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《环境空气质量标准》（</w:t>
                  </w:r>
                  <w:r>
                    <w:rPr>
                      <w:rFonts w:hint="default" w:ascii="Times New Roman" w:hAnsi="Times New Roman" w:eastAsia="宋体" w:cs="Times New Roman"/>
                      <w:b w:val="0"/>
                      <w:bCs/>
                      <w:color w:val="auto"/>
                      <w:spacing w:val="0"/>
                      <w:kern w:val="21"/>
                      <w:position w:val="0"/>
                      <w:sz w:val="18"/>
                      <w:szCs w:val="18"/>
                      <w:highlight w:val="none"/>
                      <w:lang w:eastAsia="zh-CN"/>
                    </w:rPr>
                    <w:t>GB3095-2026</w:t>
                  </w:r>
                  <w:r>
                    <w:rPr>
                      <w:rFonts w:hint="default" w:ascii="Times New Roman" w:hAnsi="Times New Roman" w:eastAsia="宋体" w:cs="Times New Roman"/>
                      <w:b w:val="0"/>
                      <w:bCs/>
                      <w:color w:val="auto"/>
                      <w:spacing w:val="0"/>
                      <w:kern w:val="21"/>
                      <w:position w:val="0"/>
                      <w:sz w:val="18"/>
                      <w:szCs w:val="18"/>
                      <w:highlight w:val="none"/>
                    </w:rPr>
                    <w:t>）</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r>
                    <w:rPr>
                      <w:rFonts w:hint="default" w:ascii="Times New Roman" w:hAnsi="Times New Roman" w:eastAsia="宋体" w:cs="Times New Roman"/>
                      <w:b w:val="0"/>
                      <w:bCs/>
                      <w:color w:val="auto"/>
                      <w:spacing w:val="0"/>
                      <w:kern w:val="21"/>
                      <w:position w:val="0"/>
                      <w:sz w:val="18"/>
                      <w:szCs w:val="18"/>
                      <w:highlight w:val="none"/>
                    </w:rPr>
                    <w:t>中的二级标准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大气环境</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尉臻公寓</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东北侧300m</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居住区</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200</w:t>
                  </w:r>
                </w:p>
              </w:tc>
              <w:tc>
                <w:tcPr>
                  <w:tcW w:w="0" w:type="auto"/>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经度：</w:t>
                  </w:r>
                  <w:r>
                    <w:rPr>
                      <w:rFonts w:hint="default" w:ascii="Times New Roman" w:hAnsi="Times New Roman" w:eastAsia="宋体" w:cs="Times New Roman"/>
                      <w:b w:val="0"/>
                      <w:bCs/>
                      <w:color w:val="auto"/>
                      <w:spacing w:val="0"/>
                      <w:kern w:val="21"/>
                      <w:position w:val="0"/>
                      <w:sz w:val="18"/>
                      <w:szCs w:val="18"/>
                      <w:highlight w:val="none"/>
                      <w:lang w:val="en-US" w:eastAsia="zh-CN"/>
                    </w:rPr>
                    <w:t>86.292329</w:t>
                  </w:r>
                  <w:r>
                    <w:rPr>
                      <w:rFonts w:hint="default" w:ascii="Times New Roman" w:hAnsi="Times New Roman" w:cs="Times New Roman"/>
                      <w:b w:val="0"/>
                      <w:bCs/>
                      <w:color w:val="auto"/>
                      <w:spacing w:val="0"/>
                      <w:kern w:val="21"/>
                      <w:position w:val="0"/>
                      <w:sz w:val="18"/>
                      <w:szCs w:val="18"/>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lang w:val="en-US" w:eastAsia="zh-CN"/>
                    </w:rPr>
                  </w:pPr>
                  <w:r>
                    <w:rPr>
                      <w:rFonts w:hint="default" w:ascii="Times New Roman" w:hAnsi="Times New Roman" w:cs="Times New Roman"/>
                      <w:b w:val="0"/>
                      <w:bCs/>
                      <w:color w:val="auto"/>
                      <w:spacing w:val="0"/>
                      <w:kern w:val="21"/>
                      <w:position w:val="0"/>
                      <w:sz w:val="18"/>
                      <w:szCs w:val="18"/>
                      <w:highlight w:val="none"/>
                      <w:lang w:val="en-US" w:eastAsia="zh-CN"/>
                    </w:rPr>
                    <w:t>纬度：</w:t>
                  </w:r>
                  <w:r>
                    <w:rPr>
                      <w:rFonts w:hint="default" w:ascii="Times New Roman" w:hAnsi="Times New Roman" w:eastAsia="宋体" w:cs="Times New Roman"/>
                      <w:b w:val="0"/>
                      <w:bCs/>
                      <w:color w:val="auto"/>
                      <w:spacing w:val="0"/>
                      <w:kern w:val="21"/>
                      <w:position w:val="0"/>
                      <w:sz w:val="18"/>
                      <w:szCs w:val="18"/>
                      <w:highlight w:val="none"/>
                      <w:lang w:val="en-US" w:eastAsia="zh-CN"/>
                    </w:rPr>
                    <w:t>41.367873</w:t>
                  </w:r>
                </w:p>
              </w:tc>
              <w:tc>
                <w:tcPr>
                  <w:tcW w:w="0" w:type="auto"/>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val="0"/>
                      <w:bCs/>
                      <w:color w:val="auto"/>
                      <w:spacing w:val="0"/>
                      <w:kern w:val="21"/>
                      <w:position w:val="0"/>
                      <w:sz w:val="18"/>
                      <w:szCs w:val="18"/>
                      <w:highlight w:val="none"/>
                    </w:rPr>
                  </w:pPr>
                </w:p>
              </w:tc>
            </w:tr>
          </w:tbl>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color w:val="auto"/>
                <w:spacing w:val="0"/>
                <w:kern w:val="21"/>
                <w:position w:val="0"/>
                <w:szCs w:val="21"/>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3" w:type="pct"/>
            <w:noWrap/>
            <w:tcMar>
              <w:left w:w="28" w:type="dxa"/>
              <w:right w:w="28" w:type="dxa"/>
            </w:tcMar>
            <w:vAlign w:val="center"/>
          </w:tcPr>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Cs w:val="21"/>
              </w:rPr>
            </w:pPr>
            <w:r>
              <w:rPr>
                <w:rFonts w:hint="default" w:ascii="Times New Roman" w:hAnsi="Times New Roman" w:cs="Times New Roman"/>
                <w:color w:val="auto"/>
                <w:spacing w:val="0"/>
                <w:kern w:val="21"/>
                <w:position w:val="0"/>
                <w:sz w:val="24"/>
              </w:rPr>
              <w:t>污染物排放控制标准</w:t>
            </w:r>
          </w:p>
        </w:tc>
        <w:tc>
          <w:tcPr>
            <w:tcW w:w="4596" w:type="pct"/>
            <w:noWrap/>
            <w:vAlign w:val="center"/>
          </w:tcPr>
          <w:p>
            <w:pPr>
              <w:pStyle w:val="34"/>
              <w:keepNext w:val="0"/>
              <w:keepLines w:val="0"/>
              <w:pageBreakBefore w:val="0"/>
              <w:widowControl/>
              <w:kinsoku/>
              <w:wordWrap/>
              <w:overflowPunct/>
              <w:topLinePunct w:val="0"/>
              <w:autoSpaceDE/>
              <w:autoSpaceDN/>
              <w:bidi w:val="0"/>
              <w:adjustRightInd/>
              <w:snapToGrid w:val="0"/>
              <w:spacing w:line="360" w:lineRule="auto"/>
              <w:ind w:left="0" w:right="0" w:firstLine="482" w:firstLineChars="200"/>
              <w:jc w:val="both"/>
              <w:textAlignment w:val="auto"/>
              <w:rPr>
                <w:rFonts w:hint="default" w:ascii="Times New Roman" w:hAnsi="Times New Roman" w:eastAsia="宋体" w:cs="Times New Roman"/>
                <w:b/>
                <w:bCs/>
                <w:color w:val="auto"/>
                <w:spacing w:val="0"/>
                <w:kern w:val="21"/>
                <w:position w:val="0"/>
                <w:sz w:val="24"/>
              </w:rPr>
            </w:pPr>
            <w:r>
              <w:rPr>
                <w:rFonts w:hint="default" w:ascii="Times New Roman" w:hAnsi="Times New Roman" w:eastAsia="宋体" w:cs="Times New Roman"/>
                <w:b/>
                <w:bCs/>
                <w:color w:val="auto"/>
                <w:spacing w:val="0"/>
                <w:kern w:val="21"/>
                <w:position w:val="0"/>
                <w:sz w:val="24"/>
              </w:rPr>
              <w:t>1、大气污染物排放标准</w:t>
            </w:r>
          </w:p>
          <w:p>
            <w:pPr>
              <w:pStyle w:val="141"/>
              <w:keepNext w:val="0"/>
              <w:keepLines w:val="0"/>
              <w:pageBreakBefore w:val="0"/>
              <w:kinsoku/>
              <w:wordWrap/>
              <w:overflowPunct/>
              <w:topLinePunct w:val="0"/>
              <w:autoSpaceDE/>
              <w:autoSpaceDN/>
              <w:bidi w:val="0"/>
              <w:adjustRightInd/>
              <w:snapToGrid w:val="0"/>
              <w:spacing w:line="360" w:lineRule="auto"/>
              <w:ind w:left="0" w:right="0" w:firstLine="480" w:firstLineChars="200"/>
              <w:textAlignment w:val="auto"/>
              <w:rPr>
                <w:rFonts w:hint="default" w:ascii="Times New Roman" w:hAnsi="Times New Roman" w:eastAsia="宋体" w:cs="Times New Roman"/>
                <w:color w:val="auto"/>
                <w:spacing w:val="0"/>
                <w:kern w:val="21"/>
                <w:position w:val="0"/>
                <w:sz w:val="24"/>
                <w:szCs w:val="24"/>
                <w:highlight w:val="none"/>
                <w:lang w:val="en-US" w:eastAsia="zh-CN"/>
              </w:rPr>
            </w:pPr>
            <w:r>
              <w:rPr>
                <w:rFonts w:hint="default" w:ascii="Times New Roman" w:hAnsi="Times New Roman" w:eastAsia="宋体" w:cs="Times New Roman"/>
                <w:color w:val="auto"/>
                <w:spacing w:val="0"/>
                <w:kern w:val="21"/>
                <w:position w:val="0"/>
                <w:sz w:val="24"/>
                <w:szCs w:val="24"/>
                <w:lang w:val="en-US" w:eastAsia="zh-CN"/>
              </w:rPr>
              <w:t>本</w:t>
            </w:r>
            <w:r>
              <w:rPr>
                <w:rFonts w:hint="default" w:ascii="Times New Roman" w:hAnsi="Times New Roman" w:eastAsia="宋体" w:cs="Times New Roman"/>
                <w:color w:val="auto"/>
                <w:spacing w:val="0"/>
                <w:kern w:val="21"/>
                <w:position w:val="0"/>
                <w:sz w:val="24"/>
                <w:szCs w:val="24"/>
                <w:lang w:eastAsia="zh-CN"/>
              </w:rPr>
              <w:t>项目</w:t>
            </w:r>
            <w:r>
              <w:rPr>
                <w:rFonts w:hint="default" w:ascii="Times New Roman" w:hAnsi="Times New Roman" w:eastAsia="宋体" w:cs="Times New Roman"/>
                <w:color w:val="auto"/>
                <w:spacing w:val="0"/>
                <w:kern w:val="21"/>
                <w:position w:val="0"/>
                <w:sz w:val="24"/>
                <w:szCs w:val="24"/>
                <w:lang w:val="en-US" w:eastAsia="zh-CN"/>
              </w:rPr>
              <w:t>有组织非甲烷总烃、苯乙烯、颗粒物执行</w:t>
            </w:r>
            <w:r>
              <w:rPr>
                <w:rFonts w:hint="default" w:ascii="Times New Roman" w:hAnsi="Times New Roman" w:eastAsia="宋体" w:cs="Times New Roman"/>
                <w:color w:val="auto"/>
                <w:spacing w:val="0"/>
                <w:kern w:val="21"/>
                <w:position w:val="0"/>
                <w:sz w:val="24"/>
              </w:rPr>
              <w:t>《合成树脂工业污染物排放标准》（GB31572-2015含2024年修改单）</w:t>
            </w:r>
            <w:r>
              <w:rPr>
                <w:rFonts w:hint="default" w:ascii="Times New Roman" w:hAnsi="Times New Roman" w:eastAsia="宋体" w:cs="Times New Roman"/>
                <w:color w:val="auto"/>
                <w:spacing w:val="0"/>
                <w:kern w:val="21"/>
                <w:position w:val="0"/>
                <w:sz w:val="24"/>
                <w:lang w:val="en-US" w:eastAsia="zh-CN"/>
              </w:rPr>
              <w:t>表</w:t>
            </w:r>
            <w:r>
              <w:rPr>
                <w:rFonts w:hint="default" w:ascii="Times New Roman" w:hAnsi="Times New Roman" w:cs="Times New Roman"/>
                <w:color w:val="auto"/>
                <w:spacing w:val="0"/>
                <w:kern w:val="21"/>
                <w:position w:val="0"/>
                <w:sz w:val="24"/>
                <w:lang w:val="en-US" w:eastAsia="zh-CN"/>
              </w:rPr>
              <w:t>5</w:t>
            </w:r>
            <w:r>
              <w:rPr>
                <w:rFonts w:hint="default" w:ascii="Times New Roman" w:hAnsi="Times New Roman" w:eastAsia="宋体" w:cs="Times New Roman"/>
                <w:color w:val="auto"/>
                <w:spacing w:val="0"/>
                <w:kern w:val="21"/>
                <w:position w:val="0"/>
                <w:sz w:val="24"/>
                <w:lang w:val="en-US" w:eastAsia="zh-CN"/>
              </w:rPr>
              <w:t>大气污染物</w:t>
            </w:r>
            <w:r>
              <w:rPr>
                <w:rFonts w:hint="default" w:ascii="Times New Roman" w:hAnsi="Times New Roman" w:cs="Times New Roman"/>
                <w:color w:val="auto"/>
                <w:spacing w:val="0"/>
                <w:kern w:val="21"/>
                <w:position w:val="0"/>
                <w:sz w:val="24"/>
                <w:lang w:val="en-US" w:eastAsia="zh-CN"/>
              </w:rPr>
              <w:t>特别</w:t>
            </w:r>
            <w:r>
              <w:rPr>
                <w:rFonts w:hint="default" w:ascii="Times New Roman" w:hAnsi="Times New Roman" w:eastAsia="宋体" w:cs="Times New Roman"/>
                <w:color w:val="auto"/>
                <w:spacing w:val="0"/>
                <w:kern w:val="21"/>
                <w:position w:val="0"/>
                <w:sz w:val="24"/>
                <w:lang w:val="en-US" w:eastAsia="zh-CN"/>
              </w:rPr>
              <w:t>排放限值；</w:t>
            </w:r>
            <w:r>
              <w:rPr>
                <w:rFonts w:hint="default" w:ascii="Times New Roman" w:hAnsi="Times New Roman" w:eastAsia="宋体" w:cs="Times New Roman"/>
                <w:color w:val="auto"/>
                <w:spacing w:val="0"/>
                <w:kern w:val="21"/>
                <w:position w:val="0"/>
                <w:sz w:val="24"/>
              </w:rPr>
              <w:t>厂界无组织</w:t>
            </w:r>
            <w:r>
              <w:rPr>
                <w:rFonts w:hint="default" w:ascii="Times New Roman" w:hAnsi="Times New Roman" w:eastAsia="宋体" w:cs="Times New Roman"/>
                <w:color w:val="auto"/>
                <w:spacing w:val="0"/>
                <w:kern w:val="21"/>
                <w:position w:val="0"/>
                <w:sz w:val="24"/>
                <w:lang w:val="en-US" w:eastAsia="zh-CN"/>
              </w:rPr>
              <w:t>非甲烷总烃、颗粒物</w:t>
            </w:r>
            <w:r>
              <w:rPr>
                <w:rFonts w:hint="default" w:ascii="Times New Roman" w:hAnsi="Times New Roman" w:eastAsia="宋体" w:cs="Times New Roman"/>
                <w:color w:val="auto"/>
                <w:spacing w:val="0"/>
                <w:kern w:val="21"/>
                <w:position w:val="0"/>
                <w:sz w:val="24"/>
              </w:rPr>
              <w:t>排放执行《合成树脂工业污染物排放标准》（GB31572-2015含2024年修改单）</w:t>
            </w:r>
            <w:r>
              <w:rPr>
                <w:rFonts w:hint="default" w:ascii="Times New Roman" w:hAnsi="Times New Roman" w:eastAsia="宋体" w:cs="Times New Roman"/>
                <w:color w:val="auto"/>
                <w:spacing w:val="0"/>
                <w:kern w:val="21"/>
                <w:position w:val="0"/>
                <w:sz w:val="24"/>
                <w:lang w:val="en-US" w:eastAsia="zh-CN"/>
              </w:rPr>
              <w:t>表9</w:t>
            </w:r>
            <w:r>
              <w:rPr>
                <w:rFonts w:hint="default" w:ascii="Times New Roman" w:hAnsi="Times New Roman" w:eastAsia="宋体" w:cs="Times New Roman"/>
                <w:color w:val="auto"/>
                <w:spacing w:val="0"/>
                <w:kern w:val="21"/>
                <w:position w:val="0"/>
                <w:sz w:val="24"/>
                <w:szCs w:val="24"/>
              </w:rPr>
              <w:t>中的企业边界大气污染物浓度限值</w:t>
            </w:r>
            <w:r>
              <w:rPr>
                <w:rFonts w:hint="default" w:ascii="Times New Roman" w:hAnsi="Times New Roman" w:eastAsia="宋体" w:cs="Times New Roman"/>
                <w:color w:val="auto"/>
                <w:spacing w:val="0"/>
                <w:kern w:val="21"/>
                <w:position w:val="0"/>
                <w:sz w:val="24"/>
                <w:lang w:val="en-US" w:eastAsia="zh-CN"/>
              </w:rPr>
              <w:t>；</w:t>
            </w:r>
            <w:r>
              <w:rPr>
                <w:rFonts w:hint="default" w:ascii="Times New Roman" w:hAnsi="Times New Roman" w:eastAsia="宋体" w:cs="Times New Roman"/>
                <w:b w:val="0"/>
                <w:bCs w:val="0"/>
                <w:color w:val="auto"/>
                <w:spacing w:val="0"/>
                <w:kern w:val="21"/>
                <w:position w:val="0"/>
                <w:sz w:val="24"/>
                <w:szCs w:val="24"/>
                <w:lang w:val="en-US" w:eastAsia="zh-CN"/>
              </w:rPr>
              <w:t>臭气浓度执行《恶臭污染物排放标准》（GB14554-93）表2排放标准；</w:t>
            </w:r>
            <w:r>
              <w:rPr>
                <w:rFonts w:hint="default" w:ascii="Times New Roman" w:hAnsi="Times New Roman" w:eastAsia="宋体" w:cs="Times New Roman"/>
                <w:color w:val="auto"/>
                <w:spacing w:val="0"/>
                <w:kern w:val="21"/>
                <w:position w:val="0"/>
                <w:sz w:val="24"/>
                <w:szCs w:val="24"/>
                <w:lang w:val="en-US" w:eastAsia="zh-CN"/>
              </w:rPr>
              <w:t>厂界臭气浓度、苯乙烯</w:t>
            </w:r>
            <w:r>
              <w:rPr>
                <w:rFonts w:hint="default" w:ascii="Times New Roman" w:hAnsi="Times New Roman" w:eastAsia="宋体" w:cs="Times New Roman"/>
                <w:color w:val="auto"/>
                <w:spacing w:val="0"/>
                <w:kern w:val="21"/>
                <w:position w:val="0"/>
                <w:sz w:val="24"/>
                <w:szCs w:val="24"/>
                <w:lang w:eastAsia="zh-CN"/>
              </w:rPr>
              <w:t>执行《恶臭污染物排放标准》（GB14554-93）</w:t>
            </w:r>
            <w:r>
              <w:rPr>
                <w:rFonts w:hint="default" w:ascii="Times New Roman" w:hAnsi="Times New Roman" w:eastAsia="宋体" w:cs="Times New Roman"/>
                <w:color w:val="auto"/>
                <w:spacing w:val="0"/>
                <w:kern w:val="21"/>
                <w:position w:val="0"/>
                <w:sz w:val="24"/>
                <w:szCs w:val="24"/>
                <w:lang w:val="en-US" w:eastAsia="zh-CN"/>
              </w:rPr>
              <w:t>表1中二级新扩改建标准</w:t>
            </w:r>
            <w:r>
              <w:rPr>
                <w:rFonts w:hint="default" w:ascii="Times New Roman" w:hAnsi="Times New Roman" w:eastAsia="宋体" w:cs="Times New Roman"/>
                <w:color w:val="auto"/>
                <w:spacing w:val="0"/>
                <w:kern w:val="21"/>
                <w:position w:val="0"/>
                <w:sz w:val="24"/>
                <w:szCs w:val="24"/>
                <w:lang w:eastAsia="zh-CN"/>
              </w:rPr>
              <w:t>；</w:t>
            </w:r>
            <w:r>
              <w:rPr>
                <w:rFonts w:hint="default" w:ascii="Times New Roman" w:hAnsi="Times New Roman" w:eastAsia="宋体" w:cs="Times New Roman"/>
                <w:color w:val="auto"/>
                <w:spacing w:val="0"/>
                <w:kern w:val="21"/>
                <w:position w:val="0"/>
                <w:sz w:val="24"/>
                <w:lang w:val="en-US" w:eastAsia="zh-CN"/>
              </w:rPr>
              <w:t>厂区内非甲烷总烃执行《挥发性有机物无组织排放控制标准》（GB37822-2019）中附录A中的</w:t>
            </w:r>
            <w:r>
              <w:rPr>
                <w:rFonts w:hint="default" w:ascii="Times New Roman" w:hAnsi="Times New Roman" w:cs="Times New Roman"/>
                <w:color w:val="auto"/>
                <w:spacing w:val="0"/>
                <w:kern w:val="21"/>
                <w:position w:val="0"/>
                <w:sz w:val="24"/>
                <w:lang w:val="en-US" w:eastAsia="zh-CN"/>
              </w:rPr>
              <w:t>特别</w:t>
            </w:r>
            <w:r>
              <w:rPr>
                <w:rFonts w:hint="default" w:ascii="Times New Roman" w:hAnsi="Times New Roman" w:eastAsia="宋体" w:cs="Times New Roman"/>
                <w:color w:val="auto"/>
                <w:spacing w:val="0"/>
                <w:kern w:val="21"/>
                <w:position w:val="0"/>
                <w:sz w:val="24"/>
                <w:lang w:val="en-US" w:eastAsia="zh-CN"/>
              </w:rPr>
              <w:t>限值，</w:t>
            </w:r>
            <w:r>
              <w:rPr>
                <w:rFonts w:hint="default" w:ascii="Times New Roman" w:hAnsi="Times New Roman" w:eastAsia="宋体" w:cs="Times New Roman"/>
                <w:color w:val="auto"/>
                <w:spacing w:val="0"/>
                <w:kern w:val="21"/>
                <w:position w:val="0"/>
                <w:sz w:val="24"/>
                <w:szCs w:val="24"/>
                <w:highlight w:val="none"/>
                <w:lang w:val="en-US" w:eastAsia="zh-CN"/>
              </w:rPr>
              <w:t>具体见下表。</w:t>
            </w:r>
          </w:p>
          <w:p>
            <w:pPr>
              <w:pStyle w:val="45"/>
              <w:keepNext w:val="0"/>
              <w:keepLines w:val="0"/>
              <w:pageBreakBefore w:val="0"/>
              <w:widowControl w:val="0"/>
              <w:kinsoku/>
              <w:wordWrap/>
              <w:overflowPunct/>
              <w:topLinePunct w:val="0"/>
              <w:autoSpaceDE/>
              <w:autoSpaceDN/>
              <w:bidi w:val="0"/>
              <w:adjustRightInd/>
              <w:snapToGrid w:val="0"/>
              <w:spacing w:before="0" w:line="240" w:lineRule="auto"/>
              <w:ind w:firstLine="0" w:firstLineChars="0"/>
              <w:textAlignment w:val="auto"/>
              <w:rPr>
                <w:rFonts w:hint="default" w:ascii="Times New Roman" w:hAnsi="Times New Roman" w:eastAsia="宋体" w:cs="Times New Roman"/>
                <w:b/>
                <w:bCs/>
                <w:color w:val="auto"/>
                <w:spacing w:val="0"/>
                <w:kern w:val="21"/>
                <w:position w:val="0"/>
                <w:sz w:val="21"/>
                <w:szCs w:val="21"/>
                <w:highlight w:val="none"/>
                <w:lang w:val="en-US" w:eastAsia="zh-CN" w:bidi="ar-SA"/>
              </w:rPr>
            </w:pPr>
            <w:r>
              <w:rPr>
                <w:rFonts w:hint="default" w:ascii="Times New Roman" w:hAnsi="Times New Roman" w:eastAsia="宋体" w:cs="Times New Roman"/>
                <w:b/>
                <w:bCs/>
                <w:color w:val="auto"/>
                <w:spacing w:val="0"/>
                <w:kern w:val="21"/>
                <w:position w:val="0"/>
                <w:sz w:val="21"/>
                <w:szCs w:val="21"/>
                <w:highlight w:val="none"/>
                <w:lang w:val="en-US" w:eastAsia="zh-CN" w:bidi="ar-SA"/>
              </w:rPr>
              <w:t>表3-4  合成树脂工业污染物排放标准  单位：mg/m</w:t>
            </w:r>
            <w:r>
              <w:rPr>
                <w:rFonts w:hint="default" w:ascii="Times New Roman" w:hAnsi="Times New Roman" w:eastAsia="宋体" w:cs="Times New Roman"/>
                <w:b/>
                <w:bCs/>
                <w:color w:val="auto"/>
                <w:spacing w:val="0"/>
                <w:kern w:val="21"/>
                <w:position w:val="0"/>
                <w:sz w:val="21"/>
                <w:szCs w:val="21"/>
                <w:highlight w:val="none"/>
                <w:vertAlign w:val="superscript"/>
                <w:lang w:val="en-US" w:eastAsia="zh-CN" w:bidi="ar-SA"/>
              </w:rPr>
              <w:t>3</w:t>
            </w:r>
          </w:p>
          <w:tbl>
            <w:tblPr>
              <w:tblStyle w:val="3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985"/>
              <w:gridCol w:w="2452"/>
              <w:gridCol w:w="310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950"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污染物项目</w:t>
                  </w:r>
                </w:p>
              </w:tc>
              <w:tc>
                <w:tcPr>
                  <w:tcW w:w="609"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排放限值</w:t>
                  </w:r>
                </w:p>
              </w:tc>
              <w:tc>
                <w:tcPr>
                  <w:tcW w:w="1517"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污染物排放监控位置</w:t>
                  </w:r>
                </w:p>
              </w:tc>
              <w:tc>
                <w:tcPr>
                  <w:tcW w:w="1922"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企业边界大气污染物浓度限值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0"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非甲烷总烃</w:t>
                  </w:r>
                </w:p>
              </w:tc>
              <w:tc>
                <w:tcPr>
                  <w:tcW w:w="609"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60</w:t>
                  </w:r>
                </w:p>
              </w:tc>
              <w:tc>
                <w:tcPr>
                  <w:tcW w:w="1517" w:type="pct"/>
                  <w:vMerge w:val="restar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车间或生产设施排气筒</w:t>
                  </w:r>
                </w:p>
              </w:tc>
              <w:tc>
                <w:tcPr>
                  <w:tcW w:w="1922"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950"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颗粒物</w:t>
                  </w:r>
                </w:p>
              </w:tc>
              <w:tc>
                <w:tcPr>
                  <w:tcW w:w="609"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2</w:t>
                  </w:r>
                  <w:r>
                    <w:rPr>
                      <w:rFonts w:hint="default" w:ascii="Times New Roman" w:hAnsi="Times New Roman" w:eastAsia="宋体" w:cs="Times New Roman"/>
                      <w:b w:val="0"/>
                      <w:bCs w:val="0"/>
                      <w:color w:val="auto"/>
                      <w:spacing w:val="0"/>
                      <w:kern w:val="21"/>
                      <w:position w:val="0"/>
                      <w:sz w:val="18"/>
                      <w:szCs w:val="18"/>
                      <w:highlight w:val="none"/>
                    </w:rPr>
                    <w:t>0</w:t>
                  </w:r>
                </w:p>
              </w:tc>
              <w:tc>
                <w:tcPr>
                  <w:tcW w:w="1517" w:type="pct"/>
                  <w:vMerge w:val="continue"/>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p>
              </w:tc>
              <w:tc>
                <w:tcPr>
                  <w:tcW w:w="1922"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950"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苯乙烯</w:t>
                  </w:r>
                </w:p>
              </w:tc>
              <w:tc>
                <w:tcPr>
                  <w:tcW w:w="609"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2</w:t>
                  </w:r>
                  <w:r>
                    <w:rPr>
                      <w:rFonts w:hint="default" w:ascii="Times New Roman" w:hAnsi="Times New Roman" w:eastAsia="宋体" w:cs="Times New Roman"/>
                      <w:b w:val="0"/>
                      <w:bCs w:val="0"/>
                      <w:color w:val="auto"/>
                      <w:spacing w:val="0"/>
                      <w:kern w:val="21"/>
                      <w:position w:val="0"/>
                      <w:sz w:val="18"/>
                      <w:szCs w:val="18"/>
                      <w:highlight w:val="none"/>
                    </w:rPr>
                    <w:t>0</w:t>
                  </w:r>
                </w:p>
              </w:tc>
              <w:tc>
                <w:tcPr>
                  <w:tcW w:w="1517" w:type="pct"/>
                  <w:vMerge w:val="continue"/>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p>
              </w:tc>
              <w:tc>
                <w:tcPr>
                  <w:tcW w:w="1922"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950"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氯化氢</w:t>
                  </w:r>
                </w:p>
              </w:tc>
              <w:tc>
                <w:tcPr>
                  <w:tcW w:w="609"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20</w:t>
                  </w:r>
                </w:p>
              </w:tc>
              <w:tc>
                <w:tcPr>
                  <w:tcW w:w="1517" w:type="pct"/>
                  <w:vMerge w:val="continue"/>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p>
              </w:tc>
              <w:tc>
                <w:tcPr>
                  <w:tcW w:w="1922" w:type="pct"/>
                  <w:tcBorders>
                    <w:tl2br w:val="nil"/>
                    <w:tr2bl w:val="nil"/>
                  </w:tcBorders>
                  <w:noWrap w:val="0"/>
                  <w:vAlign w:val="center"/>
                </w:tcPr>
                <w:p>
                  <w:pPr>
                    <w:keepNext w:val="0"/>
                    <w:keepLines w:val="0"/>
                    <w:pageBreakBefore w:val="0"/>
                    <w:kinsoku/>
                    <w:wordWrap/>
                    <w:overflowPunct/>
                    <w:topLinePunct w:val="0"/>
                    <w:bidi w:val="0"/>
                    <w:adjustRightInd/>
                    <w:snapToGrid w:val="0"/>
                    <w:jc w:val="center"/>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0.2</w:t>
                  </w:r>
                </w:p>
              </w:tc>
            </w:tr>
          </w:tbl>
          <w:p>
            <w:pPr>
              <w:pStyle w:val="45"/>
              <w:keepNext w:val="0"/>
              <w:keepLines w:val="0"/>
              <w:pageBreakBefore w:val="0"/>
              <w:widowControl w:val="0"/>
              <w:kinsoku/>
              <w:wordWrap/>
              <w:overflowPunct/>
              <w:topLinePunct w:val="0"/>
              <w:autoSpaceDE/>
              <w:autoSpaceDN/>
              <w:bidi w:val="0"/>
              <w:adjustRightInd/>
              <w:snapToGrid w:val="0"/>
              <w:spacing w:before="0" w:line="240" w:lineRule="auto"/>
              <w:ind w:firstLine="0" w:firstLineChars="0"/>
              <w:textAlignment w:val="auto"/>
              <w:rPr>
                <w:rFonts w:hint="default" w:ascii="Times New Roman" w:hAnsi="Times New Roman" w:eastAsia="宋体" w:cs="Times New Roman"/>
                <w:b/>
                <w:bCs/>
                <w:color w:val="auto"/>
                <w:spacing w:val="0"/>
                <w:kern w:val="21"/>
                <w:position w:val="0"/>
                <w:sz w:val="21"/>
                <w:szCs w:val="21"/>
                <w:highlight w:val="none"/>
                <w:lang w:val="en-US" w:eastAsia="zh-CN" w:bidi="ar-SA"/>
              </w:rPr>
            </w:pPr>
            <w:r>
              <w:rPr>
                <w:rFonts w:hint="default" w:ascii="Times New Roman" w:hAnsi="Times New Roman" w:eastAsia="宋体" w:cs="Times New Roman"/>
                <w:b/>
                <w:bCs/>
                <w:color w:val="auto"/>
                <w:spacing w:val="0"/>
                <w:kern w:val="21"/>
                <w:position w:val="0"/>
                <w:sz w:val="21"/>
                <w:szCs w:val="21"/>
                <w:highlight w:val="none"/>
                <w:lang w:val="en-US" w:eastAsia="zh-CN" w:bidi="ar-SA"/>
              </w:rPr>
              <w:t>表3-5  《恶臭污染物排放标准》（GB14554-93）（摘录）</w:t>
            </w:r>
          </w:p>
          <w:tbl>
            <w:tblPr>
              <w:tblStyle w:val="3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094"/>
              <w:gridCol w:w="1899"/>
              <w:gridCol w:w="1689"/>
              <w:gridCol w:w="274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6" w:type="pct"/>
                  <w:vMerge w:val="restar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序号</w:t>
                  </w:r>
                </w:p>
              </w:tc>
              <w:tc>
                <w:tcPr>
                  <w:tcW w:w="677" w:type="pct"/>
                  <w:vMerge w:val="restar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污染物</w:t>
                  </w:r>
                </w:p>
              </w:tc>
              <w:tc>
                <w:tcPr>
                  <w:tcW w:w="2220" w:type="pct"/>
                  <w:gridSpan w:val="2"/>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最高允许排放速率</w:t>
                  </w:r>
                </w:p>
              </w:tc>
              <w:tc>
                <w:tcPr>
                  <w:tcW w:w="1696"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厂界标准限值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b w:val="0"/>
                      <w:bCs w:val="0"/>
                      <w:color w:val="auto"/>
                      <w:spacing w:val="0"/>
                      <w:kern w:val="21"/>
                      <w:position w:val="0"/>
                      <w:sz w:val="18"/>
                      <w:szCs w:val="18"/>
                      <w:highlight w:val="none"/>
                    </w:rPr>
                  </w:pPr>
                </w:p>
              </w:tc>
              <w:tc>
                <w:tcPr>
                  <w:tcW w:w="67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b w:val="0"/>
                      <w:bCs w:val="0"/>
                      <w:color w:val="auto"/>
                      <w:spacing w:val="0"/>
                      <w:kern w:val="21"/>
                      <w:position w:val="0"/>
                      <w:sz w:val="18"/>
                      <w:szCs w:val="18"/>
                      <w:highlight w:val="none"/>
                    </w:rPr>
                  </w:pPr>
                </w:p>
              </w:tc>
              <w:tc>
                <w:tcPr>
                  <w:tcW w:w="1175"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rPr>
                  </w:pPr>
                  <w:r>
                    <w:rPr>
                      <w:rFonts w:hint="default" w:ascii="Times New Roman" w:hAnsi="Times New Roman" w:eastAsia="宋体" w:cs="Times New Roman"/>
                      <w:b w:val="0"/>
                      <w:bCs w:val="0"/>
                      <w:color w:val="auto"/>
                      <w:spacing w:val="0"/>
                      <w:kern w:val="21"/>
                      <w:position w:val="0"/>
                      <w:sz w:val="18"/>
                      <w:szCs w:val="18"/>
                      <w:highlight w:val="none"/>
                    </w:rPr>
                    <w:t>排气筒高度（m）</w:t>
                  </w:r>
                </w:p>
              </w:tc>
              <w:tc>
                <w:tcPr>
                  <w:tcW w:w="1044"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rPr>
                  </w:pPr>
                  <w:r>
                    <w:rPr>
                      <w:rFonts w:hint="default" w:ascii="Times New Roman" w:hAnsi="Times New Roman" w:eastAsia="宋体" w:cs="Times New Roman"/>
                      <w:b w:val="0"/>
                      <w:bCs w:val="0"/>
                      <w:color w:val="auto"/>
                      <w:spacing w:val="0"/>
                      <w:kern w:val="21"/>
                      <w:position w:val="0"/>
                      <w:sz w:val="18"/>
                      <w:szCs w:val="18"/>
                      <w:highlight w:val="none"/>
                    </w:rPr>
                    <w:t>二级（kg/h）</w:t>
                  </w:r>
                </w:p>
              </w:tc>
              <w:tc>
                <w:tcPr>
                  <w:tcW w:w="1696"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rPr>
                  </w:pPr>
                  <w:r>
                    <w:rPr>
                      <w:rFonts w:hint="default" w:ascii="Times New Roman" w:hAnsi="Times New Roman" w:eastAsia="宋体" w:cs="Times New Roman"/>
                      <w:b w:val="0"/>
                      <w:bCs w:val="0"/>
                      <w:color w:val="auto"/>
                      <w:spacing w:val="0"/>
                      <w:kern w:val="21"/>
                      <w:position w:val="0"/>
                      <w:sz w:val="18"/>
                      <w:szCs w:val="18"/>
                      <w:highlight w:val="none"/>
                    </w:rPr>
                    <w:t>新改扩建，二级（mg/m</w:t>
                  </w:r>
                  <w:r>
                    <w:rPr>
                      <w:rFonts w:hint="default" w:ascii="Times New Roman" w:hAnsi="Times New Roman" w:eastAsia="宋体" w:cs="Times New Roman"/>
                      <w:b w:val="0"/>
                      <w:bCs w:val="0"/>
                      <w:color w:val="auto"/>
                      <w:spacing w:val="0"/>
                      <w:kern w:val="21"/>
                      <w:position w:val="0"/>
                      <w:sz w:val="18"/>
                      <w:szCs w:val="18"/>
                      <w:highlight w:val="none"/>
                      <w:vertAlign w:val="superscript"/>
                    </w:rPr>
                    <w:t>3</w:t>
                  </w:r>
                  <w:r>
                    <w:rPr>
                      <w:rFonts w:hint="default" w:ascii="Times New Roman" w:hAnsi="Times New Roman" w:eastAsia="宋体" w:cs="Times New Roman"/>
                      <w:b w:val="0"/>
                      <w:bCs w:val="0"/>
                      <w:color w:val="auto"/>
                      <w:spacing w:val="0"/>
                      <w:kern w:val="21"/>
                      <w:position w:val="0"/>
                      <w:sz w:val="18"/>
                      <w:szCs w:val="18"/>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1</w:t>
                  </w:r>
                </w:p>
              </w:tc>
              <w:tc>
                <w:tcPr>
                  <w:tcW w:w="677"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臭气浓度</w:t>
                  </w:r>
                </w:p>
              </w:tc>
              <w:tc>
                <w:tcPr>
                  <w:tcW w:w="11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15</w:t>
                  </w:r>
                </w:p>
              </w:tc>
              <w:tc>
                <w:tcPr>
                  <w:tcW w:w="1044"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2000（无量纲）</w:t>
                  </w:r>
                </w:p>
              </w:tc>
              <w:tc>
                <w:tcPr>
                  <w:tcW w:w="1696"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20（无量纲）</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40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2</w:t>
                  </w:r>
                </w:p>
              </w:tc>
              <w:tc>
                <w:tcPr>
                  <w:tcW w:w="677"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苯乙烯</w:t>
                  </w:r>
                </w:p>
              </w:tc>
              <w:tc>
                <w:tcPr>
                  <w:tcW w:w="1175"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w:t>
                  </w:r>
                </w:p>
              </w:tc>
              <w:tc>
                <w:tcPr>
                  <w:tcW w:w="104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w:t>
                  </w:r>
                </w:p>
              </w:tc>
              <w:tc>
                <w:tcPr>
                  <w:tcW w:w="169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5.0</w:t>
                  </w:r>
                </w:p>
              </w:tc>
            </w:tr>
          </w:tbl>
          <w:p>
            <w:pPr>
              <w:pStyle w:val="141"/>
              <w:keepNext w:val="0"/>
              <w:keepLines w:val="0"/>
              <w:pageBreakBefore w:val="0"/>
              <w:widowControl w:val="0"/>
              <w:kinsoku/>
              <w:wordWrap/>
              <w:overflowPunct/>
              <w:topLinePunct w:val="0"/>
              <w:autoSpaceDE/>
              <w:autoSpaceDN/>
              <w:bidi w:val="0"/>
              <w:adjustRightInd/>
              <w:snapToGrid w:val="0"/>
              <w:spacing w:line="360" w:lineRule="auto"/>
              <w:ind w:left="0" w:right="0" w:firstLine="480" w:firstLineChars="200"/>
              <w:textAlignment w:val="auto"/>
              <w:rPr>
                <w:rFonts w:hint="default" w:ascii="Times New Roman" w:hAnsi="Times New Roman" w:eastAsia="宋体" w:cs="Times New Roman"/>
                <w:color w:val="auto"/>
                <w:spacing w:val="0"/>
                <w:kern w:val="21"/>
                <w:position w:val="0"/>
                <w:sz w:val="24"/>
                <w:szCs w:val="24"/>
                <w:highlight w:val="none"/>
              </w:rPr>
            </w:pPr>
            <w:r>
              <w:rPr>
                <w:rFonts w:hint="default" w:ascii="Times New Roman" w:hAnsi="Times New Roman" w:eastAsia="宋体" w:cs="Times New Roman"/>
                <w:color w:val="auto"/>
                <w:spacing w:val="0"/>
                <w:kern w:val="21"/>
                <w:position w:val="0"/>
                <w:sz w:val="24"/>
                <w:szCs w:val="24"/>
                <w:highlight w:val="none"/>
              </w:rPr>
              <w:t>根据《挥发性有机物无组织排放控制标准》（GB37822-2019），厂区内VOCs无组织排放监控要求见下表。</w:t>
            </w:r>
          </w:p>
          <w:p>
            <w:pPr>
              <w:pStyle w:val="45"/>
              <w:keepNext w:val="0"/>
              <w:keepLines w:val="0"/>
              <w:pageBreakBefore w:val="0"/>
              <w:widowControl w:val="0"/>
              <w:kinsoku/>
              <w:wordWrap/>
              <w:overflowPunct/>
              <w:topLinePunct w:val="0"/>
              <w:autoSpaceDE/>
              <w:autoSpaceDN/>
              <w:bidi w:val="0"/>
              <w:adjustRightInd/>
              <w:snapToGrid w:val="0"/>
              <w:spacing w:before="0" w:line="240" w:lineRule="auto"/>
              <w:ind w:firstLine="0" w:firstLineChars="0"/>
              <w:textAlignment w:val="auto"/>
              <w:rPr>
                <w:rFonts w:hint="default" w:ascii="Times New Roman" w:hAnsi="Times New Roman" w:eastAsia="宋体" w:cs="Times New Roman"/>
                <w:b/>
                <w:bCs/>
                <w:color w:val="auto"/>
                <w:spacing w:val="0"/>
                <w:kern w:val="21"/>
                <w:position w:val="0"/>
                <w:sz w:val="21"/>
                <w:szCs w:val="21"/>
                <w:highlight w:val="none"/>
                <w:lang w:val="en-US" w:eastAsia="zh-CN" w:bidi="ar-SA"/>
              </w:rPr>
            </w:pPr>
            <w:r>
              <w:rPr>
                <w:rFonts w:hint="default" w:ascii="Times New Roman" w:hAnsi="Times New Roman" w:eastAsia="宋体" w:cs="Times New Roman"/>
                <w:b/>
                <w:bCs/>
                <w:color w:val="auto"/>
                <w:spacing w:val="0"/>
                <w:kern w:val="21"/>
                <w:position w:val="0"/>
                <w:sz w:val="21"/>
                <w:szCs w:val="21"/>
                <w:highlight w:val="none"/>
                <w:lang w:val="en-US" w:eastAsia="zh-CN" w:bidi="ar-SA"/>
              </w:rPr>
              <w:t>表3-6  厂区内无组织排放限值</w:t>
            </w:r>
          </w:p>
          <w:tbl>
            <w:tblPr>
              <w:tblStyle w:val="3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1061"/>
              <w:gridCol w:w="2561"/>
              <w:gridCol w:w="21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1435"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污染项目</w:t>
                  </w:r>
                </w:p>
              </w:tc>
              <w:tc>
                <w:tcPr>
                  <w:tcW w:w="656"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排放限值</w:t>
                  </w:r>
                </w:p>
              </w:tc>
              <w:tc>
                <w:tcPr>
                  <w:tcW w:w="1584"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限值含义</w:t>
                  </w:r>
                </w:p>
              </w:tc>
              <w:tc>
                <w:tcPr>
                  <w:tcW w:w="1322"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eastAsia="zh-CN"/>
                    </w:rPr>
                  </w:pPr>
                  <w:r>
                    <w:rPr>
                      <w:rFonts w:hint="default" w:ascii="Times New Roman" w:hAnsi="Times New Roman" w:eastAsia="宋体" w:cs="Times New Roman"/>
                      <w:b w:val="0"/>
                      <w:bCs w:val="0"/>
                      <w:color w:val="auto"/>
                      <w:spacing w:val="0"/>
                      <w:kern w:val="21"/>
                      <w:position w:val="0"/>
                      <w:sz w:val="18"/>
                      <w:szCs w:val="18"/>
                      <w:highlight w:val="none"/>
                    </w:rPr>
                    <w:t>无组织排放监控位置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35" w:type="pct"/>
                  <w:vMerge w:val="restar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NMHC（非甲烷总烃）</w:t>
                  </w:r>
                </w:p>
              </w:tc>
              <w:tc>
                <w:tcPr>
                  <w:tcW w:w="65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6</w:t>
                  </w:r>
                  <w:r>
                    <w:rPr>
                      <w:rFonts w:hint="default" w:ascii="Times New Roman" w:hAnsi="Times New Roman" w:eastAsia="宋体" w:cs="Times New Roman"/>
                      <w:b w:val="0"/>
                      <w:bCs w:val="0"/>
                      <w:color w:val="auto"/>
                      <w:spacing w:val="0"/>
                      <w:kern w:val="21"/>
                      <w:position w:val="0"/>
                      <w:sz w:val="18"/>
                      <w:szCs w:val="18"/>
                      <w:highlight w:val="none"/>
                    </w:rPr>
                    <w:t>mg/m</w:t>
                  </w:r>
                  <w:r>
                    <w:rPr>
                      <w:rFonts w:hint="default" w:ascii="Times New Roman" w:hAnsi="Times New Roman" w:eastAsia="宋体" w:cs="Times New Roman"/>
                      <w:b w:val="0"/>
                      <w:bCs w:val="0"/>
                      <w:color w:val="auto"/>
                      <w:spacing w:val="0"/>
                      <w:kern w:val="21"/>
                      <w:position w:val="0"/>
                      <w:sz w:val="18"/>
                      <w:szCs w:val="18"/>
                      <w:highlight w:val="none"/>
                      <w:vertAlign w:val="superscript"/>
                      <w:lang w:val="en-US" w:eastAsia="zh-CN"/>
                    </w:rPr>
                    <w:t>3</w:t>
                  </w:r>
                </w:p>
              </w:tc>
              <w:tc>
                <w:tcPr>
                  <w:tcW w:w="1584"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监控点处1h平均浓度值</w:t>
                  </w:r>
                </w:p>
              </w:tc>
              <w:tc>
                <w:tcPr>
                  <w:tcW w:w="1322" w:type="pct"/>
                  <w:vMerge w:val="restar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在厂房外设置监控点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1435"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p>
              </w:tc>
              <w:tc>
                <w:tcPr>
                  <w:tcW w:w="65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cs="Times New Roman"/>
                      <w:b w:val="0"/>
                      <w:bCs w:val="0"/>
                      <w:color w:val="auto"/>
                      <w:spacing w:val="0"/>
                      <w:kern w:val="21"/>
                      <w:position w:val="0"/>
                      <w:sz w:val="18"/>
                      <w:szCs w:val="18"/>
                      <w:highlight w:val="none"/>
                      <w:lang w:val="en-US" w:eastAsia="zh-CN"/>
                    </w:rPr>
                    <w:t>20</w:t>
                  </w:r>
                  <w:r>
                    <w:rPr>
                      <w:rFonts w:hint="default" w:ascii="Times New Roman" w:hAnsi="Times New Roman" w:eastAsia="宋体" w:cs="Times New Roman"/>
                      <w:b w:val="0"/>
                      <w:bCs w:val="0"/>
                      <w:color w:val="auto"/>
                      <w:spacing w:val="0"/>
                      <w:kern w:val="21"/>
                      <w:position w:val="0"/>
                      <w:sz w:val="18"/>
                      <w:szCs w:val="18"/>
                      <w:highlight w:val="none"/>
                    </w:rPr>
                    <w:t>mg/m</w:t>
                  </w:r>
                  <w:r>
                    <w:rPr>
                      <w:rFonts w:hint="default" w:ascii="Times New Roman" w:hAnsi="Times New Roman" w:eastAsia="宋体" w:cs="Times New Roman"/>
                      <w:b w:val="0"/>
                      <w:bCs w:val="0"/>
                      <w:color w:val="auto"/>
                      <w:spacing w:val="0"/>
                      <w:kern w:val="21"/>
                      <w:position w:val="0"/>
                      <w:sz w:val="18"/>
                      <w:szCs w:val="18"/>
                      <w:highlight w:val="none"/>
                      <w:vertAlign w:val="superscript"/>
                      <w:lang w:val="en-US" w:eastAsia="zh-CN"/>
                    </w:rPr>
                    <w:t>3</w:t>
                  </w:r>
                </w:p>
              </w:tc>
              <w:tc>
                <w:tcPr>
                  <w:tcW w:w="1584" w:type="pct"/>
                  <w:tcBorders>
                    <w:tl2br w:val="nil"/>
                    <w:tr2bl w:val="nil"/>
                  </w:tcBorders>
                  <w:noWrap w:val="0"/>
                  <w:vAlign w:val="center"/>
                </w:tcPr>
                <w:p>
                  <w:pPr>
                    <w:pStyle w:val="141"/>
                    <w:keepNext w:val="0"/>
                    <w:keepLines w:val="0"/>
                    <w:pageBreakBefore w:val="0"/>
                    <w:widowControl w:val="0"/>
                    <w:kinsoku/>
                    <w:wordWrap/>
                    <w:overflowPunct/>
                    <w:topLinePunct w:val="0"/>
                    <w:autoSpaceDE/>
                    <w:autoSpaceDN/>
                    <w:bidi w:val="0"/>
                    <w:adjustRightInd/>
                    <w:snapToGrid w:val="0"/>
                    <w:spacing w:line="240" w:lineRule="auto"/>
                    <w:ind w:left="0" w:leftChars="0" w:right="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r>
                    <w:rPr>
                      <w:rFonts w:hint="default" w:ascii="Times New Roman" w:hAnsi="Times New Roman" w:eastAsia="宋体" w:cs="Times New Roman"/>
                      <w:b w:val="0"/>
                      <w:bCs w:val="0"/>
                      <w:color w:val="auto"/>
                      <w:spacing w:val="0"/>
                      <w:kern w:val="21"/>
                      <w:position w:val="0"/>
                      <w:sz w:val="18"/>
                      <w:szCs w:val="18"/>
                      <w:highlight w:val="none"/>
                    </w:rPr>
                    <w:t>监控点处任意一次浓度值</w:t>
                  </w:r>
                </w:p>
              </w:tc>
              <w:tc>
                <w:tcPr>
                  <w:tcW w:w="1322"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line="240" w:lineRule="auto"/>
                    <w:ind w:left="0" w:leftChars="0" w:right="0" w:rightChars="0" w:firstLine="0"/>
                    <w:jc w:val="center"/>
                    <w:textAlignment w:val="auto"/>
                    <w:rPr>
                      <w:rFonts w:hint="default" w:ascii="Times New Roman" w:hAnsi="Times New Roman" w:eastAsia="宋体" w:cs="Times New Roman"/>
                      <w:b w:val="0"/>
                      <w:bCs w:val="0"/>
                      <w:color w:val="auto"/>
                      <w:spacing w:val="0"/>
                      <w:kern w:val="21"/>
                      <w:position w:val="0"/>
                      <w:sz w:val="18"/>
                      <w:szCs w:val="18"/>
                      <w:highlight w:val="none"/>
                      <w:lang w:val="en-US" w:eastAsia="zh-CN"/>
                    </w:rPr>
                  </w:pPr>
                </w:p>
              </w:tc>
            </w:tr>
          </w:tbl>
          <w:p>
            <w:pPr>
              <w:pStyle w:val="34"/>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both"/>
              <w:textAlignment w:val="auto"/>
              <w:rPr>
                <w:rFonts w:hint="default" w:ascii="Times New Roman" w:hAnsi="Times New Roman" w:cs="Times New Roman"/>
                <w:b/>
                <w:bCs/>
                <w:color w:val="auto"/>
                <w:spacing w:val="0"/>
                <w:kern w:val="21"/>
                <w:position w:val="0"/>
                <w:sz w:val="24"/>
                <w:lang w:val="en-US" w:eastAsia="zh-CN"/>
              </w:rPr>
            </w:pPr>
            <w:r>
              <w:rPr>
                <w:rFonts w:hint="default" w:ascii="Times New Roman" w:hAnsi="Times New Roman" w:cs="Times New Roman"/>
                <w:b/>
                <w:bCs/>
                <w:color w:val="auto"/>
                <w:spacing w:val="0"/>
                <w:kern w:val="21"/>
                <w:position w:val="0"/>
                <w:sz w:val="24"/>
                <w:lang w:val="en-US" w:eastAsia="zh-CN"/>
              </w:rPr>
              <w:t>2、废水</w:t>
            </w:r>
            <w:r>
              <w:rPr>
                <w:rFonts w:hint="default" w:ascii="Times New Roman" w:hAnsi="Times New Roman" w:cs="Times New Roman"/>
                <w:b/>
                <w:bCs/>
                <w:color w:val="auto"/>
                <w:spacing w:val="0"/>
                <w:kern w:val="21"/>
                <w:position w:val="0"/>
                <w:sz w:val="24"/>
              </w:rPr>
              <w:t>排放标准</w:t>
            </w:r>
          </w:p>
          <w:p>
            <w:pPr>
              <w:pStyle w:val="3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auto"/>
                <w:spacing w:val="0"/>
                <w:kern w:val="21"/>
                <w:position w:val="0"/>
                <w:sz w:val="24"/>
                <w:szCs w:val="24"/>
                <w:lang w:val="en-US" w:eastAsia="zh-CN" w:bidi="ar-SA"/>
              </w:rPr>
            </w:pPr>
            <w:r>
              <w:rPr>
                <w:rFonts w:hint="default" w:ascii="Times New Roman" w:hAnsi="Times New Roman" w:eastAsia="宋体" w:cs="Times New Roman"/>
                <w:color w:val="auto"/>
                <w:spacing w:val="0"/>
                <w:kern w:val="21"/>
                <w:position w:val="0"/>
                <w:sz w:val="24"/>
                <w:szCs w:val="24"/>
                <w:lang w:val="en-US" w:eastAsia="zh-CN" w:bidi="ar-SA"/>
              </w:rPr>
              <w:t>本项目</w:t>
            </w:r>
            <w:r>
              <w:rPr>
                <w:rFonts w:hint="default" w:ascii="Times New Roman" w:hAnsi="Times New Roman" w:cs="Times New Roman"/>
                <w:color w:val="auto"/>
                <w:spacing w:val="0"/>
                <w:kern w:val="21"/>
                <w:position w:val="0"/>
                <w:sz w:val="24"/>
                <w:szCs w:val="24"/>
                <w:lang w:val="en-US" w:eastAsia="zh-CN" w:bidi="ar-SA"/>
              </w:rPr>
              <w:t>试压用水循环使用，不外排；冷却水循环使用，不外排；</w:t>
            </w:r>
            <w:r>
              <w:rPr>
                <w:rFonts w:hint="default" w:ascii="Times New Roman" w:hAnsi="Times New Roman" w:eastAsia="宋体" w:cs="Times New Roman"/>
                <w:color w:val="auto"/>
                <w:spacing w:val="0"/>
                <w:kern w:val="21"/>
                <w:position w:val="0"/>
                <w:sz w:val="24"/>
                <w:szCs w:val="24"/>
                <w:lang w:val="en-US" w:eastAsia="zh-CN" w:bidi="ar-SA"/>
              </w:rPr>
              <w:t>生活污水</w:t>
            </w:r>
            <w:r>
              <w:rPr>
                <w:rFonts w:hint="default" w:ascii="Times New Roman" w:hAnsi="Times New Roman" w:cs="Times New Roman"/>
                <w:color w:val="auto"/>
                <w:spacing w:val="0"/>
                <w:kern w:val="21"/>
                <w:position w:val="0"/>
                <w:sz w:val="24"/>
                <w:szCs w:val="24"/>
                <w:lang w:val="en-US" w:eastAsia="zh-CN" w:bidi="ar-SA"/>
              </w:rPr>
              <w:t>排入市政管网，生活污水满足《污水综合排放标准》（GB8978-1996）表4第二类污染物最高允许排放浓度三级标准。</w:t>
            </w:r>
            <w:r>
              <w:rPr>
                <w:rFonts w:hint="default" w:ascii="Times New Roman" w:hAnsi="Times New Roman" w:eastAsia="宋体" w:cs="Times New Roman"/>
                <w:color w:val="auto"/>
                <w:spacing w:val="0"/>
                <w:kern w:val="21"/>
                <w:position w:val="0"/>
                <w:sz w:val="24"/>
                <w:szCs w:val="24"/>
                <w:highlight w:val="none"/>
                <w:lang w:val="en-US" w:eastAsia="zh-CN"/>
              </w:rPr>
              <w:t>具体见表3-</w:t>
            </w:r>
            <w:r>
              <w:rPr>
                <w:rFonts w:hint="default" w:ascii="Times New Roman" w:hAnsi="Times New Roman" w:cs="Times New Roman"/>
                <w:color w:val="auto"/>
                <w:spacing w:val="0"/>
                <w:kern w:val="21"/>
                <w:position w:val="0"/>
                <w:sz w:val="24"/>
                <w:szCs w:val="24"/>
                <w:highlight w:val="none"/>
                <w:lang w:val="en-US" w:eastAsia="zh-CN"/>
              </w:rPr>
              <w:t>7</w:t>
            </w:r>
            <w:r>
              <w:rPr>
                <w:rFonts w:hint="default" w:ascii="Times New Roman" w:hAnsi="Times New Roman" w:eastAsia="宋体" w:cs="Times New Roman"/>
                <w:color w:val="auto"/>
                <w:spacing w:val="0"/>
                <w:kern w:val="21"/>
                <w:position w:val="0"/>
                <w:sz w:val="24"/>
                <w:szCs w:val="24"/>
                <w:highlight w:val="none"/>
                <w:lang w:val="en-US" w:eastAsia="zh-CN"/>
              </w:rPr>
              <w:t>。</w:t>
            </w:r>
          </w:p>
          <w:p>
            <w:pPr>
              <w:pStyle w:val="45"/>
              <w:keepNext w:val="0"/>
              <w:keepLines w:val="0"/>
              <w:pageBreakBefore w:val="0"/>
              <w:widowControl w:val="0"/>
              <w:kinsoku/>
              <w:wordWrap/>
              <w:overflowPunct/>
              <w:topLinePunct w:val="0"/>
              <w:autoSpaceDE/>
              <w:autoSpaceDN/>
              <w:bidi w:val="0"/>
              <w:adjustRightInd/>
              <w:snapToGrid w:val="0"/>
              <w:spacing w:before="0" w:line="240" w:lineRule="auto"/>
              <w:ind w:left="0" w:leftChars="0" w:firstLine="0" w:firstLineChars="0"/>
              <w:jc w:val="center"/>
              <w:textAlignment w:val="auto"/>
              <w:rPr>
                <w:rFonts w:hint="default" w:ascii="Times New Roman" w:hAnsi="Times New Roman" w:eastAsia="宋体" w:cs="Times New Roman"/>
                <w:b/>
                <w:bCs/>
                <w:color w:val="auto"/>
                <w:spacing w:val="0"/>
                <w:kern w:val="21"/>
                <w:position w:val="0"/>
                <w:sz w:val="21"/>
                <w:szCs w:val="21"/>
                <w:lang w:val="en-US" w:eastAsia="zh-CN" w:bidi="ar-SA"/>
              </w:rPr>
            </w:pPr>
            <w:r>
              <w:rPr>
                <w:rFonts w:hint="default" w:ascii="Times New Roman" w:hAnsi="Times New Roman" w:eastAsia="宋体" w:cs="Times New Roman"/>
                <w:b/>
                <w:bCs/>
                <w:color w:val="auto"/>
                <w:spacing w:val="0"/>
                <w:kern w:val="21"/>
                <w:position w:val="0"/>
                <w:sz w:val="21"/>
                <w:szCs w:val="21"/>
                <w:lang w:val="en-US" w:eastAsia="zh-CN" w:bidi="ar-SA"/>
              </w:rPr>
              <w:t xml:space="preserve">表3-7  </w:t>
            </w:r>
            <w:r>
              <w:rPr>
                <w:rFonts w:hint="default" w:ascii="Times New Roman" w:hAnsi="Times New Roman" w:eastAsia="宋体" w:cs="Times New Roman"/>
                <w:b/>
                <w:bCs w:val="0"/>
                <w:color w:val="auto"/>
                <w:spacing w:val="0"/>
                <w:kern w:val="21"/>
                <w:position w:val="0"/>
                <w:sz w:val="21"/>
                <w:szCs w:val="21"/>
                <w:highlight w:val="none"/>
                <w:lang w:val="en-US" w:eastAsia="zh-CN" w:bidi="ar"/>
              </w:rPr>
              <w:t>污水综合排放三级标准一览表</w:t>
            </w:r>
          </w:p>
          <w:tbl>
            <w:tblPr>
              <w:tblStyle w:val="3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032"/>
              <w:gridCol w:w="1683"/>
              <w:gridCol w:w="23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val="en-US" w:eastAsia="zh-CN"/>
                    </w:rPr>
                    <w:t>序号</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val="en-US" w:eastAsia="zh-CN"/>
                    </w:rPr>
                    <w:t>污染物或项目名称</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val="en-US" w:eastAsia="zh-CN"/>
                    </w:rPr>
                    <w:t>排放限值</w:t>
                  </w:r>
                </w:p>
              </w:tc>
              <w:tc>
                <w:tcPr>
                  <w:tcW w:w="14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val="en-US" w:eastAsia="zh-CN"/>
                    </w:rPr>
                    <w:t>适用范围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1</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pH（无量纲）</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6~9</w:t>
                  </w:r>
                </w:p>
              </w:tc>
              <w:tc>
                <w:tcPr>
                  <w:tcW w:w="14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一切排污单位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2</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COD（mg/L）</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500</w:t>
                  </w:r>
                </w:p>
              </w:tc>
              <w:tc>
                <w:tcPr>
                  <w:tcW w:w="1441" w:type="pct"/>
                  <w:vMerge w:val="restar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其他排污单位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3</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BOD</w:t>
                  </w:r>
                  <w:r>
                    <w:rPr>
                      <w:rFonts w:hint="default" w:ascii="Times New Roman" w:hAnsi="Times New Roman" w:eastAsia="宋体" w:cs="Times New Roman"/>
                      <w:b w:val="0"/>
                      <w:color w:val="auto"/>
                      <w:spacing w:val="0"/>
                      <w:kern w:val="21"/>
                      <w:position w:val="0"/>
                      <w:sz w:val="18"/>
                      <w:szCs w:val="18"/>
                      <w:vertAlign w:val="subscript"/>
                      <w:lang w:val="en-US" w:eastAsia="zh-CN"/>
                    </w:rPr>
                    <w:t>5</w:t>
                  </w:r>
                  <w:r>
                    <w:rPr>
                      <w:rFonts w:hint="default" w:ascii="Times New Roman" w:hAnsi="Times New Roman" w:eastAsia="宋体" w:cs="Times New Roman"/>
                      <w:b w:val="0"/>
                      <w:color w:val="auto"/>
                      <w:spacing w:val="0"/>
                      <w:kern w:val="21"/>
                      <w:position w:val="0"/>
                      <w:sz w:val="18"/>
                      <w:szCs w:val="18"/>
                      <w:lang w:val="en-US" w:eastAsia="zh-CN"/>
                    </w:rPr>
                    <w:t>（mg/L）</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300</w:t>
                  </w:r>
                </w:p>
              </w:tc>
              <w:tc>
                <w:tcPr>
                  <w:tcW w:w="1441"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4</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NH</w:t>
                  </w:r>
                  <w:r>
                    <w:rPr>
                      <w:rFonts w:hint="default" w:ascii="Times New Roman" w:hAnsi="Times New Roman" w:eastAsia="宋体" w:cs="Times New Roman"/>
                      <w:b w:val="0"/>
                      <w:color w:val="auto"/>
                      <w:spacing w:val="0"/>
                      <w:kern w:val="21"/>
                      <w:position w:val="0"/>
                      <w:sz w:val="18"/>
                      <w:szCs w:val="18"/>
                      <w:vertAlign w:val="subscript"/>
                      <w:lang w:val="en-US" w:eastAsia="zh-CN"/>
                    </w:rPr>
                    <w:t>3</w:t>
                  </w:r>
                  <w:r>
                    <w:rPr>
                      <w:rFonts w:hint="default" w:ascii="Times New Roman" w:hAnsi="Times New Roman" w:eastAsia="宋体" w:cs="Times New Roman"/>
                      <w:b w:val="0"/>
                      <w:color w:val="auto"/>
                      <w:spacing w:val="0"/>
                      <w:kern w:val="21"/>
                      <w:position w:val="0"/>
                      <w:sz w:val="18"/>
                      <w:szCs w:val="18"/>
                      <w:lang w:val="en-US" w:eastAsia="zh-CN"/>
                    </w:rPr>
                    <w:t>-N（mg/L）</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w:t>
                  </w:r>
                </w:p>
              </w:tc>
              <w:tc>
                <w:tcPr>
                  <w:tcW w:w="1441"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5</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SS（mg/L）</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400</w:t>
                  </w:r>
                </w:p>
              </w:tc>
              <w:tc>
                <w:tcPr>
                  <w:tcW w:w="1441" w:type="pct"/>
                  <w:vMerge w:val="continue"/>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blHeader/>
                <w:jc w:val="center"/>
              </w:trPr>
              <w:tc>
                <w:tcPr>
                  <w:tcW w:w="640"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6</w:t>
                  </w:r>
                </w:p>
              </w:tc>
              <w:tc>
                <w:tcPr>
                  <w:tcW w:w="1875"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动植物油（mg/L）</w:t>
                  </w:r>
                </w:p>
              </w:tc>
              <w:tc>
                <w:tcPr>
                  <w:tcW w:w="10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100</w:t>
                  </w:r>
                </w:p>
              </w:tc>
              <w:tc>
                <w:tcPr>
                  <w:tcW w:w="1441" w:type="pct"/>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一切排污单位</w:t>
                  </w:r>
                </w:p>
              </w:tc>
            </w:tr>
          </w:tbl>
          <w:p>
            <w:pPr>
              <w:pStyle w:val="34"/>
              <w:keepNext w:val="0"/>
              <w:keepLines w:val="0"/>
              <w:pageBreakBefore w:val="0"/>
              <w:widowControl/>
              <w:kinsoku/>
              <w:wordWrap/>
              <w:overflowPunct/>
              <w:topLinePunct w:val="0"/>
              <w:autoSpaceDE/>
              <w:autoSpaceDN/>
              <w:bidi w:val="0"/>
              <w:adjustRightInd/>
              <w:snapToGrid w:val="0"/>
              <w:spacing w:line="360" w:lineRule="auto"/>
              <w:ind w:left="0" w:right="0" w:firstLine="482" w:firstLineChars="200"/>
              <w:jc w:val="both"/>
              <w:textAlignment w:val="auto"/>
              <w:rPr>
                <w:rFonts w:hint="default" w:ascii="Times New Roman" w:hAnsi="Times New Roman" w:eastAsia="宋体" w:cs="Times New Roman"/>
                <w:b/>
                <w:bCs/>
                <w:color w:val="auto"/>
                <w:spacing w:val="0"/>
                <w:kern w:val="21"/>
                <w:position w:val="0"/>
                <w:sz w:val="24"/>
              </w:rPr>
            </w:pPr>
            <w:r>
              <w:rPr>
                <w:rFonts w:hint="default" w:ascii="Times New Roman" w:hAnsi="Times New Roman" w:eastAsia="宋体" w:cs="Times New Roman"/>
                <w:b/>
                <w:bCs/>
                <w:color w:val="auto"/>
                <w:spacing w:val="0"/>
                <w:kern w:val="21"/>
                <w:position w:val="0"/>
                <w:sz w:val="24"/>
                <w:lang w:val="en-US" w:eastAsia="zh-CN"/>
              </w:rPr>
              <w:t>3</w:t>
            </w:r>
            <w:r>
              <w:rPr>
                <w:rFonts w:hint="default" w:ascii="Times New Roman" w:hAnsi="Times New Roman" w:eastAsia="宋体" w:cs="Times New Roman"/>
                <w:b/>
                <w:bCs/>
                <w:color w:val="auto"/>
                <w:spacing w:val="0"/>
                <w:kern w:val="21"/>
                <w:position w:val="0"/>
                <w:sz w:val="24"/>
              </w:rPr>
              <w:t>、噪声排放标准</w:t>
            </w:r>
          </w:p>
          <w:p>
            <w:pPr>
              <w:pStyle w:val="34"/>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auto"/>
                <w:spacing w:val="0"/>
                <w:kern w:val="21"/>
                <w:position w:val="0"/>
                <w:sz w:val="24"/>
                <w:szCs w:val="24"/>
                <w:lang w:val="en-US" w:eastAsia="zh-CN" w:bidi="ar-SA"/>
              </w:rPr>
            </w:pPr>
            <w:r>
              <w:rPr>
                <w:rFonts w:hint="default" w:ascii="Times New Roman" w:hAnsi="Times New Roman" w:eastAsia="宋体" w:cs="Times New Roman"/>
                <w:color w:val="auto"/>
                <w:spacing w:val="0"/>
                <w:kern w:val="21"/>
                <w:position w:val="0"/>
                <w:sz w:val="24"/>
                <w:szCs w:val="24"/>
                <w:lang w:val="en-US" w:eastAsia="zh-CN" w:bidi="ar-SA"/>
              </w:rPr>
              <w:t>施工期噪声排放执行《建筑施工场界环境噪声排放标准》（GB12523-2011）中规定的噪声限值，见表3-8。</w:t>
            </w:r>
          </w:p>
          <w:p>
            <w:pPr>
              <w:keepNext w:val="0"/>
              <w:keepLines w:val="0"/>
              <w:pageBreakBefore w:val="0"/>
              <w:widowControl/>
              <w:suppressLineNumbers w:val="0"/>
              <w:kinsoku/>
              <w:wordWrap/>
              <w:overflowPunct/>
              <w:topLinePunct w:val="0"/>
              <w:bidi w:val="0"/>
              <w:adjustRightInd/>
              <w:snapToGrid w:val="0"/>
              <w:spacing w:beforeAutospacing="0" w:after="0" w:afterAutospacing="0" w:line="240" w:lineRule="auto"/>
              <w:ind w:left="0" w:right="0"/>
              <w:jc w:val="center"/>
              <w:rPr>
                <w:rFonts w:hint="default" w:ascii="Times New Roman" w:hAnsi="Times New Roman" w:eastAsia="宋体" w:cs="Times New Roman"/>
                <w:b/>
                <w:bCs w:val="0"/>
                <w:color w:val="auto"/>
                <w:spacing w:val="0"/>
                <w:kern w:val="21"/>
                <w:position w:val="0"/>
                <w:sz w:val="21"/>
                <w:szCs w:val="21"/>
                <w:highlight w:val="none"/>
                <w:lang w:val="en-US" w:eastAsia="zh-CN" w:bidi="ar"/>
              </w:rPr>
            </w:pPr>
            <w:r>
              <w:rPr>
                <w:rFonts w:hint="default" w:ascii="Times New Roman" w:hAnsi="Times New Roman" w:eastAsia="宋体" w:cs="Times New Roman"/>
                <w:b/>
                <w:bCs w:val="0"/>
                <w:color w:val="auto"/>
                <w:spacing w:val="0"/>
                <w:kern w:val="21"/>
                <w:position w:val="0"/>
                <w:sz w:val="21"/>
                <w:szCs w:val="21"/>
                <w:highlight w:val="none"/>
                <w:lang w:val="en-US" w:eastAsia="zh-CN" w:bidi="ar"/>
              </w:rPr>
              <w:t>表3-</w:t>
            </w:r>
            <w:r>
              <w:rPr>
                <w:rFonts w:hint="default" w:ascii="Times New Roman" w:hAnsi="Times New Roman" w:cs="Times New Roman"/>
                <w:b/>
                <w:bCs w:val="0"/>
                <w:color w:val="auto"/>
                <w:spacing w:val="0"/>
                <w:kern w:val="21"/>
                <w:position w:val="0"/>
                <w:sz w:val="21"/>
                <w:szCs w:val="21"/>
                <w:highlight w:val="none"/>
                <w:lang w:val="en-US" w:eastAsia="zh-CN" w:bidi="ar"/>
              </w:rPr>
              <w:t>8</w:t>
            </w:r>
            <w:r>
              <w:rPr>
                <w:rFonts w:hint="default" w:ascii="Times New Roman" w:hAnsi="Times New Roman" w:eastAsia="宋体" w:cs="Times New Roman"/>
                <w:b/>
                <w:bCs w:val="0"/>
                <w:color w:val="auto"/>
                <w:spacing w:val="0"/>
                <w:kern w:val="21"/>
                <w:position w:val="0"/>
                <w:sz w:val="21"/>
                <w:szCs w:val="21"/>
                <w:highlight w:val="none"/>
                <w:lang w:val="en-US" w:eastAsia="zh-CN" w:bidi="ar"/>
              </w:rPr>
              <w:t xml:space="preserve">  《建筑施工场界环境噪声排放标准》（GB12523-2011）</w:t>
            </w:r>
          </w:p>
          <w:tbl>
            <w:tblPr>
              <w:tblStyle w:val="3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4040"/>
              <w:gridCol w:w="404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0" w:hRule="atLeast"/>
                <w:jc w:val="center"/>
              </w:trPr>
              <w:tc>
                <w:tcPr>
                  <w:tcW w:w="0" w:type="auto"/>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r>
                    <w:rPr>
                      <w:rFonts w:hint="default" w:ascii="Times New Roman" w:hAnsi="Times New Roman" w:eastAsia="宋体" w:cs="Times New Roman"/>
                      <w:b w:val="0"/>
                      <w:bCs/>
                      <w:color w:val="auto"/>
                      <w:spacing w:val="0"/>
                      <w:kern w:val="21"/>
                      <w:position w:val="0"/>
                      <w:sz w:val="18"/>
                      <w:szCs w:val="18"/>
                      <w:lang w:eastAsia="zh-CN"/>
                    </w:rPr>
                    <w:t>昼间</w:t>
                  </w:r>
                </w:p>
              </w:tc>
              <w:tc>
                <w:tcPr>
                  <w:tcW w:w="0" w:type="auto"/>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r>
                    <w:rPr>
                      <w:rFonts w:hint="default" w:ascii="Times New Roman" w:hAnsi="Times New Roman" w:eastAsia="宋体" w:cs="Times New Roman"/>
                      <w:b w:val="0"/>
                      <w:bCs/>
                      <w:color w:val="auto"/>
                      <w:spacing w:val="0"/>
                      <w:kern w:val="21"/>
                      <w:position w:val="0"/>
                      <w:sz w:val="18"/>
                      <w:szCs w:val="18"/>
                      <w:lang w:eastAsia="zh-CN"/>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0" w:hRule="atLeast"/>
                <w:jc w:val="center"/>
              </w:trPr>
              <w:tc>
                <w:tcPr>
                  <w:tcW w:w="0" w:type="auto"/>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val="en-US" w:eastAsia="zh-CN"/>
                    </w:rPr>
                    <w:t>70dB（A）</w:t>
                  </w:r>
                </w:p>
              </w:tc>
              <w:tc>
                <w:tcPr>
                  <w:tcW w:w="0" w:type="auto"/>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color w:val="auto"/>
                      <w:spacing w:val="0"/>
                      <w:kern w:val="21"/>
                      <w:position w:val="0"/>
                      <w:sz w:val="18"/>
                      <w:szCs w:val="18"/>
                      <w:lang w:val="en-US" w:eastAsia="zh-CN"/>
                    </w:rPr>
                  </w:pPr>
                  <w:r>
                    <w:rPr>
                      <w:rFonts w:hint="default" w:ascii="Times New Roman" w:hAnsi="Times New Roman" w:eastAsia="宋体" w:cs="Times New Roman"/>
                      <w:b w:val="0"/>
                      <w:color w:val="auto"/>
                      <w:spacing w:val="0"/>
                      <w:kern w:val="21"/>
                      <w:position w:val="0"/>
                      <w:sz w:val="18"/>
                      <w:szCs w:val="18"/>
                      <w:lang w:eastAsia="zh-CN"/>
                    </w:rPr>
                    <w:t>55</w:t>
                  </w:r>
                  <w:r>
                    <w:rPr>
                      <w:rFonts w:hint="default" w:ascii="Times New Roman" w:hAnsi="Times New Roman" w:eastAsia="宋体" w:cs="Times New Roman"/>
                      <w:b w:val="0"/>
                      <w:color w:val="auto"/>
                      <w:spacing w:val="0"/>
                      <w:kern w:val="21"/>
                      <w:position w:val="0"/>
                      <w:sz w:val="18"/>
                      <w:szCs w:val="18"/>
                      <w:lang w:val="en-US" w:eastAsia="zh-CN"/>
                    </w:rPr>
                    <w:t>dB（A）</w:t>
                  </w:r>
                </w:p>
              </w:tc>
            </w:tr>
          </w:tbl>
          <w:p>
            <w:pPr>
              <w:keepNext w:val="0"/>
              <w:keepLines w:val="0"/>
              <w:pageBreakBefore w:val="0"/>
              <w:tabs>
                <w:tab w:val="left" w:pos="597"/>
                <w:tab w:val="left" w:pos="2970"/>
              </w:tabs>
              <w:kinsoku/>
              <w:wordWrap/>
              <w:overflowPunct/>
              <w:topLinePunct w:val="0"/>
              <w:bidi w:val="0"/>
              <w:adjustRightInd/>
              <w:snapToGrid w:val="0"/>
              <w:spacing w:line="360" w:lineRule="auto"/>
              <w:ind w:firstLine="480" w:firstLineChars="200"/>
              <w:rPr>
                <w:rFonts w:hint="default" w:ascii="Times New Roman" w:hAnsi="Times New Roman" w:cs="Times New Roman"/>
                <w:color w:val="auto"/>
                <w:spacing w:val="0"/>
                <w:kern w:val="21"/>
                <w:position w:val="0"/>
                <w:sz w:val="24"/>
              </w:rPr>
            </w:pPr>
            <w:r>
              <w:rPr>
                <w:rFonts w:hint="default" w:ascii="Times New Roman" w:hAnsi="Times New Roman" w:cs="Times New Roman"/>
                <w:color w:val="auto"/>
                <w:spacing w:val="0"/>
                <w:kern w:val="21"/>
                <w:position w:val="0"/>
                <w:sz w:val="24"/>
                <w:lang w:val="en-US" w:eastAsia="zh-CN"/>
              </w:rPr>
              <w:t>运营期</w:t>
            </w:r>
            <w:r>
              <w:rPr>
                <w:rFonts w:hint="default" w:ascii="Times New Roman" w:hAnsi="Times New Roman" w:cs="Times New Roman"/>
                <w:color w:val="auto"/>
                <w:spacing w:val="0"/>
                <w:kern w:val="21"/>
                <w:position w:val="0"/>
                <w:sz w:val="24"/>
              </w:rPr>
              <w:t>厂界噪声执行《工业企业厂界环境噪声排放标准》（GB12348-2008）中</w:t>
            </w:r>
            <w:r>
              <w:rPr>
                <w:rFonts w:hint="default" w:ascii="Times New Roman" w:hAnsi="Times New Roman" w:cs="Times New Roman"/>
                <w:color w:val="auto"/>
                <w:spacing w:val="0"/>
                <w:kern w:val="21"/>
                <w:position w:val="0"/>
                <w:sz w:val="24"/>
                <w:lang w:val="en-US" w:eastAsia="zh-CN"/>
              </w:rPr>
              <w:t>3</w:t>
            </w:r>
            <w:r>
              <w:rPr>
                <w:rFonts w:hint="default" w:ascii="Times New Roman" w:hAnsi="Times New Roman" w:cs="Times New Roman"/>
                <w:color w:val="auto"/>
                <w:spacing w:val="0"/>
                <w:kern w:val="21"/>
                <w:position w:val="0"/>
                <w:sz w:val="24"/>
              </w:rPr>
              <w:t>类标准，见表3-</w:t>
            </w:r>
            <w:r>
              <w:rPr>
                <w:rFonts w:hint="default" w:ascii="Times New Roman" w:hAnsi="Times New Roman" w:cs="Times New Roman"/>
                <w:color w:val="auto"/>
                <w:spacing w:val="0"/>
                <w:kern w:val="21"/>
                <w:position w:val="0"/>
                <w:sz w:val="24"/>
                <w:lang w:val="en-US" w:eastAsia="zh-CN"/>
              </w:rPr>
              <w:t>9</w:t>
            </w:r>
            <w:r>
              <w:rPr>
                <w:rFonts w:hint="default" w:ascii="Times New Roman" w:hAnsi="Times New Roman" w:cs="Times New Roman"/>
                <w:color w:val="auto"/>
                <w:spacing w:val="0"/>
                <w:kern w:val="21"/>
                <w:position w:val="0"/>
                <w:sz w:val="24"/>
              </w:rPr>
              <w:t>。</w:t>
            </w:r>
          </w:p>
          <w:p>
            <w:pPr>
              <w:keepNext w:val="0"/>
              <w:keepLines w:val="0"/>
              <w:pageBreakBefore w:val="0"/>
              <w:kinsoku/>
              <w:wordWrap/>
              <w:overflowPunct/>
              <w:topLinePunct w:val="0"/>
              <w:bidi w:val="0"/>
              <w:adjustRightInd/>
              <w:snapToGrid w:val="0"/>
              <w:jc w:val="center"/>
              <w:rPr>
                <w:rFonts w:hint="default" w:ascii="Times New Roman" w:hAnsi="Times New Roman" w:cs="Times New Roman"/>
                <w:b/>
                <w:bCs/>
                <w:color w:val="auto"/>
                <w:spacing w:val="0"/>
                <w:kern w:val="21"/>
                <w:position w:val="0"/>
                <w:sz w:val="24"/>
              </w:rPr>
            </w:pPr>
            <w:r>
              <w:rPr>
                <w:rFonts w:hint="default" w:ascii="Times New Roman" w:hAnsi="Times New Roman" w:eastAsia="宋体" w:cs="Times New Roman"/>
                <w:b/>
                <w:bCs/>
                <w:color w:val="auto"/>
                <w:spacing w:val="0"/>
                <w:kern w:val="21"/>
                <w:position w:val="0"/>
                <w:sz w:val="21"/>
                <w:szCs w:val="21"/>
                <w:lang w:val="en-US" w:eastAsia="zh-CN" w:bidi="ar-SA"/>
              </w:rPr>
              <w:t>表3-</w:t>
            </w:r>
            <w:r>
              <w:rPr>
                <w:rFonts w:hint="default" w:ascii="Times New Roman" w:hAnsi="Times New Roman" w:cs="Times New Roman"/>
                <w:b/>
                <w:bCs/>
                <w:color w:val="auto"/>
                <w:spacing w:val="0"/>
                <w:kern w:val="21"/>
                <w:position w:val="0"/>
                <w:sz w:val="21"/>
                <w:szCs w:val="21"/>
                <w:lang w:val="en-US" w:eastAsia="zh-CN" w:bidi="ar-SA"/>
              </w:rPr>
              <w:t>9</w:t>
            </w:r>
            <w:r>
              <w:rPr>
                <w:rFonts w:hint="default" w:ascii="Times New Roman" w:hAnsi="Times New Roman" w:eastAsia="宋体" w:cs="Times New Roman"/>
                <w:b/>
                <w:bCs/>
                <w:color w:val="auto"/>
                <w:spacing w:val="0"/>
                <w:kern w:val="21"/>
                <w:position w:val="0"/>
                <w:sz w:val="21"/>
                <w:szCs w:val="21"/>
                <w:lang w:val="en-US" w:eastAsia="zh-CN" w:bidi="ar-SA"/>
              </w:rPr>
              <w:t xml:space="preserve">  工业企业厂界环境噪声排放限值  单位：dB（A）</w:t>
            </w:r>
          </w:p>
          <w:tbl>
            <w:tblPr>
              <w:tblStyle w:val="3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301"/>
              <w:gridCol w:w="1390"/>
              <w:gridCol w:w="139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3279" w:type="pct"/>
                  <w:vMerge w:val="restart"/>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r>
                    <w:rPr>
                      <w:rFonts w:hint="default" w:ascii="Times New Roman" w:hAnsi="Times New Roman" w:eastAsia="宋体" w:cs="Times New Roman"/>
                      <w:b w:val="0"/>
                      <w:bCs/>
                      <w:color w:val="auto"/>
                      <w:spacing w:val="0"/>
                      <w:kern w:val="21"/>
                      <w:position w:val="0"/>
                      <w:sz w:val="18"/>
                      <w:szCs w:val="18"/>
                      <w:lang w:eastAsia="zh-CN"/>
                    </w:rPr>
                    <w:t>厂界外声环境功能区类别</w:t>
                  </w:r>
                </w:p>
              </w:tc>
              <w:tc>
                <w:tcPr>
                  <w:tcW w:w="1720" w:type="pct"/>
                  <w:gridSpan w:val="2"/>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r>
                    <w:rPr>
                      <w:rFonts w:hint="default" w:ascii="Times New Roman" w:hAnsi="Times New Roman" w:eastAsia="宋体" w:cs="Times New Roman"/>
                      <w:b w:val="0"/>
                      <w:bCs/>
                      <w:color w:val="auto"/>
                      <w:spacing w:val="0"/>
                      <w:kern w:val="21"/>
                      <w:position w:val="0"/>
                      <w:sz w:val="18"/>
                      <w:szCs w:val="18"/>
                      <w:lang w:eastAsia="zh-CN"/>
                    </w:rPr>
                    <w:t>时段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79" w:type="pct"/>
                  <w:vMerge w:val="continue"/>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p>
              </w:tc>
              <w:tc>
                <w:tcPr>
                  <w:tcW w:w="860" w:type="pct"/>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r>
                    <w:rPr>
                      <w:rFonts w:hint="default" w:ascii="Times New Roman" w:hAnsi="Times New Roman" w:eastAsia="宋体" w:cs="Times New Roman"/>
                      <w:b w:val="0"/>
                      <w:bCs/>
                      <w:color w:val="auto"/>
                      <w:spacing w:val="0"/>
                      <w:kern w:val="21"/>
                      <w:position w:val="0"/>
                      <w:sz w:val="18"/>
                      <w:szCs w:val="18"/>
                      <w:lang w:eastAsia="zh-CN"/>
                    </w:rPr>
                    <w:t>昼间</w:t>
                  </w:r>
                </w:p>
              </w:tc>
              <w:tc>
                <w:tcPr>
                  <w:tcW w:w="860" w:type="pct"/>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eastAsia="zh-CN"/>
                    </w:rPr>
                  </w:pPr>
                  <w:r>
                    <w:rPr>
                      <w:rFonts w:hint="default" w:ascii="Times New Roman" w:hAnsi="Times New Roman" w:eastAsia="宋体" w:cs="Times New Roman"/>
                      <w:b w:val="0"/>
                      <w:bCs/>
                      <w:color w:val="auto"/>
                      <w:spacing w:val="0"/>
                      <w:kern w:val="21"/>
                      <w:position w:val="0"/>
                      <w:sz w:val="18"/>
                      <w:szCs w:val="18"/>
                      <w:lang w:eastAsia="zh-CN"/>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3279" w:type="pct"/>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val="en-US" w:eastAsia="zh-CN"/>
                    </w:rPr>
                    <w:t>3类</w:t>
                  </w:r>
                </w:p>
              </w:tc>
              <w:tc>
                <w:tcPr>
                  <w:tcW w:w="860" w:type="pct"/>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eastAsia="zh-CN"/>
                    </w:rPr>
                    <w:t>6</w:t>
                  </w:r>
                  <w:r>
                    <w:rPr>
                      <w:rFonts w:hint="default" w:ascii="Times New Roman" w:hAnsi="Times New Roman" w:eastAsia="宋体" w:cs="Times New Roman"/>
                      <w:b w:val="0"/>
                      <w:bCs/>
                      <w:color w:val="auto"/>
                      <w:spacing w:val="0"/>
                      <w:kern w:val="21"/>
                      <w:position w:val="0"/>
                      <w:sz w:val="18"/>
                      <w:szCs w:val="18"/>
                      <w:lang w:val="en-US" w:eastAsia="zh-CN"/>
                    </w:rPr>
                    <w:t>5</w:t>
                  </w:r>
                </w:p>
              </w:tc>
              <w:tc>
                <w:tcPr>
                  <w:tcW w:w="860" w:type="pct"/>
                  <w:tcBorders>
                    <w:tl2br w:val="nil"/>
                    <w:tr2bl w:val="nil"/>
                  </w:tcBorders>
                  <w:noWrap/>
                  <w:vAlign w:val="center"/>
                </w:tcPr>
                <w:p>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default" w:ascii="Times New Roman" w:hAnsi="Times New Roman" w:eastAsia="宋体" w:cs="Times New Roman"/>
                      <w:b w:val="0"/>
                      <w:bCs/>
                      <w:color w:val="auto"/>
                      <w:spacing w:val="0"/>
                      <w:kern w:val="21"/>
                      <w:position w:val="0"/>
                      <w:sz w:val="18"/>
                      <w:szCs w:val="18"/>
                      <w:lang w:val="en-US" w:eastAsia="zh-CN"/>
                    </w:rPr>
                  </w:pPr>
                  <w:r>
                    <w:rPr>
                      <w:rFonts w:hint="default" w:ascii="Times New Roman" w:hAnsi="Times New Roman" w:eastAsia="宋体" w:cs="Times New Roman"/>
                      <w:b w:val="0"/>
                      <w:bCs/>
                      <w:color w:val="auto"/>
                      <w:spacing w:val="0"/>
                      <w:kern w:val="21"/>
                      <w:position w:val="0"/>
                      <w:sz w:val="18"/>
                      <w:szCs w:val="18"/>
                      <w:lang w:val="en-US" w:eastAsia="zh-CN"/>
                    </w:rPr>
                    <w:t>55</w:t>
                  </w:r>
                </w:p>
              </w:tc>
            </w:tr>
          </w:tbl>
          <w:p>
            <w:pPr>
              <w:pStyle w:val="34"/>
              <w:keepNext w:val="0"/>
              <w:keepLines w:val="0"/>
              <w:pageBreakBefore w:val="0"/>
              <w:widowControl/>
              <w:kinsoku/>
              <w:wordWrap/>
              <w:overflowPunct/>
              <w:topLinePunct w:val="0"/>
              <w:autoSpaceDE/>
              <w:autoSpaceDN/>
              <w:bidi w:val="0"/>
              <w:adjustRightInd/>
              <w:snapToGrid w:val="0"/>
              <w:spacing w:line="360" w:lineRule="auto"/>
              <w:ind w:left="0" w:right="0" w:firstLine="482" w:firstLineChars="200"/>
              <w:jc w:val="both"/>
              <w:textAlignment w:val="auto"/>
              <w:rPr>
                <w:rFonts w:hint="default" w:ascii="Times New Roman" w:hAnsi="Times New Roman" w:eastAsia="宋体" w:cs="Times New Roman"/>
                <w:b/>
                <w:bCs/>
                <w:color w:val="auto"/>
                <w:spacing w:val="0"/>
                <w:kern w:val="21"/>
                <w:position w:val="0"/>
                <w:sz w:val="24"/>
                <w:lang w:val="en-US" w:eastAsia="zh-CN"/>
              </w:rPr>
            </w:pPr>
            <w:r>
              <w:rPr>
                <w:rFonts w:hint="default" w:ascii="Times New Roman" w:hAnsi="Times New Roman" w:eastAsia="宋体" w:cs="Times New Roman"/>
                <w:b/>
                <w:bCs/>
                <w:color w:val="auto"/>
                <w:spacing w:val="0"/>
                <w:kern w:val="21"/>
                <w:position w:val="0"/>
                <w:sz w:val="24"/>
                <w:lang w:val="en-US" w:eastAsia="zh-CN"/>
              </w:rPr>
              <w:t>4、固体废物污染控制标准</w:t>
            </w:r>
          </w:p>
          <w:p>
            <w:pPr>
              <w:pStyle w:val="34"/>
              <w:keepNext w:val="0"/>
              <w:keepLines w:val="0"/>
              <w:pageBreakBefore w:val="0"/>
              <w:widowControl/>
              <w:kinsoku/>
              <w:wordWrap/>
              <w:overflowPunct/>
              <w:topLinePunct w:val="0"/>
              <w:autoSpaceDE/>
              <w:autoSpaceDN/>
              <w:bidi w:val="0"/>
              <w:adjustRightInd/>
              <w:snapToGrid w:val="0"/>
              <w:spacing w:line="360" w:lineRule="auto"/>
              <w:ind w:left="0" w:right="0" w:firstLine="480" w:firstLineChars="200"/>
              <w:jc w:val="both"/>
              <w:textAlignment w:val="auto"/>
              <w:rPr>
                <w:rFonts w:hint="default" w:ascii="Times New Roman" w:hAnsi="Times New Roman" w:cs="Times New Roman"/>
                <w:color w:val="auto"/>
                <w:spacing w:val="0"/>
                <w:kern w:val="21"/>
                <w:position w:val="0"/>
                <w:sz w:val="24"/>
                <w:lang w:val="en-US"/>
              </w:rPr>
            </w:pPr>
            <w:r>
              <w:rPr>
                <w:rFonts w:hint="eastAsia" w:cs="Times New Roman"/>
                <w:b w:val="0"/>
                <w:bCs w:val="0"/>
                <w:color w:val="auto"/>
                <w:spacing w:val="0"/>
                <w:kern w:val="21"/>
                <w:position w:val="0"/>
                <w:sz w:val="24"/>
                <w:lang w:val="en-US" w:eastAsia="zh-CN"/>
              </w:rPr>
              <w:t>一般工业固废</w:t>
            </w:r>
            <w:r>
              <w:rPr>
                <w:rFonts w:hint="default" w:ascii="Times New Roman" w:hAnsi="Times New Roman" w:eastAsia="宋体" w:cs="Times New Roman"/>
                <w:b w:val="0"/>
                <w:bCs w:val="0"/>
                <w:color w:val="auto"/>
                <w:spacing w:val="0"/>
                <w:kern w:val="21"/>
                <w:position w:val="0"/>
                <w:sz w:val="24"/>
                <w:lang w:val="en-US" w:eastAsia="zh-CN"/>
              </w:rPr>
              <w:t>执行《一般工业固体废物贮存和填埋污染物控制标准》（GB18599-2020），危险废物的贮存执行《危险废物贮存污染控制标准》（GB18597-2023）。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03" w:type="pct"/>
            <w:noWrap/>
            <w:vAlign w:val="center"/>
          </w:tcPr>
          <w:p>
            <w:pPr>
              <w:keepNext w:val="0"/>
              <w:keepLines w:val="0"/>
              <w:pageBreakBefore w:val="0"/>
              <w:kinsoku/>
              <w:wordWrap/>
              <w:overflowPunct/>
              <w:topLinePunct w:val="0"/>
              <w:bidi w:val="0"/>
              <w:adjustRightInd/>
              <w:snapToGrid w:val="0"/>
              <w:jc w:val="center"/>
              <w:rPr>
                <w:rFonts w:hint="default" w:ascii="Times New Roman" w:hAnsi="Times New Roman" w:cs="Times New Roman"/>
                <w:color w:val="auto"/>
                <w:spacing w:val="0"/>
                <w:kern w:val="21"/>
                <w:position w:val="0"/>
                <w:szCs w:val="21"/>
              </w:rPr>
            </w:pPr>
            <w:r>
              <w:rPr>
                <w:rFonts w:hint="default" w:ascii="Times New Roman" w:hAnsi="Times New Roman" w:cs="Times New Roman"/>
                <w:color w:val="auto"/>
                <w:spacing w:val="0"/>
                <w:kern w:val="21"/>
                <w:position w:val="0"/>
                <w:sz w:val="24"/>
                <w:highlight w:val="none"/>
              </w:rPr>
              <w:t>总量控制指标</w:t>
            </w:r>
          </w:p>
        </w:tc>
        <w:tc>
          <w:tcPr>
            <w:tcW w:w="4596" w:type="pct"/>
            <w:noWrap/>
            <w:vAlign w:val="center"/>
          </w:tcPr>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auto"/>
                <w:spacing w:val="0"/>
                <w:kern w:val="21"/>
                <w:position w:val="0"/>
                <w:lang w:val="en-US" w:eastAsia="zh-CN"/>
              </w:rPr>
            </w:pPr>
            <w:r>
              <w:rPr>
                <w:rFonts w:hint="default" w:ascii="Times New Roman" w:hAnsi="Times New Roman" w:cs="Times New Roman"/>
                <w:color w:val="auto"/>
                <w:spacing w:val="0"/>
                <w:kern w:val="21"/>
                <w:position w:val="0"/>
                <w:sz w:val="24"/>
                <w:lang w:val="en-US" w:eastAsia="zh-CN"/>
              </w:rPr>
              <w:t>根据《“十五五”污染减排工作方案编制技术指南》主要控制NO</w:t>
            </w:r>
            <w:r>
              <w:rPr>
                <w:rFonts w:hint="default" w:ascii="Times New Roman" w:hAnsi="Times New Roman" w:cs="Times New Roman"/>
                <w:color w:val="auto"/>
                <w:spacing w:val="0"/>
                <w:kern w:val="21"/>
                <w:position w:val="0"/>
                <w:sz w:val="24"/>
                <w:vertAlign w:val="subscript"/>
                <w:lang w:val="en-US" w:eastAsia="zh-CN"/>
              </w:rPr>
              <w:t>X</w:t>
            </w:r>
            <w:r>
              <w:rPr>
                <w:rFonts w:hint="default" w:ascii="Times New Roman" w:hAnsi="Times New Roman" w:cs="Times New Roman"/>
                <w:color w:val="auto"/>
                <w:spacing w:val="0"/>
                <w:kern w:val="21"/>
                <w:position w:val="0"/>
                <w:sz w:val="24"/>
                <w:lang w:val="en-US" w:eastAsia="zh-CN"/>
              </w:rPr>
              <w:t>、VOCs、COD</w:t>
            </w:r>
            <w:r>
              <w:rPr>
                <w:rFonts w:hint="default" w:ascii="Times New Roman" w:hAnsi="Times New Roman" w:cs="Times New Roman"/>
                <w:color w:val="auto"/>
                <w:spacing w:val="0"/>
                <w:kern w:val="21"/>
                <w:position w:val="0"/>
                <w:sz w:val="24"/>
                <w:vertAlign w:val="subscript"/>
                <w:lang w:val="en-US" w:eastAsia="zh-CN"/>
              </w:rPr>
              <w:t>Cr</w:t>
            </w:r>
            <w:r>
              <w:rPr>
                <w:rFonts w:hint="default" w:ascii="Times New Roman" w:hAnsi="Times New Roman" w:cs="Times New Roman"/>
                <w:color w:val="auto"/>
                <w:spacing w:val="0"/>
                <w:kern w:val="21"/>
                <w:position w:val="0"/>
                <w:sz w:val="24"/>
                <w:lang w:val="en-US" w:eastAsia="zh-CN"/>
              </w:rPr>
              <w:t>、总磷。在实行污染物达标排放的前提下，结合本项目排污特点，该项目涉及总量控制的污染物因子</w:t>
            </w:r>
            <w:r>
              <w:rPr>
                <w:rFonts w:hint="default" w:ascii="Times New Roman" w:hAnsi="Times New Roman" w:cs="Times New Roman"/>
                <w:color w:val="auto"/>
                <w:spacing w:val="0"/>
                <w:kern w:val="21"/>
                <w:position w:val="0"/>
                <w:sz w:val="24"/>
                <w:szCs w:val="24"/>
                <w:lang w:val="en-US" w:eastAsia="zh-CN"/>
              </w:rPr>
              <w:t>为：非甲烷总烃</w:t>
            </w:r>
            <w:r>
              <w:rPr>
                <w:rFonts w:hint="default" w:ascii="Times New Roman" w:hAnsi="Times New Roman" w:cs="Times New Roman"/>
                <w:color w:val="auto"/>
                <w:spacing w:val="0"/>
                <w:kern w:val="21"/>
                <w:position w:val="0"/>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r>
              <w:rPr>
                <w:rFonts w:hint="default" w:ascii="Times New Roman" w:hAnsi="Times New Roman" w:eastAsia="宋体" w:cs="Times New Roman"/>
                <w:color w:val="auto"/>
                <w:spacing w:val="0"/>
                <w:kern w:val="21"/>
                <w:position w:val="0"/>
                <w:sz w:val="24"/>
                <w:lang w:val="en-US" w:eastAsia="zh-CN"/>
              </w:rPr>
              <w:t>根据“十五五”规划总量控制指标，结合本项目污染物源强核算情况，建议本项目总量控制指标为：VOCs（有组织排放量）7.507t/a。本项目VOCs有组织+无组织总排放量约15.848t/a（其中有组织排放7.507t/a、无组织排放8.341t/a）。</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auto"/>
                <w:spacing w:val="0"/>
                <w:kern w:val="21"/>
                <w:position w:val="0"/>
                <w:sz w:val="24"/>
                <w:szCs w:val="24"/>
                <w:lang w:val="en-US" w:eastAsia="zh-CN"/>
              </w:rPr>
            </w:pPr>
          </w:p>
        </w:tc>
      </w:tr>
    </w:tbl>
    <w:p>
      <w:pPr>
        <w:pStyle w:val="32"/>
        <w:jc w:val="center"/>
        <w:outlineLvl w:val="0"/>
        <w:rPr>
          <w:rFonts w:hint="default" w:ascii="Times New Roman" w:hAnsi="Times New Roman" w:eastAsia="黑体" w:cs="Times New Roman"/>
          <w:snapToGrid w:val="0"/>
          <w:color w:val="auto"/>
          <w:sz w:val="30"/>
          <w:szCs w:val="30"/>
          <w:vertAlign w:val="baseline"/>
        </w:rPr>
      </w:pPr>
      <w:r>
        <w:rPr>
          <w:rFonts w:hint="default" w:ascii="Times New Roman" w:hAnsi="Times New Roman" w:eastAsia="黑体" w:cs="Times New Roman"/>
          <w:snapToGrid w:val="0"/>
          <w:color w:val="auto"/>
          <w:sz w:val="36"/>
          <w:szCs w:val="36"/>
        </w:rPr>
        <w:br w:type="page"/>
      </w:r>
      <w:r>
        <w:rPr>
          <w:rFonts w:hint="default" w:ascii="Times New Roman" w:hAnsi="Times New Roman" w:eastAsia="黑体" w:cs="Times New Roman"/>
          <w:snapToGrid w:val="0"/>
          <w:color w:val="auto"/>
          <w:sz w:val="30"/>
          <w:szCs w:val="30"/>
        </w:rPr>
        <w:t>四、主要环境影响和保护措施</w:t>
      </w:r>
    </w:p>
    <w:tbl>
      <w:tblPr>
        <w:tblStyle w:val="36"/>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49"/>
        <w:gridCol w:w="821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c>
          <w:tcPr>
            <w:tcW w:w="0" w:type="auto"/>
            <w:tcBorders>
              <w:tl2br w:val="nil"/>
              <w:tr2bl w:val="nil"/>
            </w:tcBorders>
            <w:vAlign w:val="center"/>
          </w:tcPr>
          <w:p>
            <w:pPr>
              <w:pStyle w:val="32"/>
              <w:adjustRightInd w:val="0"/>
              <w:snapToGrid w:val="0"/>
              <w:spacing w:before="0" w:beforeAutospacing="0" w:after="0" w:afterAutospacing="0"/>
              <w:jc w:val="center"/>
              <w:rPr>
                <w:rFonts w:hint="default" w:ascii="Times New Roman" w:hAnsi="Times New Roman" w:eastAsia="黑体" w:cs="Times New Roman"/>
                <w:snapToGrid w:val="0"/>
                <w:color w:val="auto"/>
                <w:sz w:val="30"/>
                <w:szCs w:val="30"/>
                <w:vertAlign w:val="baseline"/>
              </w:rPr>
            </w:pPr>
            <w:r>
              <w:rPr>
                <w:rFonts w:hint="default" w:ascii="Times New Roman" w:hAnsi="Times New Roman" w:cs="Times New Roman"/>
                <w:color w:val="auto"/>
                <w:szCs w:val="24"/>
              </w:rPr>
              <w:t>施工期环境保护措施</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本项目</w:t>
            </w:r>
            <w:r>
              <w:rPr>
                <w:rFonts w:hint="default" w:ascii="Times New Roman" w:hAnsi="Times New Roman" w:cs="Times New Roman"/>
                <w:color w:val="auto"/>
                <w:kern w:val="0"/>
                <w:sz w:val="24"/>
                <w:szCs w:val="24"/>
                <w:lang w:val="en-US" w:eastAsia="zh-CN" w:bidi="ar-SA"/>
              </w:rPr>
              <w:t>2#厂房部分尚未建设完成、部分设备尚未安装</w:t>
            </w:r>
            <w:r>
              <w:rPr>
                <w:rFonts w:hint="default" w:ascii="Times New Roman" w:hAnsi="Times New Roman" w:eastAsia="宋体" w:cs="Times New Roman"/>
                <w:color w:val="auto"/>
                <w:kern w:val="0"/>
                <w:sz w:val="24"/>
                <w:szCs w:val="24"/>
                <w:lang w:val="en-US" w:eastAsia="zh-CN" w:bidi="ar-SA"/>
              </w:rPr>
              <w:t>。因此，施工期主要包括土方施工、设备安装调试等阶段，在此期间将产生施工扬尘、废水、噪声、建筑垃圾和生活垃圾等。</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1、施工期大气环境影响和保护措施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项目施工过程主要大气污染物为施工机械设备及运输车辆尾气、运输道路扬尘和施工粉尘等。为了减少施工粉尘对周边环境的影响，施工期大气环境保护措施见下：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（1）渣料运输必须采用专用的密封运输车，做好运输车辆的防护工作，以减少渣土沿路洒落；设置专人负责现场卫生，定期对运输道路洒水；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（2）对于粉状物料的运输和堆放，必须采取遮盖措施，防止因风吹而引起扬尘，大风天气下严禁施工；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（3）施工单位应采用尾气排放符合国家规定标准的车辆和施工机械，确保其在运行时尾气达标排放，减少对环境空气的污染；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（4）施工场地周围布置围挡。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综上，施工阶段对大气环境的影响较小。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2、施工期废水环境影响和保护措施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施工期废水主要包括施工废水和施工人员生活污水两部分。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施工废水：运输车辆、作业机械的跑、冒、滴、漏的油污及露天机械被雨水冲刷后产生一定量的油污水，由于量少，对地表水环境影响有限。施工废水就近修建 沉淀池经过预处理后洒水降尘。施工过程中，开挖的土方可能在未来得及回填，或未采取临时阻拦措施时即遇到暴雨，可能产生的大量泥浆水和雨水中含有浓度很高的悬浮物，不得以渗坑、渗井或漫流方式排放，应加强管理、控制。工程施工单位应在工地建废水沉淀池，废水经沉淀池回用到生产中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施工生活污水：因施工人员食宿不在项目区内，不设生活营地，所以施工期</w:t>
            </w:r>
            <w:r>
              <w:rPr>
                <w:rFonts w:hint="eastAsia" w:cs="Times New Roman"/>
                <w:bCs/>
                <w:color w:val="auto"/>
                <w:sz w:val="24"/>
                <w:szCs w:val="24"/>
                <w:lang w:val="en-US" w:eastAsia="zh-CN"/>
              </w:rPr>
              <w:t>不考虑</w:t>
            </w:r>
            <w:r>
              <w:rPr>
                <w:rFonts w:hint="default" w:ascii="Times New Roman" w:hAnsi="Times New Roman" w:eastAsia="宋体" w:cs="Times New Roman"/>
                <w:bCs/>
                <w:color w:val="auto"/>
                <w:sz w:val="24"/>
                <w:szCs w:val="24"/>
                <w:lang w:val="en-US" w:eastAsia="zh-CN"/>
              </w:rPr>
              <w:t>生活污水产生。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施工期的废水对周围环境的影响不大，并随着施工期的完成而消除。废水影响治理措施如下。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（1）在施工场地混凝土养护废水产生点应设置临时沉淀池，含泥沙雨水、泥浆水经沉淀后回用到生产中去。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（2）加强施工机械设备的维修保养，避免在施工过程中燃料油的跑、冒、滴、漏。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（3）不得随意在施工区域内冲洗汽车，对施工机械进行检修和清洗时必须定点，检修和清洗场地必须经水泥硬化，清洗污水应根据废水性质进行沉淀处理，用于道路的洒水降尘。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（4）施工单位对施工场地用水应严格管理，贯彻“一水多用、重复利用、节约用水”的原则，尽量减少废水的排放量，减轻废水排放对周围环境的影响。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综上所述，只要加强管理，把以上措施落到实处，施工废水对项目所在区域水环境影响很小。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3、施工期噪声环境影响和保护措施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施工期噪声主要来自施工机械噪声和运输车辆噪声。施工期噪声污染控制措施如下：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（1）选用低噪声施工设备；定期对动力机械设备进行维修和养护，使其处于最佳工作状态；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（2）合理安排施工作业，尽量避免多台强噪声施工机械在同一地点同时施工；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3）施工期噪声应按《建筑施工场界环境噪声排放标准》（GB12523-2011）进行控制，应合理安排施工时间，尽量避免高噪声设备同时施工，应限制夜间高噪声设备的施工时间，在夜间10点至次日早上8点禁止施工，如确因工程施工需要，需向生态环境主管部门申请夜间施工许可证，批准后方可实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（4）做好施工人员的环境保护意识的教育，尽量减少人为因素造成施工噪声的加剧。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采用上述措施后施工阶段对声环境的影响较小。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4、施工期固废环境影响和保护措施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项目施工期间主要固废为建筑垃圾和生活垃圾。施工人员生活垃圾在厂区垃圾桶收集后定期清运至尉犁县生活垃圾填埋场处置；建筑垃圾集中收集，拉运至住建部门指定填埋场处置。在对建筑垃圾清运期间，应做好运输车辆的防护工作，禁止随意抛洒。</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5、施工期水土流失保护措施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（1）施工过程中建（构）筑物基础开挖，用于场地平整的土石料，应随时运往需要平整的场地，防止碾压；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用于回填的土料需根据项目区建（构）筑物的布设位置和施工道路布设情况，集中堆放，临时堆土场人工拍实，堆放高度不得超过3.0m，采取纤维布苫盖临时挡护措施，待基础浇筑完成后及时回填，及时将堆土场平整清理，设计纤维布幅宽2.0m，每隔5.0m布设一立杆，并用铁丝绑牢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3）项目地基开挖，设计在开挖一侧设置堆土区，开挖土料集中堆放在临时堆土区人工拍实，并在顶部设置纤维布苫盖措施，外侧边坡采用纤维土袋临时挡护措施，设计纤维土袋挡土墙高1m，宽0.5m，外坡比1：0.5。</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（4）施工结束后及时回填临时占地，回填以后的开挖区以及施工区、施工便道种草恢复植被，选择适应性强、生长迅速、繁殖容易的草灌为主，草种选择早熟禾。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黑体" w:cs="Times New Roman"/>
                <w:snapToGrid w:val="0"/>
                <w:color w:val="auto"/>
                <w:sz w:val="30"/>
                <w:szCs w:val="30"/>
                <w:vertAlign w:val="baseline"/>
              </w:rPr>
            </w:pPr>
            <w:r>
              <w:rPr>
                <w:rFonts w:hint="default" w:ascii="Times New Roman" w:hAnsi="Times New Roman" w:eastAsia="宋体" w:cs="Times New Roman"/>
                <w:bCs/>
                <w:color w:val="auto"/>
                <w:sz w:val="24"/>
                <w:szCs w:val="24"/>
                <w:lang w:val="en-US" w:eastAsia="zh-CN"/>
              </w:rPr>
              <w:t>（5）在场地建构筑物建设和硬化以外的空地区域采取相应的植物措施，增加植物覆盖率，最终减少项目区的水土流失，为础设施建设提供重要生态屏障。</w:t>
            </w:r>
          </w:p>
        </w:tc>
      </w:tr>
    </w:tbl>
    <w:p>
      <w:pPr>
        <w:pStyle w:val="32"/>
        <w:jc w:val="center"/>
        <w:outlineLvl w:val="0"/>
        <w:rPr>
          <w:rFonts w:hint="default" w:ascii="Times New Roman" w:hAnsi="Times New Roman" w:eastAsia="黑体" w:cs="Times New Roman"/>
          <w:snapToGrid w:val="0"/>
          <w:color w:val="auto"/>
          <w:sz w:val="30"/>
          <w:szCs w:val="30"/>
        </w:rPr>
        <w:sectPr>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6"/>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391"/>
        <w:gridCol w:w="1283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504" w:type="dxa"/>
            <w:tcBorders>
              <w:tl2br w:val="nil"/>
              <w:tr2bl w:val="nil"/>
            </w:tcBorders>
          </w:tcPr>
          <w:p>
            <w:pPr>
              <w:pStyle w:val="32"/>
              <w:jc w:val="center"/>
              <w:outlineLvl w:val="0"/>
              <w:rPr>
                <w:rFonts w:hint="default" w:ascii="Times New Roman" w:hAnsi="Times New Roman" w:eastAsia="黑体" w:cs="Times New Roman"/>
                <w:snapToGrid w:val="0"/>
                <w:color w:val="auto"/>
                <w:sz w:val="30"/>
                <w:szCs w:val="30"/>
                <w:vertAlign w:val="baseline"/>
              </w:rPr>
            </w:pPr>
            <w:r>
              <w:rPr>
                <w:rFonts w:hint="default" w:ascii="Times New Roman" w:hAnsi="Times New Roman" w:cs="Times New Roman"/>
                <w:bCs/>
                <w:color w:val="auto"/>
                <w:kern w:val="0"/>
                <w:sz w:val="24"/>
              </w:rPr>
              <w:t>运营期环境影响和保护措施</w:t>
            </w:r>
          </w:p>
        </w:tc>
        <w:tc>
          <w:tcPr>
            <w:tcW w:w="12724" w:type="dxa"/>
            <w:tcBorders>
              <w:tl2br w:val="nil"/>
              <w:tr2bl w:val="nil"/>
            </w:tcBorders>
          </w:tcPr>
          <w:p>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表4-1                                       本项目废气产生及排放情况一览表</w:t>
            </w:r>
          </w:p>
          <w:tbl>
            <w:tblPr>
              <w:tblStyle w:val="3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7"/>
              <w:gridCol w:w="327"/>
              <w:gridCol w:w="648"/>
              <w:gridCol w:w="550"/>
              <w:gridCol w:w="637"/>
              <w:gridCol w:w="735"/>
              <w:gridCol w:w="327"/>
              <w:gridCol w:w="655"/>
              <w:gridCol w:w="327"/>
              <w:gridCol w:w="327"/>
              <w:gridCol w:w="327"/>
              <w:gridCol w:w="550"/>
              <w:gridCol w:w="637"/>
              <w:gridCol w:w="735"/>
              <w:gridCol w:w="1039"/>
              <w:gridCol w:w="544"/>
              <w:gridCol w:w="433"/>
              <w:gridCol w:w="327"/>
              <w:gridCol w:w="526"/>
              <w:gridCol w:w="526"/>
              <w:gridCol w:w="550"/>
              <w:gridCol w:w="735"/>
              <w:gridCol w:w="6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00" w:type="pct"/>
                  <w:vMerge w:val="restart"/>
                  <w:tcBorders>
                    <w:top w:val="single" w:color="000000" w:sz="12"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产污环节</w:t>
                  </w:r>
                </w:p>
              </w:tc>
              <w:tc>
                <w:tcPr>
                  <w:tcW w:w="129"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污染物</w:t>
                  </w:r>
                </w:p>
              </w:tc>
              <w:tc>
                <w:tcPr>
                  <w:tcW w:w="256"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风机风量（m</w:t>
                  </w:r>
                  <w:r>
                    <w:rPr>
                      <w:rFonts w:hint="default" w:ascii="Times New Roman" w:hAnsi="Times New Roman" w:eastAsia="宋体" w:cs="Times New Roman"/>
                      <w:i w:val="0"/>
                      <w:iCs w:val="0"/>
                      <w:color w:val="0F1115"/>
                      <w:kern w:val="0"/>
                      <w:sz w:val="18"/>
                      <w:szCs w:val="18"/>
                      <w:u w:val="none"/>
                      <w:vertAlign w:val="superscript"/>
                      <w:lang w:val="en-US" w:eastAsia="zh-CN" w:bidi="ar"/>
                    </w:rPr>
                    <w:t>3</w:t>
                  </w:r>
                  <w:r>
                    <w:rPr>
                      <w:rFonts w:hint="default" w:ascii="Times New Roman" w:hAnsi="Times New Roman" w:eastAsia="宋体" w:cs="Times New Roman"/>
                      <w:i w:val="0"/>
                      <w:iCs w:val="0"/>
                      <w:color w:val="0F1115"/>
                      <w:kern w:val="0"/>
                      <w:sz w:val="18"/>
                      <w:szCs w:val="18"/>
                      <w:u w:val="none"/>
                      <w:lang w:val="en-US" w:eastAsia="zh-CN" w:bidi="ar"/>
                    </w:rPr>
                    <w:t>/h）</w:t>
                  </w:r>
                </w:p>
              </w:tc>
              <w:tc>
                <w:tcPr>
                  <w:tcW w:w="761" w:type="pct"/>
                  <w:gridSpan w:val="3"/>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产生情况</w:t>
                  </w:r>
                </w:p>
              </w:tc>
              <w:tc>
                <w:tcPr>
                  <w:tcW w:w="130"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排放形式</w:t>
                  </w:r>
                </w:p>
              </w:tc>
              <w:tc>
                <w:tcPr>
                  <w:tcW w:w="259"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治理措施</w:t>
                  </w:r>
                </w:p>
              </w:tc>
              <w:tc>
                <w:tcPr>
                  <w:tcW w:w="130"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收集效率</w:t>
                  </w:r>
                </w:p>
              </w:tc>
              <w:tc>
                <w:tcPr>
                  <w:tcW w:w="130"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处理效率</w:t>
                  </w:r>
                </w:p>
              </w:tc>
              <w:tc>
                <w:tcPr>
                  <w:tcW w:w="130" w:type="pct"/>
                  <w:vMerge w:val="restart"/>
                  <w:tcBorders>
                    <w:top w:val="single" w:color="000000" w:sz="12"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是否可行</w:t>
                  </w:r>
                </w:p>
              </w:tc>
              <w:tc>
                <w:tcPr>
                  <w:tcW w:w="761" w:type="pct"/>
                  <w:gridSpan w:val="3"/>
                  <w:tcBorders>
                    <w:top w:val="single" w:color="000000" w:sz="12" w:space="0"/>
                    <w:left w:val="single" w:color="000000" w:sz="8" w:space="0"/>
                    <w:bottom w:val="nil"/>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排放情况</w:t>
                  </w:r>
                </w:p>
              </w:tc>
              <w:tc>
                <w:tcPr>
                  <w:tcW w:w="1565" w:type="pct"/>
                  <w:gridSpan w:val="7"/>
                  <w:tcBorders>
                    <w:top w:val="single" w:color="000000" w:sz="12" w:space="0"/>
                    <w:left w:val="single" w:color="000000" w:sz="8" w:space="0"/>
                    <w:bottom w:val="nil"/>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排气筒参数</w:t>
                  </w:r>
                </w:p>
              </w:tc>
              <w:tc>
                <w:tcPr>
                  <w:tcW w:w="543" w:type="pct"/>
                  <w:gridSpan w:val="2"/>
                  <w:tcBorders>
                    <w:top w:val="single" w:color="000000" w:sz="12"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排放限值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200" w:type="pct"/>
                  <w:vMerge w:val="continue"/>
                  <w:tcBorders>
                    <w:top w:val="single" w:color="000000" w:sz="12" w:space="0"/>
                    <w:left w:val="single" w:color="000000" w:sz="12"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29"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56"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产生量（t/a）</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产生速率（kg/h）</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产生浓度（mg/m</w:t>
                  </w:r>
                  <w:r>
                    <w:rPr>
                      <w:rFonts w:hint="default" w:ascii="Times New Roman" w:hAnsi="Times New Roman" w:eastAsia="宋体" w:cs="Times New Roman"/>
                      <w:i w:val="0"/>
                      <w:iCs w:val="0"/>
                      <w:color w:val="0F1115"/>
                      <w:kern w:val="0"/>
                      <w:sz w:val="18"/>
                      <w:szCs w:val="18"/>
                      <w:u w:val="none"/>
                      <w:vertAlign w:val="superscript"/>
                      <w:lang w:val="en-US" w:eastAsia="zh-CN" w:bidi="ar"/>
                    </w:rPr>
                    <w:t>3</w:t>
                  </w: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59"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12"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排放量（t/a）</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排放速率（kg/h）</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排放浓度（mg/m</w:t>
                  </w:r>
                  <w:r>
                    <w:rPr>
                      <w:rFonts w:hint="default" w:ascii="Times New Roman" w:hAnsi="Times New Roman" w:eastAsia="宋体" w:cs="Times New Roman"/>
                      <w:i w:val="0"/>
                      <w:iCs w:val="0"/>
                      <w:color w:val="0F1115"/>
                      <w:kern w:val="0"/>
                      <w:sz w:val="18"/>
                      <w:szCs w:val="18"/>
                      <w:u w:val="none"/>
                      <w:vertAlign w:val="superscript"/>
                      <w:lang w:val="en-US" w:eastAsia="zh-CN" w:bidi="ar"/>
                    </w:rPr>
                    <w:t>3</w:t>
                  </w: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地理坐标</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编号</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名称</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类型</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高度（m）</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内径（m）</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温度（℃）</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浓度（mg/m</w:t>
                  </w:r>
                  <w:r>
                    <w:rPr>
                      <w:rFonts w:hint="default" w:ascii="Times New Roman" w:hAnsi="Times New Roman" w:eastAsia="宋体" w:cs="Times New Roman"/>
                      <w:i w:val="0"/>
                      <w:iCs w:val="0"/>
                      <w:color w:val="0F1115"/>
                      <w:kern w:val="0"/>
                      <w:sz w:val="18"/>
                      <w:szCs w:val="18"/>
                      <w:u w:val="none"/>
                      <w:vertAlign w:val="superscript"/>
                      <w:lang w:val="en-US" w:eastAsia="zh-CN" w:bidi="ar"/>
                    </w:rPr>
                    <w:t>3</w:t>
                  </w:r>
                  <w:r>
                    <w:rPr>
                      <w:rFonts w:hint="default" w:ascii="Times New Roman" w:hAnsi="Times New Roman" w:eastAsia="宋体" w:cs="Times New Roman"/>
                      <w:i w:val="0"/>
                      <w:iCs w:val="0"/>
                      <w:color w:val="0F1115"/>
                      <w:kern w:val="0"/>
                      <w:sz w:val="18"/>
                      <w:szCs w:val="18"/>
                      <w:u w:val="none"/>
                      <w:lang w:val="en-US" w:eastAsia="zh-CN" w:bidi="ar"/>
                    </w:rPr>
                    <w:t>）</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速率（kg/h）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vMerge w:val="restar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混合树脂缠绕固化</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50000</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68.317</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9.49</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189.8</w:t>
                  </w:r>
                </w:p>
              </w:tc>
              <w:tc>
                <w:tcPr>
                  <w:tcW w:w="130" w:type="pc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活性炭吸附/脱附+催化燃烧+15m排气筒</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6.832</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0.949</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w:t>
                  </w:r>
                </w:p>
              </w:tc>
              <w:tc>
                <w:tcPr>
                  <w:tcW w:w="411"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E：86°17′23.426″，N：41°21′50.953″</w:t>
                  </w:r>
                </w:p>
              </w:tc>
              <w:tc>
                <w:tcPr>
                  <w:tcW w:w="215"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DA001</w:t>
                  </w:r>
                </w:p>
              </w:tc>
              <w:tc>
                <w:tcPr>
                  <w:tcW w:w="171"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混合树脂缠绕固化废气排放口</w:t>
                  </w:r>
                </w:p>
              </w:tc>
              <w:tc>
                <w:tcPr>
                  <w:tcW w:w="13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一般排放口</w:t>
                  </w:r>
                </w:p>
              </w:tc>
              <w:tc>
                <w:tcPr>
                  <w:tcW w:w="208"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15</w:t>
                  </w:r>
                </w:p>
              </w:tc>
              <w:tc>
                <w:tcPr>
                  <w:tcW w:w="208"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0.5</w:t>
                  </w:r>
                </w:p>
              </w:tc>
              <w:tc>
                <w:tcPr>
                  <w:tcW w:w="22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80</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60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苯乙烯</w:t>
                  </w:r>
                </w:p>
              </w:tc>
              <w:tc>
                <w:tcPr>
                  <w:tcW w:w="2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66.742</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9.27</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185.4</w:t>
                  </w:r>
                </w:p>
              </w:tc>
              <w:tc>
                <w:tcPr>
                  <w:tcW w:w="130" w:type="pc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6.674</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0.927</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41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7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00" w:type="pct"/>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臭气浓度</w:t>
                  </w:r>
                </w:p>
              </w:tc>
              <w:tc>
                <w:tcPr>
                  <w:tcW w:w="2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52"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1"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3000（无量纲）</w:t>
                  </w:r>
                </w:p>
              </w:tc>
              <w:tc>
                <w:tcPr>
                  <w:tcW w:w="130"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60</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52"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1200（无量纲）</w:t>
                  </w:r>
                </w:p>
              </w:tc>
              <w:tc>
                <w:tcPr>
                  <w:tcW w:w="41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7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2000（无量纲）</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vMerge w:val="restar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混合树脂缠绕固化</w:t>
                  </w:r>
                </w:p>
              </w:tc>
              <w:tc>
                <w:tcPr>
                  <w:tcW w:w="129"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7.591</w:t>
                  </w:r>
                </w:p>
              </w:tc>
              <w:tc>
                <w:tcPr>
                  <w:tcW w:w="252"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1.054</w:t>
                  </w:r>
                </w:p>
              </w:tc>
              <w:tc>
                <w:tcPr>
                  <w:tcW w:w="291"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车间密闭</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7.591</w:t>
                  </w:r>
                </w:p>
              </w:tc>
              <w:tc>
                <w:tcPr>
                  <w:tcW w:w="252"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1.054</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4.0（厂界）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苯乙烯</w:t>
                  </w:r>
                </w:p>
              </w:tc>
              <w:tc>
                <w:tcPr>
                  <w:tcW w:w="25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7.416</w:t>
                  </w:r>
                </w:p>
              </w:tc>
              <w:tc>
                <w:tcPr>
                  <w:tcW w:w="252"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1.030</w:t>
                  </w:r>
                </w:p>
              </w:tc>
              <w:tc>
                <w:tcPr>
                  <w:tcW w:w="291"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tcBorders>
                    <w:top w:val="nil"/>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7.416</w:t>
                  </w:r>
                </w:p>
              </w:tc>
              <w:tc>
                <w:tcPr>
                  <w:tcW w:w="252"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1.030</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5.0（厂界）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200" w:type="pct"/>
                  <w:vMerge w:val="restar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切割修整</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颗粒物</w:t>
                  </w:r>
                </w:p>
              </w:tc>
              <w:tc>
                <w:tcPr>
                  <w:tcW w:w="256"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10000</w:t>
                  </w:r>
                </w:p>
              </w:tc>
              <w:tc>
                <w:tcPr>
                  <w:tcW w:w="218" w:type="pct"/>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lang w:val="en-US"/>
                    </w:rPr>
                  </w:pPr>
                  <w:r>
                    <w:rPr>
                      <w:rFonts w:hint="default" w:ascii="Times New Roman" w:hAnsi="Times New Roman" w:eastAsia="宋体" w:cs="Times New Roman"/>
                      <w:i w:val="0"/>
                      <w:iCs w:val="0"/>
                      <w:color w:val="0F1115"/>
                      <w:kern w:val="0"/>
                      <w:sz w:val="18"/>
                      <w:szCs w:val="18"/>
                      <w:u w:val="none"/>
                      <w:lang w:val="en-US" w:eastAsia="zh-CN" w:bidi="ar"/>
                    </w:rPr>
                    <w:t>31.5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lang w:val="en-US"/>
                    </w:rPr>
                  </w:pPr>
                  <w:r>
                    <w:rPr>
                      <w:rFonts w:hint="default" w:ascii="Times New Roman" w:hAnsi="Times New Roman" w:eastAsia="宋体" w:cs="Times New Roman"/>
                      <w:i w:val="0"/>
                      <w:iCs w:val="0"/>
                      <w:color w:val="0F1115"/>
                      <w:kern w:val="0"/>
                      <w:sz w:val="18"/>
                      <w:szCs w:val="18"/>
                      <w:u w:val="none"/>
                      <w:lang w:val="en-US" w:eastAsia="zh-CN" w:bidi="ar"/>
                    </w:rPr>
                    <w:t>4.375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lang w:val="en-US"/>
                    </w:rPr>
                  </w:pPr>
                  <w:r>
                    <w:rPr>
                      <w:rFonts w:hint="default" w:ascii="Times New Roman" w:hAnsi="Times New Roman" w:eastAsia="宋体" w:cs="Times New Roman"/>
                      <w:i w:val="0"/>
                      <w:iCs w:val="0"/>
                      <w:color w:val="0F1115"/>
                      <w:kern w:val="0"/>
                      <w:sz w:val="18"/>
                      <w:szCs w:val="18"/>
                      <w:u w:val="none"/>
                      <w:lang w:val="en-US" w:eastAsia="zh-CN" w:bidi="ar"/>
                    </w:rPr>
                    <w:t>437.5</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布袋除尘器+15m排气筒</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99</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0.315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0.044</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4.4</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E86°17′23.117″，N41°21′50.982″</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DA002</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切割修整废气排放口</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一般排放口</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15</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0.5</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0" w:type="pct"/>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颗粒物</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3.5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0.486</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车间密闭、洒水降尘</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3.5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0.486</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PE管挤出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10000</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2.025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0.281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活性炭吸附/脱附+催化燃烧+15m排气筒（合并进入DA003）</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0.676</w:t>
                  </w:r>
                </w:p>
              </w:tc>
              <w:tc>
                <w:tcPr>
                  <w:tcW w:w="252"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0.094</w:t>
                  </w:r>
                </w:p>
              </w:tc>
              <w:tc>
                <w:tcPr>
                  <w:tcW w:w="291"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w:t>
                  </w:r>
                </w:p>
              </w:tc>
              <w:tc>
                <w:tcPr>
                  <w:tcW w:w="411"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E86°17′24.845″，N41°21′50.045″</w:t>
                  </w:r>
                </w:p>
              </w:tc>
              <w:tc>
                <w:tcPr>
                  <w:tcW w:w="215"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DA003</w:t>
                  </w:r>
                </w:p>
              </w:tc>
              <w:tc>
                <w:tcPr>
                  <w:tcW w:w="171"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塑料管材挤出废气排放口</w:t>
                  </w:r>
                </w:p>
              </w:tc>
              <w:tc>
                <w:tcPr>
                  <w:tcW w:w="13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一般排放口</w:t>
                  </w:r>
                </w:p>
              </w:tc>
              <w:tc>
                <w:tcPr>
                  <w:tcW w:w="208"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15</w:t>
                  </w:r>
                </w:p>
              </w:tc>
              <w:tc>
                <w:tcPr>
                  <w:tcW w:w="208"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0.6</w:t>
                  </w:r>
                </w:p>
              </w:tc>
              <w:tc>
                <w:tcPr>
                  <w:tcW w:w="22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80</w:t>
                  </w:r>
                </w:p>
              </w:tc>
              <w:tc>
                <w:tcPr>
                  <w:tcW w:w="290"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60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HDPE波纹管挤出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0.375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52"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9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41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1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7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9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0.281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52"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9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41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1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7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9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氯化氢</w:t>
                  </w:r>
                </w:p>
              </w:tc>
              <w:tc>
                <w:tcPr>
                  <w:tcW w:w="2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0.160</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0.022</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60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0.064</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w:t>
                  </w:r>
                </w:p>
              </w:tc>
              <w:tc>
                <w:tcPr>
                  <w:tcW w:w="41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1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7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氯乙烯</w:t>
                  </w:r>
                </w:p>
              </w:tc>
              <w:tc>
                <w:tcPr>
                  <w:tcW w:w="256"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0.191</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0.027</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60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0.076</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1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215"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71"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08"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20"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PVC管混料</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颗粒物</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5000</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有组织</w:t>
                  </w:r>
                </w:p>
              </w:tc>
              <w:tc>
                <w:tcPr>
                  <w:tcW w:w="25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布袋除尘器+15m排气筒</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90</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99</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0.081</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E86°17′24.845″，N41°21′49.833″</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DA004</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PVC管混料废气排放口</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一般排放口</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20</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PE管挤出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0.225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0.031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车间密闭</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0.225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0.031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4.0（厂界）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HDPE波纹管挤出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0.3</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0.042</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0.3</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0.042</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4.0（厂界）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非甲烷总烃</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0.225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0.031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0.225</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0.031</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4.0（厂界）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氯化氢</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0.018</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0.0025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0.018</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0.0025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PVC管挤出</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氯乙烯</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0.021</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0.0029</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default" w:ascii="Times New Roman" w:hAnsi="Times New Roman" w:eastAsia="宋体" w:cs="Times New Roman"/>
                      <w:i w:val="0"/>
                      <w:iCs w:val="0"/>
                      <w:color w:val="0F1115"/>
                      <w:sz w:val="18"/>
                      <w:szCs w:val="18"/>
                      <w:u w:val="none"/>
                    </w:rPr>
                  </w:pP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0.021</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0.0029</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00" w:type="pct"/>
                  <w:tcBorders>
                    <w:top w:val="single" w:color="000000" w:sz="8" w:space="0"/>
                    <w:left w:val="single" w:color="000000" w:sz="12"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PVC管混料</w:t>
                  </w:r>
                </w:p>
              </w:tc>
              <w:tc>
                <w:tcPr>
                  <w:tcW w:w="12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颗粒物</w:t>
                  </w:r>
                </w:p>
              </w:tc>
              <w:tc>
                <w:tcPr>
                  <w:tcW w:w="256"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0.9</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0.125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车间密闭、洒水降尘</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0.9</w:t>
                  </w:r>
                </w:p>
              </w:tc>
              <w:tc>
                <w:tcPr>
                  <w:tcW w:w="252"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0.125</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1.0（厂界）</w:t>
                  </w:r>
                </w:p>
              </w:tc>
              <w:tc>
                <w:tcPr>
                  <w:tcW w:w="252" w:type="pct"/>
                  <w:tcBorders>
                    <w:top w:val="single" w:color="000000" w:sz="8" w:space="0"/>
                    <w:left w:val="single" w:color="000000" w:sz="8" w:space="0"/>
                    <w:bottom w:val="single" w:color="000000" w:sz="8"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200" w:type="pct"/>
                  <w:tcBorders>
                    <w:top w:val="single" w:color="000000" w:sz="8" w:space="0"/>
                    <w:left w:val="single" w:color="000000" w:sz="12"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石英砂投料</w:t>
                  </w:r>
                </w:p>
              </w:tc>
              <w:tc>
                <w:tcPr>
                  <w:tcW w:w="129"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颗粒物</w:t>
                  </w:r>
                </w:p>
              </w:tc>
              <w:tc>
                <w:tcPr>
                  <w:tcW w:w="256"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8"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0.340</w:t>
                  </w:r>
                </w:p>
              </w:tc>
              <w:tc>
                <w:tcPr>
                  <w:tcW w:w="252"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0.047</w:t>
                  </w:r>
                </w:p>
              </w:tc>
              <w:tc>
                <w:tcPr>
                  <w:tcW w:w="291"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无组织</w:t>
                  </w:r>
                </w:p>
              </w:tc>
              <w:tc>
                <w:tcPr>
                  <w:tcW w:w="259"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投料口围挡、低落差投料、洒水降尘</w:t>
                  </w:r>
                </w:p>
              </w:tc>
              <w:tc>
                <w:tcPr>
                  <w:tcW w:w="13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是</w:t>
                  </w:r>
                </w:p>
              </w:tc>
              <w:tc>
                <w:tcPr>
                  <w:tcW w:w="218"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0.102</w:t>
                  </w:r>
                </w:p>
              </w:tc>
              <w:tc>
                <w:tcPr>
                  <w:tcW w:w="252"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0.014</w:t>
                  </w:r>
                </w:p>
              </w:tc>
              <w:tc>
                <w:tcPr>
                  <w:tcW w:w="291"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411"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15"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71"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13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08"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2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c>
                <w:tcPr>
                  <w:tcW w:w="290" w:type="pct"/>
                  <w:tcBorders>
                    <w:top w:val="single" w:color="000000" w:sz="8" w:space="0"/>
                    <w:left w:val="single" w:color="000000" w:sz="8" w:space="0"/>
                    <w:bottom w:val="single" w:color="000000" w:sz="12" w:space="0"/>
                    <w:right w:val="single" w:color="000000" w:sz="8"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1.0（厂界）</w:t>
                  </w:r>
                </w:p>
              </w:tc>
              <w:tc>
                <w:tcPr>
                  <w:tcW w:w="252" w:type="pct"/>
                  <w:tcBorders>
                    <w:top w:val="single" w:color="000000" w:sz="8" w:space="0"/>
                    <w:left w:val="single" w:color="000000" w:sz="8" w:space="0"/>
                    <w:bottom w:val="single" w:color="000000" w:sz="12" w:space="0"/>
                    <w:right w:val="single" w:color="000000" w:sz="12"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sz w:val="18"/>
                      <w:szCs w:val="18"/>
                      <w:u w:val="none"/>
                    </w:rPr>
                  </w:pPr>
                  <w:r>
                    <w:rPr>
                      <w:rFonts w:hint="default" w:ascii="Times New Roman" w:hAnsi="Times New Roman" w:eastAsia="宋体" w:cs="Times New Roman"/>
                      <w:i w:val="0"/>
                      <w:iCs w:val="0"/>
                      <w:color w:val="0F1115"/>
                      <w:kern w:val="0"/>
                      <w:sz w:val="18"/>
                      <w:szCs w:val="18"/>
                      <w:u w:val="none"/>
                      <w:lang w:val="en-US" w:eastAsia="zh-CN" w:bidi="ar"/>
                    </w:rPr>
                    <w:t>/</w:t>
                  </w:r>
                </w:p>
              </w:tc>
            </w:tr>
          </w:tbl>
          <w:p>
            <w:pPr>
              <w:pStyle w:val="32"/>
              <w:jc w:val="center"/>
              <w:outlineLvl w:val="0"/>
              <w:rPr>
                <w:rFonts w:hint="default" w:ascii="Times New Roman" w:hAnsi="Times New Roman" w:eastAsia="黑体" w:cs="Times New Roman"/>
                <w:snapToGrid w:val="0"/>
                <w:color w:val="auto"/>
                <w:sz w:val="30"/>
                <w:szCs w:val="30"/>
                <w:vertAlign w:val="baseline"/>
              </w:rPr>
            </w:pPr>
          </w:p>
        </w:tc>
      </w:tr>
    </w:tbl>
    <w:p>
      <w:pPr>
        <w:pStyle w:val="32"/>
        <w:jc w:val="center"/>
        <w:outlineLvl w:val="0"/>
        <w:rPr>
          <w:rFonts w:hint="default" w:ascii="Times New Roman" w:hAnsi="Times New Roman" w:eastAsia="黑体" w:cs="Times New Roman"/>
          <w:snapToGrid w:val="0"/>
          <w:color w:val="auto"/>
          <w:sz w:val="30"/>
          <w:szCs w:val="30"/>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numberInDash"/>
          <w:cols w:space="720" w:num="1"/>
          <w:docGrid w:linePitch="312" w:charSpace="0"/>
        </w:sectPr>
      </w:pPr>
    </w:p>
    <w:tbl>
      <w:tblPr>
        <w:tblStyle w:val="35"/>
        <w:tblW w:w="891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32"/>
        <w:gridCol w:w="834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noWrap/>
            <w:tcMar>
              <w:left w:w="28" w:type="dxa"/>
              <w:right w:w="28" w:type="dxa"/>
            </w:tcMar>
            <w:vAlign w:val="center"/>
          </w:tcPr>
          <w:p>
            <w:pPr>
              <w:adjustRightInd w:val="0"/>
              <w:snapToGrid w:val="0"/>
              <w:jc w:val="center"/>
              <w:rPr>
                <w:rFonts w:hint="default" w:ascii="Times New Roman" w:hAnsi="Times New Roman" w:cs="Times New Roman"/>
                <w:color w:val="auto"/>
                <w:szCs w:val="24"/>
              </w:rPr>
            </w:pPr>
            <w:r>
              <w:rPr>
                <w:rFonts w:hint="default" w:ascii="Times New Roman" w:hAnsi="Times New Roman" w:cs="Times New Roman"/>
                <w:bCs/>
                <w:color w:val="auto"/>
                <w:kern w:val="0"/>
                <w:sz w:val="24"/>
              </w:rPr>
              <w:t>运营期环境影响和保护措施</w:t>
            </w:r>
          </w:p>
        </w:tc>
        <w:tc>
          <w:tcPr>
            <w:tcW w:w="8168" w:type="dxa"/>
            <w:noWrap/>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1、大气环境影响和保护措施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本项目运营期废气主要为混合树脂缠绕固化废气、切割修整废气，以及PE管、PVC管、HDPE双壁波纹管生产线挤出废气及混料粉尘。</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1.1废气收集设施设置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（1）缠绕固化废气收集设施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本项目玻璃钢管道为连续缠绕成型工艺。针对管道生产特点，缠绕固化设备为一体式设备，生产过程在密闭厂房内进行，缠绕固化设备顶端设置集气罩</w:t>
            </w:r>
            <w:r>
              <w:rPr>
                <w:rFonts w:hint="default" w:ascii="Times New Roman" w:hAnsi="Times New Roman" w:cs="Times New Roman"/>
                <w:bCs/>
                <w:color w:val="auto"/>
                <w:sz w:val="24"/>
                <w:szCs w:val="24"/>
                <w:lang w:val="en-US" w:eastAsia="zh-CN"/>
              </w:rPr>
              <w:t>同时设置软帘</w:t>
            </w:r>
            <w:r>
              <w:rPr>
                <w:rFonts w:hint="default" w:ascii="Times New Roman" w:hAnsi="Times New Roman" w:eastAsia="宋体" w:cs="Times New Roman"/>
                <w:bCs/>
                <w:color w:val="auto"/>
                <w:sz w:val="24"/>
                <w:szCs w:val="24"/>
                <w:lang w:val="en-US" w:eastAsia="zh-CN"/>
              </w:rPr>
              <w:t>进行收集废气。集气罩罩口控制风速设计值不低于0.5m/s（高于《挥发性有机物无组织排放控制标准》（GB37822-2019）要求的0.3m/s），以保障实际收集效果。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（2）切割修整废气收集设施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在切割设备上方设置外部型集气罩，罩口尺寸不小于产尘口尺寸，将产尘口上方全部罩住，保证废气收集系统与生产设备自动同步启动。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（3）塑料管材挤出及混料废气收集设施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PE管、PVC管、HDPE双壁波纹管生产线挤出机</w:t>
            </w:r>
            <w:r>
              <w:rPr>
                <w:rFonts w:hint="default" w:ascii="Times New Roman" w:hAnsi="Times New Roman" w:cs="Times New Roman"/>
                <w:bCs/>
                <w:color w:val="auto"/>
                <w:sz w:val="24"/>
                <w:szCs w:val="24"/>
                <w:lang w:val="en-US" w:eastAsia="zh-CN"/>
              </w:rPr>
              <w:t>设置封闭式集气罩</w:t>
            </w:r>
            <w:r>
              <w:rPr>
                <w:rFonts w:hint="default" w:ascii="Times New Roman" w:hAnsi="Times New Roman" w:eastAsia="宋体" w:cs="Times New Roman"/>
                <w:bCs/>
                <w:color w:val="auto"/>
                <w:sz w:val="24"/>
                <w:szCs w:val="24"/>
                <w:lang w:val="en-US" w:eastAsia="zh-CN"/>
              </w:rPr>
              <w:t>；PVC混料机投料口上方设置集气罩，采用三面围挡+软帘密闭，确保有效收集。</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1.2收集效率确定依据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根据《袋式除尘工程通用技术规范》（HJ2020-2012）第6.2.8条，密闭罩捕集率应达到100%，半密闭罩捕集率应达到95%。《挥发性有机物无组织排放控制标准》（GB37822-2019）要求集气控制风速不低于0.3m/s。本项目参照同类项目验收数据，综合取收集效率90%。</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1.3废气源强核算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（1）混合树脂缠绕固化废气（玻璃钢管道）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①</w:t>
            </w:r>
            <w:r>
              <w:rPr>
                <w:rFonts w:hint="default" w:ascii="Times New Roman" w:hAnsi="Times New Roman" w:eastAsia="宋体" w:cs="Times New Roman"/>
                <w:bCs/>
                <w:color w:val="auto"/>
                <w:sz w:val="24"/>
                <w:szCs w:val="24"/>
                <w:lang w:val="en-US" w:eastAsia="zh-CN"/>
              </w:rPr>
              <w:t>不饱和聚酯树脂（苯乙烯）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根据本项目FW-H-1241NS型不饱和聚酯树脂SDS（第3部分成分/组成信息），该树脂中苯乙烯含量为30%~40%。本次评价取</w:t>
            </w:r>
            <w:r>
              <w:rPr>
                <w:rFonts w:hint="default" w:ascii="Times New Roman" w:hAnsi="Times New Roman" w:cs="Times New Roman"/>
                <w:bCs/>
                <w:color w:val="auto"/>
                <w:sz w:val="24"/>
                <w:szCs w:val="24"/>
                <w:lang w:val="en-US" w:eastAsia="zh-CN"/>
              </w:rPr>
              <w:t>35</w:t>
            </w:r>
            <w:r>
              <w:rPr>
                <w:rFonts w:hint="default" w:ascii="Times New Roman" w:hAnsi="Times New Roman" w:eastAsia="宋体" w:cs="Times New Roman"/>
                <w:bCs/>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参考华东理工大学材料科学与工程学院特种功能高分子材料及其相关技术教育部重点实验室《新型不饱和树脂苯乙烯挥发性能研究》（亚什兰（中国）投资有限公司，张衍、陈锋、刘力，2010年11月）中表明：在20℃时通用树脂在固化成型时苯乙烯挥发质量百分比约为4%；在30℃时通用树脂在固化成型时苯乙烯挥发质量百分比变化不大，仍为5%左右。本项目模塑固化工段分三区加热，最高固化区温度约160℃，固化加热过程对苯乙烯挥发具有促进作用。综合文献测定结果（20℃时约4%、30℃时约5%），并考虑模塑固化加热工况及工程类比，本次评价苯乙烯挥发质量百分比按6%计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核算过程：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不饱和聚酯树脂用量：3531.3t/a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苯乙烯含量（SDS）：</w:t>
            </w:r>
            <w:r>
              <w:rPr>
                <w:rFonts w:hint="default" w:ascii="Times New Roman" w:hAnsi="Times New Roman" w:cs="Times New Roman"/>
                <w:bCs/>
                <w:color w:val="auto"/>
                <w:sz w:val="24"/>
                <w:szCs w:val="24"/>
                <w:lang w:val="en-US" w:eastAsia="zh-CN"/>
              </w:rPr>
              <w:t>35</w:t>
            </w:r>
            <w:r>
              <w:rPr>
                <w:rFonts w:hint="default" w:ascii="Times New Roman" w:hAnsi="Times New Roman" w:eastAsia="宋体" w:cs="Times New Roman"/>
                <w:bCs/>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苯乙烯挥发比例：6%</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苯乙烯产生量=3531.3×35%×6%=74.157t/a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该废气以非甲烷总烃表征，即非甲烷总烃产生量为74.157t/a。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②</w:t>
            </w:r>
            <w:r>
              <w:rPr>
                <w:rFonts w:hint="default" w:ascii="Times New Roman" w:hAnsi="Times New Roman" w:eastAsia="宋体" w:cs="Times New Roman"/>
                <w:bCs/>
                <w:color w:val="auto"/>
                <w:sz w:val="24"/>
                <w:szCs w:val="24"/>
                <w:lang w:val="en-US" w:eastAsia="zh-CN"/>
              </w:rPr>
              <w:t>固化剂（过氧化甲乙酮）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固化剂其挥发性组分包括过氧化甲乙酮（30%~46%）、2,2-氧联二乙醇（10%~19%）、甲基乙基酮（3%~7%）等。参考《过氧化甲乙酮/异辛酸钴引发固化UPR的研究》（河北科技大学，袁学会、刘方方）及《过氧化甲乙酮的组成结构对树脂固化反应的影响》（武汉工业大学，赵方鸣等）的研究结论，过氧化甲乙酮类固化剂在引发不饱和树脂固化过程中，有机废气产生总量约为固化剂使用量的1%。</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参照同行业环评中固化剂废气核算方法，本次评价固化剂VOCs产生量按使用量的1%计。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核算过程：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固化剂用量：70t/a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挥发比例：1%（文献及同行业取值）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VOCs（以非甲烷总烃计）产生量=70×1%=0.70t/a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③</w:t>
            </w:r>
            <w:r>
              <w:rPr>
                <w:rFonts w:hint="default" w:ascii="Times New Roman" w:hAnsi="Times New Roman" w:eastAsia="宋体" w:cs="Times New Roman"/>
                <w:bCs/>
                <w:color w:val="auto"/>
                <w:sz w:val="24"/>
                <w:szCs w:val="24"/>
                <w:lang w:val="en-US" w:eastAsia="zh-CN"/>
              </w:rPr>
              <w:t>促进剂（异辛酸钴）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促进剂主要成分为：2-乙基己酸钴（异辛酸钴）40%~45%，溶剂油55%~60%。异辛酸钴属金属有机盐类，饱和蒸气压极低，常温下不易挥发；促进剂中可挥发的VOCs主要来源于溶剂油组分。参照同行业环评及工程类比数据，溶剂油在树脂混合、缠绕及固化过程中的挥发比例约为5%，本次评价按溶剂油含量60%、挥发率5%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VOCs（以非甲烷总烃计）产生量=35×60%×5%=1.05t/a</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color w:val="auto"/>
                <w:sz w:val="24"/>
                <w:szCs w:val="24"/>
                <w:vertAlign w:val="baseline"/>
                <w:lang w:val="en-US" w:eastAsia="zh-CN"/>
              </w:rPr>
            </w:pPr>
            <w:r>
              <w:rPr>
                <w:rFonts w:hint="default" w:ascii="Times New Roman" w:hAnsi="Times New Roman" w:cs="Times New Roman"/>
                <w:b/>
                <w:bCs w:val="0"/>
                <w:color w:val="auto"/>
                <w:sz w:val="24"/>
                <w:szCs w:val="24"/>
                <w:lang w:val="en-US" w:eastAsia="zh-CN"/>
              </w:rPr>
              <w:t>表4-2     VOCs产生情况参数表</w:t>
            </w:r>
          </w:p>
          <w:tbl>
            <w:tblPr>
              <w:tblStyle w:val="36"/>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773"/>
              <w:gridCol w:w="1259"/>
              <w:gridCol w:w="1110"/>
              <w:gridCol w:w="34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原辅材料</w:t>
                  </w:r>
                </w:p>
              </w:tc>
              <w:tc>
                <w:tcPr>
                  <w:tcW w:w="77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使用量（t/a）</w:t>
                  </w:r>
                </w:p>
              </w:tc>
              <w:tc>
                <w:tcPr>
                  <w:tcW w:w="1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非甲烷总烃产生量（t/a）</w:t>
                  </w:r>
                </w:p>
              </w:tc>
              <w:tc>
                <w:tcPr>
                  <w:tcW w:w="111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其中苯乙烯（t/a）</w:t>
                  </w:r>
                </w:p>
              </w:tc>
              <w:tc>
                <w:tcPr>
                  <w:tcW w:w="34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核算依据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不饱和聚酯树脂</w:t>
                  </w:r>
                </w:p>
              </w:tc>
              <w:tc>
                <w:tcPr>
                  <w:tcW w:w="77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3531.3</w:t>
                  </w:r>
                </w:p>
              </w:tc>
              <w:tc>
                <w:tcPr>
                  <w:tcW w:w="126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74.157</w:t>
                  </w:r>
                </w:p>
              </w:tc>
              <w:tc>
                <w:tcPr>
                  <w:tcW w:w="111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i w:val="0"/>
                      <w:iCs w:val="0"/>
                      <w:color w:val="000000"/>
                      <w:kern w:val="0"/>
                      <w:sz w:val="18"/>
                      <w:szCs w:val="18"/>
                      <w:u w:val="none"/>
                      <w:lang w:val="en-US" w:eastAsia="zh-CN" w:bidi="ar"/>
                    </w:rPr>
                    <w:t>74.157</w:t>
                  </w:r>
                </w:p>
              </w:tc>
              <w:tc>
                <w:tcPr>
                  <w:tcW w:w="34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SDS苯乙烯含量30%~40%（本次评价取35%）×文献及工程类比挥发比例6%（考虑模具分区加热固化）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固化剂</w:t>
                  </w:r>
                </w:p>
              </w:tc>
              <w:tc>
                <w:tcPr>
                  <w:tcW w:w="77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70</w:t>
                  </w:r>
                </w:p>
              </w:tc>
              <w:tc>
                <w:tcPr>
                  <w:tcW w:w="126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0.7</w:t>
                  </w:r>
                </w:p>
              </w:tc>
              <w:tc>
                <w:tcPr>
                  <w:tcW w:w="111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w:t>
                  </w:r>
                </w:p>
              </w:tc>
              <w:tc>
                <w:tcPr>
                  <w:tcW w:w="34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文献取值1%挥发率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促进剂</w:t>
                  </w:r>
                </w:p>
              </w:tc>
              <w:tc>
                <w:tcPr>
                  <w:tcW w:w="77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35</w:t>
                  </w:r>
                </w:p>
              </w:tc>
              <w:tc>
                <w:tcPr>
                  <w:tcW w:w="126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1.05</w:t>
                  </w:r>
                </w:p>
              </w:tc>
              <w:tc>
                <w:tcPr>
                  <w:tcW w:w="111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w:t>
                  </w:r>
                </w:p>
              </w:tc>
              <w:tc>
                <w:tcPr>
                  <w:tcW w:w="34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溶剂油含量60%×挥发率5%（工程类比）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2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合计</w:t>
                  </w:r>
                </w:p>
              </w:tc>
              <w:tc>
                <w:tcPr>
                  <w:tcW w:w="773"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3636.3</w:t>
                  </w:r>
                </w:p>
              </w:tc>
              <w:tc>
                <w:tcPr>
                  <w:tcW w:w="126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75.907</w:t>
                  </w:r>
                </w:p>
              </w:tc>
              <w:tc>
                <w:tcPr>
                  <w:tcW w:w="1111" w:type="dxa"/>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74.157</w:t>
                  </w:r>
                </w:p>
              </w:tc>
              <w:tc>
                <w:tcPr>
                  <w:tcW w:w="344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有组织排放量核算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收集效率：</w:t>
            </w:r>
            <w:r>
              <w:rPr>
                <w:rFonts w:hint="default" w:ascii="Times New Roman" w:hAnsi="Times New Roman" w:cs="Times New Roman"/>
                <w:bCs/>
                <w:color w:val="auto"/>
                <w:sz w:val="24"/>
                <w:szCs w:val="24"/>
                <w:lang w:val="en-US" w:eastAsia="zh-CN"/>
              </w:rPr>
              <w:t>90</w:t>
            </w:r>
            <w:r>
              <w:rPr>
                <w:rFonts w:hint="default" w:ascii="Times New Roman" w:hAnsi="Times New Roman" w:eastAsia="宋体"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处理工艺：集气罩+活性炭吸附/脱附+催化燃烧；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处理效率：</w:t>
            </w:r>
            <w:r>
              <w:rPr>
                <w:rFonts w:hint="default" w:ascii="Times New Roman" w:hAnsi="Times New Roman" w:cs="Times New Roman"/>
                <w:bCs/>
                <w:color w:val="auto"/>
                <w:sz w:val="24"/>
                <w:szCs w:val="24"/>
                <w:lang w:val="en-US" w:eastAsia="zh-CN"/>
              </w:rPr>
              <w:t>90</w:t>
            </w:r>
            <w:r>
              <w:rPr>
                <w:rFonts w:hint="default" w:ascii="Times New Roman" w:hAnsi="Times New Roman" w:eastAsia="宋体" w:cs="Times New Roman"/>
                <w:bCs/>
                <w:color w:val="auto"/>
                <w:sz w:val="24"/>
                <w:szCs w:val="24"/>
                <w:lang w:val="en-US" w:eastAsia="zh-CN"/>
              </w:rPr>
              <w:t>%</w:t>
            </w:r>
            <w:r>
              <w:rPr>
                <w:rFonts w:hint="default" w:ascii="Times New Roman" w:hAnsi="Times New Roman"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根据《吸附法工业有机废气治理工程技术规范》（HJ2026-2013），吸附装置的净化效率不得低于90%，本项目取90%）</w:t>
            </w:r>
            <w:r>
              <w:rPr>
                <w:rFonts w:hint="default" w:ascii="Times New Roman" w:hAnsi="Times New Roman" w:cs="Times New Roman"/>
                <w:bCs/>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风机风量：50000m3/h</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年运行时间：7200h</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表4-2           排放情况核算表</w:t>
            </w:r>
          </w:p>
          <w:tbl>
            <w:tblPr>
              <w:tblStyle w:val="35"/>
              <w:tblW w:w="499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157"/>
              <w:gridCol w:w="783"/>
              <w:gridCol w:w="1157"/>
              <w:gridCol w:w="1063"/>
              <w:gridCol w:w="783"/>
              <w:gridCol w:w="969"/>
              <w:gridCol w:w="1093"/>
              <w:gridCol w:w="109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80" w:hRule="atLeast"/>
                <w:jc w:val="center"/>
              </w:trPr>
              <w:tc>
                <w:tcPr>
                  <w:tcW w:w="71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污染物</w:t>
                  </w:r>
                </w:p>
              </w:tc>
              <w:tc>
                <w:tcPr>
                  <w:tcW w:w="48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产生量</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（t/a）</w:t>
                  </w:r>
                </w:p>
              </w:tc>
              <w:tc>
                <w:tcPr>
                  <w:tcW w:w="71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有组织收</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集量（t/a）</w:t>
                  </w:r>
                </w:p>
              </w:tc>
              <w:tc>
                <w:tcPr>
                  <w:tcW w:w="65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无组织排</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放（t/a）</w:t>
                  </w:r>
                </w:p>
              </w:tc>
              <w:tc>
                <w:tcPr>
                  <w:tcW w:w="48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排放量</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（t/a）</w:t>
                  </w:r>
                </w:p>
              </w:tc>
              <w:tc>
                <w:tcPr>
                  <w:tcW w:w="59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排放速率</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（kg/h）</w:t>
                  </w:r>
                </w:p>
              </w:tc>
              <w:tc>
                <w:tcPr>
                  <w:tcW w:w="67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排放浓度</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（mg/m</w:t>
                  </w:r>
                  <w:r>
                    <w:rPr>
                      <w:rFonts w:hint="default" w:ascii="Times New Roman" w:hAnsi="Times New Roman" w:eastAsia="宋体" w:cs="Times New Roman"/>
                      <w:i w:val="0"/>
                      <w:iCs w:val="0"/>
                      <w:color w:val="000000"/>
                      <w:kern w:val="0"/>
                      <w:sz w:val="18"/>
                      <w:szCs w:val="18"/>
                      <w:u w:val="none"/>
                      <w:vertAlign w:val="super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w:t>
                  </w:r>
                </w:p>
              </w:tc>
              <w:tc>
                <w:tcPr>
                  <w:tcW w:w="67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标准限值</w:t>
                  </w:r>
                </w:p>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（mg/m</w:t>
                  </w:r>
                  <w:r>
                    <w:rPr>
                      <w:rFonts w:hint="default" w:ascii="Times New Roman" w:hAnsi="Times New Roman" w:eastAsia="宋体" w:cs="Times New Roman"/>
                      <w:i w:val="0"/>
                      <w:iCs w:val="0"/>
                      <w:color w:val="000000"/>
                      <w:kern w:val="0"/>
                      <w:sz w:val="18"/>
                      <w:szCs w:val="18"/>
                      <w:u w:val="none"/>
                      <w:vertAlign w:val="superscript"/>
                      <w:lang w:val="en-US" w:eastAsia="zh-CN" w:bidi="ar"/>
                    </w:rPr>
                    <w:t>3</w:t>
                  </w:r>
                  <w:r>
                    <w:rPr>
                      <w:rFonts w:hint="default" w:ascii="Times New Roman" w:hAnsi="Times New Roman" w:eastAsia="宋体" w:cs="Times New Roman"/>
                      <w:i w:val="0"/>
                      <w:iCs w:val="0"/>
                      <w:color w:val="000000"/>
                      <w:kern w:val="0"/>
                      <w:sz w:val="18"/>
                      <w:szCs w:val="18"/>
                      <w:u w:val="none"/>
                      <w:lang w:val="en-US" w:eastAsia="zh-CN" w:bidi="ar"/>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5" w:hRule="atLeast"/>
                <w:jc w:val="center"/>
              </w:trPr>
              <w:tc>
                <w:tcPr>
                  <w:tcW w:w="71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非甲烷总烃</w:t>
                  </w:r>
                </w:p>
              </w:tc>
              <w:tc>
                <w:tcPr>
                  <w:tcW w:w="48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75.907</w:t>
                  </w:r>
                </w:p>
              </w:tc>
              <w:tc>
                <w:tcPr>
                  <w:tcW w:w="71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68.317</w:t>
                  </w:r>
                </w:p>
              </w:tc>
              <w:tc>
                <w:tcPr>
                  <w:tcW w:w="65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7.591</w:t>
                  </w:r>
                </w:p>
              </w:tc>
              <w:tc>
                <w:tcPr>
                  <w:tcW w:w="48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6.832</w:t>
                  </w:r>
                </w:p>
              </w:tc>
              <w:tc>
                <w:tcPr>
                  <w:tcW w:w="59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0.949</w:t>
                  </w:r>
                </w:p>
              </w:tc>
              <w:tc>
                <w:tcPr>
                  <w:tcW w:w="67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w:t>
                  </w:r>
                </w:p>
              </w:tc>
              <w:tc>
                <w:tcPr>
                  <w:tcW w:w="67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PrEx>
              <w:trPr>
                <w:trHeight w:val="285" w:hRule="atLeast"/>
                <w:jc w:val="center"/>
              </w:trPr>
              <w:tc>
                <w:tcPr>
                  <w:tcW w:w="71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苯乙烯</w:t>
                  </w:r>
                </w:p>
              </w:tc>
              <w:tc>
                <w:tcPr>
                  <w:tcW w:w="48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74.157</w:t>
                  </w:r>
                </w:p>
              </w:tc>
              <w:tc>
                <w:tcPr>
                  <w:tcW w:w="71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66.742</w:t>
                  </w:r>
                </w:p>
              </w:tc>
              <w:tc>
                <w:tcPr>
                  <w:tcW w:w="656"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7.416</w:t>
                  </w:r>
                </w:p>
              </w:tc>
              <w:tc>
                <w:tcPr>
                  <w:tcW w:w="48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6.674</w:t>
                  </w:r>
                </w:p>
              </w:tc>
              <w:tc>
                <w:tcPr>
                  <w:tcW w:w="59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0.927</w:t>
                  </w:r>
                </w:p>
              </w:tc>
              <w:tc>
                <w:tcPr>
                  <w:tcW w:w="67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674"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⑤</w:t>
            </w:r>
            <w:r>
              <w:rPr>
                <w:rFonts w:hint="default" w:ascii="Times New Roman" w:hAnsi="Times New Roman" w:eastAsia="宋体" w:cs="Times New Roman"/>
                <w:bCs/>
                <w:color w:val="auto"/>
                <w:sz w:val="24"/>
                <w:szCs w:val="24"/>
                <w:lang w:val="en-US" w:eastAsia="zh-CN"/>
              </w:rPr>
              <w:t>臭气浓度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据典型工业恶臭源恶臭排放研究，合成树脂源臭气浓度约3000（无量纲）。经催化燃烧处理后（除臭效率保守取60%），排放浓度约1200（无量纲），满足GB14554-93表2标准（15m排气筒≤2000）。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（2）切割修整废气（玻璃钢管道）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①产污系数取值依据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参照《排放源统计调查产排污核算方法和系数手册》中《3062玻璃纤维增强塑料制品制造行业系数手册》——“切割成型”工段，颗粒物产污系数为3.5千克/吨-产品。本项目玻璃钢管道年产量10000t，则颗粒物产生量为35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②废气处理及排放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参照同类项目验收数据及HJ2020-2012要求，收集效率取90%；依据“3062玻璃纤维增强塑料制品制造行业系数手册”，袋式除尘处理效率为99%。配套风机风量10000</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eastAsia="宋体" w:cs="Times New Roman"/>
                <w:bCs/>
                <w:color w:val="auto"/>
                <w:sz w:val="24"/>
                <w:szCs w:val="24"/>
                <w:lang w:val="en-US" w:eastAsia="zh-CN"/>
              </w:rPr>
              <w:t>/h，年工作7200h。</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有组织排放量=35×90%×（1-99%）=0.315t/a，排放速率0.044kg/h，排放浓度4.4mg/</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cs="Times New Roman"/>
                <w:bCs/>
                <w:color w:val="auto"/>
                <w:sz w:val="24"/>
                <w:szCs w:val="24"/>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无组织排放量=35×10%=3.5t/a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（3）PE管挤出废气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参照《排放源统计调查产排污核算方法和系数手册》中《292塑料制品行业系数手册》——“2922塑料板、管、型材制造行业系数表”，非甲烷总烃产污系数为1.5千克/吨-产品。PE管年产量1500t。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非甲烷总烃产生量=1500×1.5÷1000=2.25t/a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（4）HDPE双壁波纹管挤出废气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参照《排放源统计调查产排污核算方法和系数手册》中《292塑料制品行业系数手册》——“2922塑料板、管、型材制造行业系数表”，非甲烷总烃产污系数为1.5千克/吨-产品。HDPE双壁波纹管年产量2000t。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非甲烷总烃产生量=2000×1.5÷1000=3.0t/a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（5）PVC管混料粉尘及挤出废气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①混料粉尘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产污系数取值依据：参照《排放源统计调查产排污核算方法和系数手册》中《292塑料制品行业系数手册》——“2922塑料板、管、型材制造行业系数表”中“配料-混合-挤出”工艺，颗粒物产污系数为6.0千克/吨-产品。PVC管年产量1500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混料粉尘产生量=1500×6.0÷1000=9.0t/a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PVC混料机投料口上方设置集气罩（三面围挡），收集效率按90%计，布袋除尘器处理效率按99%计。风机风量</w:t>
            </w:r>
            <w:r>
              <w:rPr>
                <w:rFonts w:hint="default" w:ascii="Times New Roman" w:hAnsi="Times New Roman" w:cs="Times New Roman"/>
                <w:bCs/>
                <w:color w:val="auto"/>
                <w:sz w:val="24"/>
                <w:szCs w:val="24"/>
                <w:lang w:val="en-US" w:eastAsia="zh-CN"/>
              </w:rPr>
              <w:t>5</w:t>
            </w:r>
            <w:r>
              <w:rPr>
                <w:rFonts w:hint="default" w:ascii="Times New Roman" w:hAnsi="Times New Roman" w:eastAsia="宋体" w:cs="Times New Roman"/>
                <w:bCs/>
                <w:color w:val="auto"/>
                <w:sz w:val="24"/>
                <w:szCs w:val="24"/>
                <w:lang w:val="en-US" w:eastAsia="zh-CN"/>
              </w:rPr>
              <w:t>000</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eastAsia="宋体" w:cs="Times New Roman"/>
                <w:bCs/>
                <w:color w:val="auto"/>
                <w:sz w:val="24"/>
                <w:szCs w:val="24"/>
                <w:lang w:val="en-US" w:eastAsia="zh-CN"/>
              </w:rPr>
              <w:t>/h，年工作7200h。</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有组织排放量=9.0×90%×（1-99%）=0.081t/a，排放浓度</w:t>
            </w:r>
            <w:r>
              <w:rPr>
                <w:rFonts w:hint="default" w:ascii="Times New Roman" w:hAnsi="Times New Roman" w:cs="Times New Roman"/>
                <w:bCs/>
                <w:color w:val="auto"/>
                <w:sz w:val="24"/>
                <w:szCs w:val="24"/>
                <w:lang w:val="en-US" w:eastAsia="zh-CN"/>
              </w:rPr>
              <w:t>2.2</w:t>
            </w:r>
            <w:r>
              <w:rPr>
                <w:rFonts w:hint="default" w:ascii="Times New Roman" w:hAnsi="Times New Roman" w:eastAsia="宋体" w:cs="Times New Roman"/>
                <w:bCs/>
                <w:color w:val="auto"/>
                <w:sz w:val="24"/>
                <w:szCs w:val="24"/>
                <w:lang w:val="en-US" w:eastAsia="zh-CN"/>
              </w:rPr>
              <w:t>mg/</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无组织排放量=9.0×10%=0.9t/a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②PVC挤出废气（非甲烷总烃）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产污系数取值依据：参照《排放源统计调查产排污核算方法和系数手册》中《292塑料制品行业系数手册》——“2922塑料板、管、型材制造行业系数表”，非甲烷总烃产污系数为1.5千克/吨-产品。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非甲烷总烃产生量=1500×1.5÷1000=2.25t/a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③PVC挤出废气（氯化氢、氯乙烯）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产污系数取值依据：根据《气相色谱-质谱法分析聚氯乙烯加热分解产物》（《中国卫生检验杂志》，2008年4月第18卷第4期，林华影等）的实验研究，不同温度条件下聚氯乙烯（PVC）热解产生的氯化氢、氯乙烯浓度如下表所示。</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color w:val="auto"/>
                <w:sz w:val="24"/>
                <w:szCs w:val="24"/>
                <w:vertAlign w:val="baseline"/>
                <w:lang w:val="en-US" w:eastAsia="zh-CN"/>
              </w:rPr>
            </w:pPr>
            <w:r>
              <w:rPr>
                <w:rFonts w:hint="default" w:ascii="Times New Roman" w:hAnsi="Times New Roman" w:eastAsia="宋体" w:cs="Times New Roman"/>
                <w:b/>
                <w:bCs w:val="0"/>
                <w:color w:val="auto"/>
                <w:sz w:val="24"/>
                <w:szCs w:val="24"/>
                <w:lang w:val="en-US" w:eastAsia="zh-CN"/>
              </w:rPr>
              <w:t>表4-</w:t>
            </w:r>
            <w:r>
              <w:rPr>
                <w:rFonts w:hint="default" w:ascii="Times New Roman" w:hAnsi="Times New Roman" w:cs="Times New Roman"/>
                <w:b/>
                <w:bCs w:val="0"/>
                <w:color w:val="auto"/>
                <w:sz w:val="24"/>
                <w:szCs w:val="24"/>
                <w:lang w:val="en-US" w:eastAsia="zh-CN"/>
              </w:rPr>
              <w:t>4</w:t>
            </w:r>
            <w:r>
              <w:rPr>
                <w:rFonts w:hint="default" w:ascii="Times New Roman" w:hAnsi="Times New Roman" w:eastAsia="宋体" w:cs="Times New Roman"/>
                <w:b/>
                <w:bCs w:val="0"/>
                <w:color w:val="auto"/>
                <w:sz w:val="24"/>
                <w:szCs w:val="24"/>
                <w:lang w:val="en-US" w:eastAsia="zh-CN"/>
              </w:rPr>
              <w:t xml:space="preserve">  </w:t>
            </w:r>
            <w:r>
              <w:rPr>
                <w:rFonts w:hint="default" w:ascii="Times New Roman" w:hAnsi="Times New Roman" w:cs="Times New Roman"/>
                <w:b/>
                <w:bCs w:val="0"/>
                <w:color w:val="auto"/>
                <w:sz w:val="24"/>
                <w:szCs w:val="24"/>
                <w:lang w:val="en-US" w:eastAsia="zh-CN"/>
              </w:rPr>
              <w:t xml:space="preserve">   </w:t>
            </w:r>
            <w:r>
              <w:rPr>
                <w:rFonts w:hint="default" w:ascii="Times New Roman" w:hAnsi="Times New Roman" w:eastAsia="宋体" w:cs="Times New Roman"/>
                <w:b/>
                <w:bCs w:val="0"/>
                <w:color w:val="auto"/>
                <w:sz w:val="24"/>
                <w:szCs w:val="24"/>
                <w:lang w:val="en-US" w:eastAsia="zh-CN"/>
              </w:rPr>
              <w:t xml:space="preserve">    PVC热解产物产污系数取值依据</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725"/>
              <w:gridCol w:w="726"/>
              <w:gridCol w:w="726"/>
              <w:gridCol w:w="726"/>
              <w:gridCol w:w="726"/>
              <w:gridCol w:w="950"/>
              <w:gridCol w:w="276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污染物</w:t>
                  </w:r>
                </w:p>
              </w:tc>
              <w:tc>
                <w:tcPr>
                  <w:tcW w:w="3630"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不同温度下的产污系数（kg/t-原料）</w:t>
                  </w:r>
                </w:p>
              </w:tc>
              <w:tc>
                <w:tcPr>
                  <w:tcW w:w="95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本次取值</w:t>
                  </w:r>
                </w:p>
              </w:tc>
              <w:tc>
                <w:tcPr>
                  <w:tcW w:w="279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取值说明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150℃</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170℃</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190℃</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210℃</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230℃</w:t>
                  </w:r>
                </w:p>
              </w:tc>
              <w:tc>
                <w:tcPr>
                  <w:tcW w:w="9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p>
              </w:tc>
              <w:tc>
                <w:tcPr>
                  <w:tcW w:w="279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氯化氢</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0.0948</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0.1187</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0.1683</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0.1946</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0.2253</w:t>
                  </w:r>
                </w:p>
              </w:tc>
              <w:tc>
                <w:tcPr>
                  <w:tcW w:w="9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0.1187</w:t>
                  </w:r>
                </w:p>
              </w:tc>
              <w:tc>
                <w:tcPr>
                  <w:tcW w:w="279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lang w:val="en-US" w:eastAsia="zh-CN"/>
                    </w:rPr>
                  </w:pPr>
                  <w:r>
                    <w:rPr>
                      <w:rFonts w:hint="default" w:ascii="Times New Roman" w:hAnsi="Times New Roman" w:eastAsia="宋体" w:cs="Times New Roman"/>
                      <w:bCs/>
                      <w:color w:val="auto"/>
                      <w:sz w:val="18"/>
                      <w:szCs w:val="18"/>
                      <w:lang w:val="en-US" w:eastAsia="zh-CN"/>
                    </w:rPr>
                    <w:t>PVC管材挤出温度160~185℃，</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保守取170℃对应值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7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氯乙烯</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0.1157</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0.1412</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0.1823</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0.2284</w:t>
                  </w:r>
                </w:p>
              </w:tc>
              <w:tc>
                <w:tcPr>
                  <w:tcW w:w="72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0.2756</w:t>
                  </w:r>
                </w:p>
              </w:tc>
              <w:tc>
                <w:tcPr>
                  <w:tcW w:w="9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0.1412</w:t>
                  </w:r>
                </w:p>
              </w:tc>
              <w:tc>
                <w:tcPr>
                  <w:tcW w:w="279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该实验方法为：称取25g纯聚氯乙烯粉末置于250mL具塞碘量瓶中，在不同温度下加热0.5h，用100μL进样针抽取热解气体进行气相色谱-质谱分析。本项目PVC管材挤出温度控制在160℃～185℃（达不到PVC大量分解温度），本次评价保守取170℃对应的产污系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氯化氢产生量=1500×0.1187÷1000=0.178t/a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氯乙烯产生量=1500×0.1412÷1000=0.212t/a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收集效率90%，氯化氢、氯乙烯经“活性炭吸附/脱附+催化燃烧”处理（处理效率取60%）。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氯化氢有组织排放量=0.178×90%×（1-60%）=0.064t/a，排放浓度</w:t>
            </w:r>
            <w:r>
              <w:rPr>
                <w:rFonts w:hint="default" w:ascii="Times New Roman" w:hAnsi="Times New Roman" w:cs="Times New Roman"/>
                <w:bCs/>
                <w:color w:val="auto"/>
                <w:sz w:val="24"/>
                <w:szCs w:val="24"/>
                <w:lang w:val="en-US" w:eastAsia="zh-CN"/>
              </w:rPr>
              <w:t>0.9</w:t>
            </w:r>
            <w:r>
              <w:rPr>
                <w:rFonts w:hint="default" w:ascii="Times New Roman" w:hAnsi="Times New Roman" w:eastAsia="宋体" w:cs="Times New Roman"/>
                <w:bCs/>
                <w:color w:val="auto"/>
                <w:sz w:val="24"/>
                <w:szCs w:val="24"/>
                <w:lang w:val="en-US" w:eastAsia="zh-CN"/>
              </w:rPr>
              <w:t>mg/</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氯乙烯有组织排放量=0.212×90%×（1-60%）=0.076t/a，排放浓度</w:t>
            </w:r>
            <w:r>
              <w:rPr>
                <w:rFonts w:hint="default" w:ascii="Times New Roman" w:hAnsi="Times New Roman" w:cs="Times New Roman"/>
                <w:bCs/>
                <w:color w:val="auto"/>
                <w:sz w:val="24"/>
                <w:szCs w:val="24"/>
                <w:lang w:val="en-US" w:eastAsia="zh-CN"/>
              </w:rPr>
              <w:t>1.0</w:t>
            </w:r>
            <w:r>
              <w:rPr>
                <w:rFonts w:hint="default" w:ascii="Times New Roman" w:hAnsi="Times New Roman" w:eastAsia="宋体" w:cs="Times New Roman"/>
                <w:bCs/>
                <w:color w:val="auto"/>
                <w:sz w:val="24"/>
                <w:szCs w:val="24"/>
                <w:lang w:val="en-US" w:eastAsia="zh-CN"/>
              </w:rPr>
              <w:t>mg/</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（6）多生产线合并处理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PE管、PVC管、HDPE双壁波纹管三条生产线挤出废气经各自收集后，汇入同一套“活性炭吸附/脱附+催化燃烧”装置集中处理，尾气通过1根15m高排气筒（DA003）排放（总风量10000</w:t>
            </w:r>
            <w:r>
              <w:rPr>
                <w:rFonts w:hint="default" w:ascii="Times New Roman" w:hAnsi="Times New Roman" w:cs="Times New Roman"/>
                <w:bCs/>
                <w:color w:val="auto"/>
                <w:sz w:val="24"/>
                <w:szCs w:val="24"/>
                <w:lang w:val="en-US" w:eastAsia="zh-CN"/>
              </w:rPr>
              <w:t>m</w:t>
            </w:r>
            <w:r>
              <w:rPr>
                <w:rFonts w:hint="default" w:ascii="Times New Roman" w:hAnsi="Times New Roman" w:cs="Times New Roman"/>
                <w:bCs/>
                <w:color w:val="auto"/>
                <w:sz w:val="24"/>
                <w:szCs w:val="24"/>
                <w:vertAlign w:val="superscript"/>
                <w:lang w:val="en-US" w:eastAsia="zh-CN"/>
              </w:rPr>
              <w:t>3</w:t>
            </w:r>
            <w:r>
              <w:rPr>
                <w:rFonts w:hint="default" w:ascii="Times New Roman" w:hAnsi="Times New Roman" w:eastAsia="宋体" w:cs="Times New Roman"/>
                <w:bCs/>
                <w:color w:val="auto"/>
                <w:sz w:val="24"/>
                <w:szCs w:val="24"/>
                <w:lang w:val="en-US" w:eastAsia="zh-CN"/>
              </w:rPr>
              <w:t>/h）。</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各生产线废气收集及排放情况汇总见下表。</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color w:val="auto"/>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val="0"/>
                <w:color w:val="auto"/>
                <w:sz w:val="24"/>
                <w:szCs w:val="24"/>
                <w:vertAlign w:val="baseline"/>
                <w:lang w:val="en-US" w:eastAsia="zh-CN"/>
              </w:rPr>
            </w:pPr>
            <w:r>
              <w:rPr>
                <w:rFonts w:hint="default" w:ascii="Times New Roman" w:hAnsi="Times New Roman" w:eastAsia="宋体" w:cs="Times New Roman"/>
                <w:b/>
                <w:bCs w:val="0"/>
                <w:color w:val="auto"/>
                <w:sz w:val="24"/>
                <w:szCs w:val="24"/>
                <w:lang w:val="en-US" w:eastAsia="zh-CN"/>
              </w:rPr>
              <w:t>表4-</w:t>
            </w:r>
            <w:r>
              <w:rPr>
                <w:rFonts w:hint="default" w:ascii="Times New Roman" w:hAnsi="Times New Roman" w:cs="Times New Roman"/>
                <w:b/>
                <w:bCs w:val="0"/>
                <w:color w:val="auto"/>
                <w:sz w:val="24"/>
                <w:szCs w:val="24"/>
                <w:lang w:val="en-US" w:eastAsia="zh-CN"/>
              </w:rPr>
              <w:t>5</w:t>
            </w:r>
            <w:r>
              <w:rPr>
                <w:rFonts w:hint="default" w:ascii="Times New Roman" w:hAnsi="Times New Roman" w:eastAsia="宋体" w:cs="Times New Roman"/>
                <w:b/>
                <w:bCs w:val="0"/>
                <w:color w:val="auto"/>
                <w:sz w:val="24"/>
                <w:szCs w:val="24"/>
                <w:lang w:val="en-US" w:eastAsia="zh-CN"/>
              </w:rPr>
              <w:t xml:space="preserve">       各生产线废气收集及排放情况汇总表</w:t>
            </w:r>
          </w:p>
          <w:tbl>
            <w:tblPr>
              <w:tblStyle w:val="36"/>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352"/>
              <w:gridCol w:w="352"/>
              <w:gridCol w:w="627"/>
              <w:gridCol w:w="611"/>
              <w:gridCol w:w="627"/>
              <w:gridCol w:w="467"/>
              <w:gridCol w:w="467"/>
              <w:gridCol w:w="558"/>
              <w:gridCol w:w="627"/>
              <w:gridCol w:w="627"/>
              <w:gridCol w:w="734"/>
              <w:gridCol w:w="854"/>
              <w:gridCol w:w="6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生产线</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污染源</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污染物</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原料/产品量（t/a）</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产污系数</w:t>
                  </w:r>
                  <w:r>
                    <w:rPr>
                      <w:rFonts w:hint="default" w:ascii="Times New Roman" w:hAnsi="Times New Roman" w:cs="Times New Roman"/>
                      <w:bCs/>
                      <w:color w:val="auto"/>
                      <w:sz w:val="18"/>
                      <w:szCs w:val="18"/>
                      <w:lang w:val="en-US" w:eastAsia="zh-CN"/>
                    </w:rPr>
                    <w:t>（</w:t>
                  </w:r>
                  <w:r>
                    <w:rPr>
                      <w:rFonts w:hint="default" w:ascii="Times New Roman" w:hAnsi="Times New Roman" w:eastAsia="宋体" w:cs="Times New Roman"/>
                      <w:bCs/>
                      <w:color w:val="auto"/>
                      <w:sz w:val="18"/>
                      <w:szCs w:val="18"/>
                      <w:lang w:val="en-US" w:eastAsia="zh-CN"/>
                    </w:rPr>
                    <w:t>kg/t-产品</w:t>
                  </w:r>
                  <w:r>
                    <w:rPr>
                      <w:rFonts w:hint="default" w:ascii="Times New Roman" w:hAnsi="Times New Roman" w:cs="Times New Roman"/>
                      <w:bCs/>
                      <w:color w:val="auto"/>
                      <w:sz w:val="18"/>
                      <w:szCs w:val="18"/>
                      <w:lang w:val="en-US" w:eastAsia="zh-CN"/>
                    </w:rPr>
                    <w:t>）</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产生量（t/a）</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收集效率</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处理效率</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年运行时间（h）</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有组织产生量（t/a）</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有组织排放量（t/a）</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排放速率（kg/h）</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排放浓度*（mg/</w:t>
                  </w:r>
                  <w:r>
                    <w:rPr>
                      <w:rFonts w:hint="default" w:ascii="Times New Roman" w:hAnsi="Times New Roman" w:cs="Times New Roman"/>
                      <w:bCs/>
                      <w:color w:val="auto"/>
                      <w:sz w:val="18"/>
                      <w:szCs w:val="18"/>
                      <w:lang w:val="en-US" w:eastAsia="zh-CN"/>
                    </w:rPr>
                    <w:t>m</w:t>
                  </w:r>
                  <w:r>
                    <w:rPr>
                      <w:rFonts w:hint="default" w:ascii="Times New Roman" w:hAnsi="Times New Roman" w:cs="Times New Roman"/>
                      <w:bCs/>
                      <w:color w:val="auto"/>
                      <w:sz w:val="18"/>
                      <w:szCs w:val="18"/>
                      <w:vertAlign w:val="superscript"/>
                      <w:lang w:val="en-US" w:eastAsia="zh-CN"/>
                    </w:rPr>
                    <w:t>3</w:t>
                  </w:r>
                  <w:r>
                    <w:rPr>
                      <w:rFonts w:hint="default" w:ascii="Times New Roman" w:hAnsi="Times New Roman" w:eastAsia="宋体" w:cs="Times New Roman"/>
                      <w:bCs/>
                      <w:color w:val="auto"/>
                      <w:sz w:val="18"/>
                      <w:szCs w:val="18"/>
                      <w:lang w:val="en-US" w:eastAsia="zh-CN"/>
                    </w:rPr>
                    <w:t>）</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无组织排放量（t/a）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PE管生产线</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挤出废气</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非甲烷总烃</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1500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2.25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90%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9</w:t>
                  </w:r>
                  <w:r>
                    <w:rPr>
                      <w:rFonts w:hint="default" w:ascii="Times New Roman" w:hAnsi="Times New Roman" w:eastAsia="宋体" w:cs="Times New Roman"/>
                      <w:bCs/>
                      <w:color w:val="auto"/>
                      <w:sz w:val="18"/>
                      <w:szCs w:val="18"/>
                      <w:lang w:val="en-US" w:eastAsia="zh-CN"/>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7200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2.025</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0.203</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0.028</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2.8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0.225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HDPE双壁波纹管生产线</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挤出废气</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非甲烷总烃</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2000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3.0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90%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9</w:t>
                  </w:r>
                  <w:r>
                    <w:rPr>
                      <w:rFonts w:hint="default" w:ascii="Times New Roman" w:hAnsi="Times New Roman" w:eastAsia="宋体" w:cs="Times New Roman"/>
                      <w:bCs/>
                      <w:color w:val="auto"/>
                      <w:sz w:val="18"/>
                      <w:szCs w:val="18"/>
                      <w:lang w:val="en-US" w:eastAsia="zh-CN"/>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7200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2.7</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0.270</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0.038</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3.8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w:t>
                  </w:r>
                  <w:r>
                    <w:rPr>
                      <w:rFonts w:hint="default" w:ascii="Times New Roman" w:hAnsi="Times New Roman" w:cs="Times New Roman"/>
                      <w:bCs/>
                      <w:color w:val="auto"/>
                      <w:sz w:val="18"/>
                      <w:szCs w:val="18"/>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0" w:type="auto"/>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PVC管生产线</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挤出废气</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非甲烷总烃</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1500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1.5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2.25</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90%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9</w:t>
                  </w:r>
                  <w:r>
                    <w:rPr>
                      <w:rFonts w:hint="default" w:ascii="Times New Roman" w:hAnsi="Times New Roman" w:eastAsia="宋体" w:cs="Times New Roman"/>
                      <w:bCs/>
                      <w:color w:val="auto"/>
                      <w:sz w:val="18"/>
                      <w:szCs w:val="18"/>
                      <w:lang w:val="en-US" w:eastAsia="zh-CN"/>
                    </w:rPr>
                    <w:t>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7200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2.025</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0.203</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0.028</w:t>
                  </w:r>
                </w:p>
              </w:tc>
              <w:tc>
                <w:tcPr>
                  <w:tcW w:w="0" w:type="auto"/>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18"/>
                      <w:szCs w:val="18"/>
                      <w:vertAlign w:val="baseli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0.20</w:t>
                  </w:r>
                  <w:r>
                    <w:rPr>
                      <w:rFonts w:hint="default" w:ascii="Times New Roman" w:hAnsi="Times New Roman" w:cs="Times New Roman"/>
                      <w:bCs/>
                      <w:color w:val="auto"/>
                      <w:sz w:val="18"/>
                      <w:szCs w:val="18"/>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0" w:type="auto"/>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挤出废气</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氯化氢</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1500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0.1187</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0.178</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90%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60%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7200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0.160</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0.064</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0.9</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0.018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0" w:type="auto"/>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挤出废气</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氯乙烯</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1500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lang w:val="en-US" w:eastAsia="zh-CN"/>
                    </w:rPr>
                    <w:t>0.1412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0.212</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90%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60%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lang w:val="en-US" w:eastAsia="zh-CN"/>
                    </w:rPr>
                    <w:t>7200</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0.191</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0.076</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0" w:type="auto"/>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0" w:type="auto"/>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cs="Times New Roman"/>
                      <w:bCs/>
                      <w:color w:val="auto"/>
                      <w:sz w:val="18"/>
                      <w:szCs w:val="18"/>
                      <w:vertAlign w:val="baseline"/>
                      <w:lang w:val="en-US" w:eastAsia="zh-CN"/>
                    </w:rPr>
                    <w:t>0.021</w:t>
                  </w:r>
                </w:p>
              </w:tc>
            </w:tr>
          </w:tbl>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val="0"/>
                <w:color w:val="auto"/>
                <w:sz w:val="24"/>
                <w:szCs w:val="24"/>
                <w:vertAlign w:val="baseline"/>
                <w:lang w:val="en-US" w:eastAsia="zh-CN"/>
              </w:rPr>
            </w:pPr>
            <w:r>
              <w:rPr>
                <w:rFonts w:hint="default" w:ascii="Times New Roman" w:hAnsi="Times New Roman" w:eastAsia="宋体" w:cs="Times New Roman"/>
                <w:b/>
                <w:bCs w:val="0"/>
                <w:color w:val="auto"/>
                <w:sz w:val="24"/>
                <w:szCs w:val="24"/>
                <w:lang w:val="en-US" w:eastAsia="zh-CN"/>
              </w:rPr>
              <w:t>表4-</w:t>
            </w:r>
            <w:r>
              <w:rPr>
                <w:rFonts w:hint="default" w:ascii="Times New Roman" w:hAnsi="Times New Roman" w:cs="Times New Roman"/>
                <w:b/>
                <w:bCs w:val="0"/>
                <w:color w:val="auto"/>
                <w:sz w:val="24"/>
                <w:szCs w:val="24"/>
                <w:lang w:val="en-US" w:eastAsia="zh-CN"/>
              </w:rPr>
              <w:t xml:space="preserve">6       </w:t>
            </w:r>
            <w:r>
              <w:rPr>
                <w:rFonts w:hint="default" w:ascii="Times New Roman" w:hAnsi="Times New Roman" w:eastAsia="宋体" w:cs="Times New Roman"/>
                <w:b/>
                <w:bCs w:val="0"/>
                <w:color w:val="auto"/>
                <w:sz w:val="24"/>
                <w:szCs w:val="24"/>
                <w:lang w:val="en-US" w:eastAsia="zh-CN"/>
              </w:rPr>
              <w:t xml:space="preserve"> DA003排气筒合并排放情况</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755"/>
              <w:gridCol w:w="1562"/>
              <w:gridCol w:w="1721"/>
              <w:gridCol w:w="1498"/>
              <w:gridCol w:w="72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5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污染物</w:t>
                  </w:r>
                </w:p>
              </w:tc>
              <w:tc>
                <w:tcPr>
                  <w:tcW w:w="108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各生产线排放量合计（t/a）</w:t>
                  </w:r>
                </w:p>
              </w:tc>
              <w:tc>
                <w:tcPr>
                  <w:tcW w:w="96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合并排放速率（kg/h）</w:t>
                  </w:r>
                </w:p>
              </w:tc>
              <w:tc>
                <w:tcPr>
                  <w:tcW w:w="106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合并排放浓度（mg/</w:t>
                  </w:r>
                  <w:r>
                    <w:rPr>
                      <w:rFonts w:hint="default" w:ascii="Times New Roman" w:hAnsi="Times New Roman" w:cs="Times New Roman"/>
                      <w:b w:val="0"/>
                      <w:bCs/>
                      <w:color w:val="auto"/>
                      <w:sz w:val="18"/>
                      <w:szCs w:val="18"/>
                      <w:lang w:val="en-US" w:eastAsia="zh-CN"/>
                    </w:rPr>
                    <w:t>m</w:t>
                  </w:r>
                  <w:r>
                    <w:rPr>
                      <w:rFonts w:hint="default" w:ascii="Times New Roman" w:hAnsi="Times New Roman" w:cs="Times New Roman"/>
                      <w:b w:val="0"/>
                      <w:bCs/>
                      <w:color w:val="auto"/>
                      <w:sz w:val="18"/>
                      <w:szCs w:val="18"/>
                      <w:vertAlign w:val="superscript"/>
                      <w:lang w:val="en-US" w:eastAsia="zh-CN"/>
                    </w:rPr>
                    <w:t>3</w:t>
                  </w:r>
                  <w:r>
                    <w:rPr>
                      <w:rFonts w:hint="default" w:ascii="Times New Roman" w:hAnsi="Times New Roman" w:eastAsia="宋体" w:cs="Times New Roman"/>
                      <w:b w:val="0"/>
                      <w:bCs/>
                      <w:color w:val="auto"/>
                      <w:sz w:val="18"/>
                      <w:szCs w:val="18"/>
                      <w:lang w:val="en-US" w:eastAsia="zh-CN"/>
                    </w:rPr>
                    <w:t>）</w:t>
                  </w:r>
                </w:p>
              </w:tc>
              <w:tc>
                <w:tcPr>
                  <w:tcW w:w="9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标准限值（mg/</w:t>
                  </w:r>
                  <w:r>
                    <w:rPr>
                      <w:rFonts w:hint="default" w:ascii="Times New Roman" w:hAnsi="Times New Roman" w:cs="Times New Roman"/>
                      <w:b w:val="0"/>
                      <w:bCs/>
                      <w:color w:val="auto"/>
                      <w:sz w:val="18"/>
                      <w:szCs w:val="18"/>
                      <w:lang w:val="en-US" w:eastAsia="zh-CN"/>
                    </w:rPr>
                    <w:t>m</w:t>
                  </w:r>
                  <w:r>
                    <w:rPr>
                      <w:rFonts w:hint="default" w:ascii="Times New Roman" w:hAnsi="Times New Roman" w:cs="Times New Roman"/>
                      <w:b w:val="0"/>
                      <w:bCs/>
                      <w:color w:val="auto"/>
                      <w:sz w:val="18"/>
                      <w:szCs w:val="18"/>
                      <w:vertAlign w:val="superscript"/>
                      <w:lang w:val="en-US" w:eastAsia="zh-CN"/>
                    </w:rPr>
                    <w:t>3</w:t>
                  </w:r>
                  <w:r>
                    <w:rPr>
                      <w:rFonts w:hint="default" w:ascii="Times New Roman" w:hAnsi="Times New Roman" w:eastAsia="宋体" w:cs="Times New Roman"/>
                      <w:b w:val="0"/>
                      <w:bCs/>
                      <w:color w:val="auto"/>
                      <w:sz w:val="18"/>
                      <w:szCs w:val="18"/>
                      <w:lang w:val="en-US" w:eastAsia="zh-CN"/>
                    </w:rPr>
                    <w:t>）</w:t>
                  </w:r>
                </w:p>
              </w:tc>
              <w:tc>
                <w:tcPr>
                  <w:tcW w:w="4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非甲烷总烃</w:t>
                  </w:r>
                </w:p>
              </w:tc>
              <w:tc>
                <w:tcPr>
                  <w:tcW w:w="1082"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w:t>
                  </w:r>
                  <w:r>
                    <w:rPr>
                      <w:rFonts w:hint="default" w:ascii="Times New Roman" w:hAnsi="Times New Roman" w:cs="Times New Roman"/>
                      <w:bCs/>
                      <w:color w:val="auto"/>
                      <w:sz w:val="18"/>
                      <w:szCs w:val="18"/>
                      <w:vertAlign w:val="baseline"/>
                      <w:lang w:val="en-US" w:eastAsia="zh-CN"/>
                    </w:rPr>
                    <w:t>676</w:t>
                  </w:r>
                </w:p>
              </w:tc>
              <w:tc>
                <w:tcPr>
                  <w:tcW w:w="963"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0.091</w:t>
                  </w:r>
                </w:p>
              </w:tc>
              <w:tc>
                <w:tcPr>
                  <w:tcW w:w="1061"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9.1</w:t>
                  </w:r>
                </w:p>
              </w:tc>
              <w:tc>
                <w:tcPr>
                  <w:tcW w:w="924"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60</w:t>
                  </w:r>
                </w:p>
              </w:tc>
              <w:tc>
                <w:tcPr>
                  <w:tcW w:w="4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5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氯化氢</w:t>
                  </w:r>
                </w:p>
              </w:tc>
              <w:tc>
                <w:tcPr>
                  <w:tcW w:w="108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0.064</w:t>
                  </w:r>
                </w:p>
              </w:tc>
              <w:tc>
                <w:tcPr>
                  <w:tcW w:w="96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0.009</w:t>
                  </w:r>
                </w:p>
              </w:tc>
              <w:tc>
                <w:tcPr>
                  <w:tcW w:w="106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0.9</w:t>
                  </w:r>
                </w:p>
              </w:tc>
              <w:tc>
                <w:tcPr>
                  <w:tcW w:w="924"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20</w:t>
                  </w:r>
                </w:p>
              </w:tc>
              <w:tc>
                <w:tcPr>
                  <w:tcW w:w="4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51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氯乙烯</w:t>
                  </w:r>
                </w:p>
              </w:tc>
              <w:tc>
                <w:tcPr>
                  <w:tcW w:w="1082"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0.076</w:t>
                  </w:r>
                </w:p>
              </w:tc>
              <w:tc>
                <w:tcPr>
                  <w:tcW w:w="963"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0.011</w:t>
                  </w:r>
                </w:p>
              </w:tc>
              <w:tc>
                <w:tcPr>
                  <w:tcW w:w="1061"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1.1</w:t>
                  </w:r>
                </w:p>
              </w:tc>
              <w:tc>
                <w:tcPr>
                  <w:tcW w:w="924" w:type="pct"/>
                  <w:tcBorders>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bCs/>
                      <w:color w:val="auto"/>
                      <w:sz w:val="18"/>
                      <w:szCs w:val="18"/>
                      <w:vertAlign w:val="baseline"/>
                      <w:lang w:val="en-US" w:eastAsia="zh-CN"/>
                    </w:rPr>
                  </w:pPr>
                  <w:r>
                    <w:rPr>
                      <w:rFonts w:hint="default" w:ascii="Times New Roman" w:hAnsi="Times New Roman" w:eastAsia="宋体" w:cs="Times New Roman"/>
                      <w:bCs/>
                      <w:color w:val="auto"/>
                      <w:sz w:val="18"/>
                      <w:szCs w:val="18"/>
                      <w:vertAlign w:val="baseline"/>
                      <w:lang w:val="en-US" w:eastAsia="zh-CN"/>
                    </w:rPr>
                    <w:t>20</w:t>
                  </w:r>
                </w:p>
              </w:tc>
              <w:tc>
                <w:tcPr>
                  <w:tcW w:w="44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18"/>
                      <w:szCs w:val="18"/>
                      <w:vertAlign w:val="baseline"/>
                      <w:lang w:val="en-US" w:eastAsia="zh-CN"/>
                    </w:rPr>
                  </w:pPr>
                  <w:r>
                    <w:rPr>
                      <w:rFonts w:hint="default" w:ascii="Times New Roman" w:hAnsi="Times New Roman" w:eastAsia="宋体" w:cs="Times New Roman"/>
                      <w:b w:val="0"/>
                      <w:bCs/>
                      <w:color w:val="auto"/>
                      <w:sz w:val="18"/>
                      <w:szCs w:val="18"/>
                      <w:lang w:val="en-US" w:eastAsia="zh-CN"/>
                    </w:rPr>
                    <w:t>达标</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DA003排气筒各污染物合并排放浓度均满足《合成树脂工业污染物排放标准》（GB31572-2015含2024年修改单）</w:t>
            </w:r>
            <w:r>
              <w:rPr>
                <w:rFonts w:hint="default" w:ascii="Times New Roman" w:hAnsi="Times New Roman" w:cs="Times New Roman"/>
                <w:bCs/>
                <w:color w:val="auto"/>
                <w:sz w:val="24"/>
                <w:szCs w:val="24"/>
                <w:lang w:val="en-US" w:eastAsia="zh-CN"/>
              </w:rPr>
              <w:t>表5中特别排放限制要求</w:t>
            </w:r>
            <w:r>
              <w:rPr>
                <w:rFonts w:hint="default" w:ascii="Times New Roman" w:hAnsi="Times New Roman" w:eastAsia="宋体" w:cs="Times New Roman"/>
                <w:bCs/>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（7）石英砂投料粉尘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①产污系数取值依据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项目石英砂规格为30～50目（粒径约0.3～0.6mm）中粗砂，25kg/袋装，经人工拆包投入石英砂储存输送系统投料口，由封闭输送系统送至缠绕夹砂工序。参照《逸散性工业粉尘控制技术》中"混合肥料厂"逸散尘排放因子，取0.1kg/t-原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②源强核算及排放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石英砂年用量3394.818t/a，产污系数0.1kg/t-原料，则石英砂投料粉尘产生量为0.340t/a。投料口设三面围挡、低落差投料，车间密闭、洒水降尘，逸散粉尘在车间内自然沉降，综合抑尘效率按70%计，则无组织排放量为0.340×（1-70%）=0.102t/a。投料作业为间歇进行，按年运行时间7200h折算，无组织排放速率为0.014kg/h。</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③达标分析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石英砂投料粉尘以无组织形式在车间内排放，粉尘粒径较大、沉降速率快，经车间密闭及洒水降尘控制后，逸出厂界的颗粒物量极小，厂界颗粒物浓度可满足《合成树脂工业污染物排放标准》（GB31572-2015含2024年修改单）表9企业边界大气污染物浓度限值（颗粒物≤1.0mg/m3）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1.4废气排放环境影响分析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（1）区域环境质量现状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根据章节三“区域环境质量现状”，本项目所在区域为环境空气质量不达标区，主要超标因子为PM</w:t>
            </w:r>
            <w:r>
              <w:rPr>
                <w:rFonts w:hint="default" w:ascii="Times New Roman" w:hAnsi="Times New Roman" w:eastAsia="宋体" w:cs="Times New Roman"/>
                <w:color w:val="auto"/>
                <w:sz w:val="24"/>
                <w:vertAlign w:val="subscript"/>
                <w:lang w:val="en-US" w:eastAsia="zh-CN"/>
              </w:rPr>
              <w:t>10</w:t>
            </w:r>
            <w:r>
              <w:rPr>
                <w:rFonts w:hint="default" w:ascii="Times New Roman" w:hAnsi="Times New Roman" w:eastAsia="宋体" w:cs="Times New Roman"/>
                <w:color w:val="auto"/>
                <w:sz w:val="24"/>
                <w:lang w:val="en-US" w:eastAsia="zh-CN"/>
              </w:rPr>
              <w:t>和PM</w:t>
            </w:r>
            <w:r>
              <w:rPr>
                <w:rFonts w:hint="default" w:ascii="Times New Roman" w:hAnsi="Times New Roman" w:eastAsia="宋体" w:cs="Times New Roman"/>
                <w:color w:val="auto"/>
                <w:sz w:val="24"/>
                <w:vertAlign w:val="subscript"/>
                <w:lang w:val="en-US" w:eastAsia="zh-CN"/>
              </w:rPr>
              <w:t>2.5</w:t>
            </w:r>
            <w:r>
              <w:rPr>
                <w:rFonts w:hint="default" w:ascii="Times New Roman" w:hAnsi="Times New Roman" w:eastAsia="宋体" w:cs="Times New Roman"/>
                <w:color w:val="auto"/>
                <w:sz w:val="24"/>
                <w:lang w:val="en-US" w:eastAsia="zh-CN"/>
              </w:rPr>
              <w:t>，属区域沙尘天气背景影响所致。特征污染物TSP现状监测值最大占标率为71.7%，满足《环境空气质量标准》（GB3095-20</w:t>
            </w:r>
            <w:r>
              <w:rPr>
                <w:rFonts w:hint="default" w:ascii="Times New Roman" w:hAnsi="Times New Roman" w:cs="Times New Roman"/>
                <w:color w:val="auto"/>
                <w:sz w:val="24"/>
                <w:lang w:val="en-US" w:eastAsia="zh-CN"/>
              </w:rPr>
              <w:t>26</w:t>
            </w:r>
            <w:r>
              <w:rPr>
                <w:rFonts w:hint="default" w:ascii="Times New Roman" w:hAnsi="Times New Roman" w:eastAsia="宋体" w:cs="Times New Roman"/>
                <w:color w:val="auto"/>
                <w:sz w:val="24"/>
                <w:lang w:val="en-US" w:eastAsia="zh-CN"/>
              </w:rPr>
              <w:t>）二级标准限值要求。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（2）废气污染物达标分析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本项目有组织废气排放源包括DA001、DA002、DA003</w:t>
            </w:r>
            <w:r>
              <w:rPr>
                <w:rFonts w:hint="default" w:ascii="Times New Roman" w:hAnsi="Times New Roman" w:cs="Times New Roman"/>
                <w:color w:val="auto"/>
                <w:sz w:val="24"/>
                <w:lang w:val="en-US" w:eastAsia="zh-CN"/>
              </w:rPr>
              <w:t>、DA004四</w:t>
            </w:r>
            <w:r>
              <w:rPr>
                <w:rFonts w:hint="default" w:ascii="Times New Roman" w:hAnsi="Times New Roman" w:eastAsia="宋体" w:cs="Times New Roman"/>
                <w:color w:val="auto"/>
                <w:sz w:val="24"/>
                <w:lang w:val="en-US" w:eastAsia="zh-CN"/>
              </w:rPr>
              <w:t>个排气筒，各排气筒污染物排放情况见表4-</w:t>
            </w:r>
            <w:r>
              <w:rPr>
                <w:rFonts w:hint="default" w:ascii="Times New Roman" w:hAnsi="Times New Roman" w:cs="Times New Roman"/>
                <w:color w:val="auto"/>
                <w:sz w:val="24"/>
                <w:lang w:val="en-US" w:eastAsia="zh-CN"/>
              </w:rPr>
              <w:t>7</w:t>
            </w:r>
            <w:r>
              <w:rPr>
                <w:rFonts w:hint="default" w:ascii="Times New Roman" w:hAnsi="Times New Roman" w:eastAsia="宋体" w:cs="Times New Roman"/>
                <w:color w:val="auto"/>
                <w:sz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left"/>
              <w:textAlignment w:val="auto"/>
              <w:rPr>
                <w:rFonts w:hint="default" w:ascii="Times New Roman" w:hAnsi="Times New Roman" w:eastAsia="宋体" w:cs="Times New Roman"/>
                <w:b/>
                <w:bCs/>
                <w:color w:val="auto"/>
                <w:sz w:val="24"/>
                <w:vertAlign w:val="baseline"/>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 xml:space="preserve">7        </w:t>
            </w:r>
            <w:r>
              <w:rPr>
                <w:rFonts w:hint="default" w:ascii="Times New Roman" w:hAnsi="Times New Roman" w:eastAsia="宋体" w:cs="Times New Roman"/>
                <w:b/>
                <w:bCs/>
                <w:color w:val="auto"/>
                <w:sz w:val="24"/>
                <w:lang w:val="en-US" w:eastAsia="zh-CN"/>
              </w:rPr>
              <w:t xml:space="preserve"> 本项目有组织废气排放达标情况一览表</w:t>
            </w:r>
          </w:p>
          <w:tbl>
            <w:tblPr>
              <w:tblStyle w:val="36"/>
              <w:tblW w:w="4998"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676"/>
              <w:gridCol w:w="1128"/>
              <w:gridCol w:w="1791"/>
              <w:gridCol w:w="1792"/>
              <w:gridCol w:w="94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排气筒</w:t>
                  </w:r>
                </w:p>
              </w:tc>
              <w:tc>
                <w:tcPr>
                  <w:tcW w:w="103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污染源</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污染物</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排放浓度（mg/</w:t>
                  </w:r>
                  <w:r>
                    <w:rPr>
                      <w:rFonts w:hint="default" w:ascii="Times New Roman" w:hAnsi="Times New Roman" w:cs="Times New Roman"/>
                      <w:color w:val="auto"/>
                      <w:sz w:val="18"/>
                      <w:szCs w:val="18"/>
                      <w:lang w:val="en-US" w:eastAsia="zh-CN"/>
                    </w:rPr>
                    <w:t>m</w:t>
                  </w:r>
                  <w:r>
                    <w:rPr>
                      <w:rFonts w:hint="default" w:ascii="Times New Roman" w:hAnsi="Times New Roman" w:cs="Times New Roman"/>
                      <w:color w:val="auto"/>
                      <w:sz w:val="18"/>
                      <w:szCs w:val="18"/>
                      <w:vertAlign w:val="superscript"/>
                      <w:lang w:val="en-US" w:eastAsia="zh-CN"/>
                    </w:rPr>
                    <w:t>3</w:t>
                  </w:r>
                  <w:r>
                    <w:rPr>
                      <w:rFonts w:hint="default" w:ascii="Times New Roman" w:hAnsi="Times New Roman" w:eastAsia="宋体" w:cs="Times New Roman"/>
                      <w:color w:val="auto"/>
                      <w:sz w:val="18"/>
                      <w:szCs w:val="18"/>
                      <w:lang w:val="en-US" w:eastAsia="zh-CN"/>
                    </w:rPr>
                    <w:t>）</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标准限值（mg/</w:t>
                  </w:r>
                  <w:r>
                    <w:rPr>
                      <w:rFonts w:hint="default" w:ascii="Times New Roman" w:hAnsi="Times New Roman" w:cs="Times New Roman"/>
                      <w:color w:val="auto"/>
                      <w:sz w:val="18"/>
                      <w:szCs w:val="18"/>
                      <w:lang w:val="en-US" w:eastAsia="zh-CN"/>
                    </w:rPr>
                    <w:t>m</w:t>
                  </w:r>
                  <w:r>
                    <w:rPr>
                      <w:rFonts w:hint="default" w:ascii="Times New Roman" w:hAnsi="Times New Roman" w:cs="Times New Roman"/>
                      <w:color w:val="auto"/>
                      <w:sz w:val="18"/>
                      <w:szCs w:val="18"/>
                      <w:vertAlign w:val="superscript"/>
                      <w:lang w:val="en-US" w:eastAsia="zh-CN"/>
                    </w:rPr>
                    <w:t>3</w:t>
                  </w:r>
                  <w:r>
                    <w:rPr>
                      <w:rFonts w:hint="default" w:ascii="Times New Roman" w:hAnsi="Times New Roman" w:eastAsia="宋体" w:cs="Times New Roman"/>
                      <w:color w:val="auto"/>
                      <w:sz w:val="18"/>
                      <w:szCs w:val="18"/>
                      <w:lang w:val="en-US" w:eastAsia="zh-CN"/>
                    </w:rPr>
                    <w:t>）</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DA001</w:t>
                  </w:r>
                </w:p>
              </w:tc>
              <w:tc>
                <w:tcPr>
                  <w:tcW w:w="1034"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混合树脂缠绕固化</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非甲烷总烃</w:t>
                  </w:r>
                </w:p>
              </w:tc>
              <w:tc>
                <w:tcPr>
                  <w:tcW w:w="110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19.0</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60</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1034"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苯乙烯</w:t>
                  </w:r>
                </w:p>
              </w:tc>
              <w:tc>
                <w:tcPr>
                  <w:tcW w:w="110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20</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1034"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臭气浓度</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1200</w:t>
                  </w:r>
                  <w:r>
                    <w:rPr>
                      <w:rFonts w:hint="default" w:ascii="Times New Roman" w:hAnsi="Times New Roman" w:eastAsia="宋体" w:cs="Times New Roman"/>
                      <w:color w:val="auto"/>
                      <w:sz w:val="18"/>
                      <w:szCs w:val="18"/>
                      <w:lang w:val="en-US" w:eastAsia="zh-CN"/>
                    </w:rPr>
                    <w:t>（无量纲）</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2000（无量纲）</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DA002</w:t>
                  </w:r>
                </w:p>
              </w:tc>
              <w:tc>
                <w:tcPr>
                  <w:tcW w:w="103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切割修整</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颗粒物</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4.4</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20</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DA003</w:t>
                  </w:r>
                </w:p>
              </w:tc>
              <w:tc>
                <w:tcPr>
                  <w:tcW w:w="1034"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塑料管材生产线</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非甲烷总烃</w:t>
                  </w:r>
                </w:p>
              </w:tc>
              <w:tc>
                <w:tcPr>
                  <w:tcW w:w="110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18"/>
                      <w:szCs w:val="18"/>
                      <w:vertAlign w:val="baseline"/>
                      <w:lang w:val="en-US" w:eastAsia="zh-CN" w:bidi="ar-SA"/>
                    </w:rPr>
                  </w:pPr>
                  <w:r>
                    <w:rPr>
                      <w:rFonts w:hint="default" w:ascii="Times New Roman" w:hAnsi="Times New Roman" w:eastAsia="宋体" w:cs="Times New Roman"/>
                      <w:bCs/>
                      <w:color w:val="auto"/>
                      <w:sz w:val="18"/>
                      <w:szCs w:val="18"/>
                      <w:vertAlign w:val="baseline"/>
                      <w:lang w:val="en-US" w:eastAsia="zh-CN"/>
                    </w:rPr>
                    <w:t>9.1</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60</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1034"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氯化氢</w:t>
                  </w:r>
                </w:p>
              </w:tc>
              <w:tc>
                <w:tcPr>
                  <w:tcW w:w="110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18"/>
                      <w:szCs w:val="18"/>
                      <w:vertAlign w:val="baseline"/>
                      <w:lang w:val="en-US" w:eastAsia="zh-CN" w:bidi="ar-SA"/>
                    </w:rPr>
                  </w:pPr>
                  <w:r>
                    <w:rPr>
                      <w:rFonts w:hint="default" w:ascii="Times New Roman" w:hAnsi="Times New Roman" w:eastAsia="宋体" w:cs="Times New Roman"/>
                      <w:bCs/>
                      <w:color w:val="auto"/>
                      <w:sz w:val="18"/>
                      <w:szCs w:val="18"/>
                      <w:vertAlign w:val="baseline"/>
                      <w:lang w:val="en-US" w:eastAsia="zh-CN"/>
                    </w:rPr>
                    <w:t>0.9</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20</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1034"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氯乙烯</w:t>
                  </w:r>
                </w:p>
              </w:tc>
              <w:tc>
                <w:tcPr>
                  <w:tcW w:w="1105"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Cs/>
                      <w:color w:val="auto"/>
                      <w:kern w:val="2"/>
                      <w:sz w:val="18"/>
                      <w:szCs w:val="18"/>
                      <w:vertAlign w:val="baseline"/>
                      <w:lang w:val="en-US" w:eastAsia="zh-CN" w:bidi="ar-SA"/>
                    </w:rPr>
                  </w:pPr>
                  <w:r>
                    <w:rPr>
                      <w:rFonts w:hint="default" w:ascii="Times New Roman" w:hAnsi="Times New Roman" w:eastAsia="宋体" w:cs="Times New Roman"/>
                      <w:bCs/>
                      <w:color w:val="auto"/>
                      <w:sz w:val="18"/>
                      <w:szCs w:val="18"/>
                      <w:vertAlign w:val="baseline"/>
                      <w:lang w:val="en-US" w:eastAsia="zh-CN"/>
                    </w:rPr>
                    <w:t>1.1</w:t>
                  </w:r>
                </w:p>
              </w:tc>
              <w:tc>
                <w:tcPr>
                  <w:tcW w:w="110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vertAlign w:val="baseline"/>
                      <w:lang w:val="en-US" w:eastAsia="zh-CN"/>
                    </w:rPr>
                    <w:t>20</w:t>
                  </w:r>
                </w:p>
              </w:tc>
              <w:tc>
                <w:tcPr>
                  <w:tcW w:w="58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1"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eastAsia="宋体" w:cs="Times New Roman"/>
                      <w:color w:val="auto"/>
                      <w:sz w:val="18"/>
                      <w:szCs w:val="18"/>
                      <w:lang w:val="en-US" w:eastAsia="zh-CN"/>
                    </w:rPr>
                    <w:t>DA004</w:t>
                  </w:r>
                </w:p>
              </w:tc>
              <w:tc>
                <w:tcPr>
                  <w:tcW w:w="1034"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cs="Times New Roman"/>
                      <w:color w:val="auto"/>
                      <w:sz w:val="18"/>
                      <w:szCs w:val="18"/>
                      <w:lang w:val="en-US" w:eastAsia="zh-CN"/>
                    </w:rPr>
                    <w:t>PVC</w:t>
                  </w:r>
                  <w:r>
                    <w:rPr>
                      <w:rFonts w:hint="default" w:ascii="Times New Roman" w:hAnsi="Times New Roman" w:eastAsia="宋体" w:cs="Times New Roman"/>
                      <w:color w:val="auto"/>
                      <w:sz w:val="18"/>
                      <w:szCs w:val="18"/>
                      <w:lang w:val="en-US" w:eastAsia="zh-CN"/>
                    </w:rPr>
                    <w:t>管材生产线</w:t>
                  </w:r>
                </w:p>
              </w:tc>
              <w:tc>
                <w:tcPr>
                  <w:tcW w:w="696"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eastAsia="宋体" w:cs="Times New Roman"/>
                      <w:color w:val="auto"/>
                      <w:sz w:val="18"/>
                      <w:szCs w:val="18"/>
                      <w:lang w:val="en-US" w:eastAsia="zh-CN"/>
                    </w:rPr>
                    <w:t>颗粒物</w:t>
                  </w:r>
                </w:p>
              </w:tc>
              <w:tc>
                <w:tcPr>
                  <w:tcW w:w="110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cs="Times New Roman"/>
                      <w:color w:val="auto"/>
                      <w:kern w:val="2"/>
                      <w:sz w:val="18"/>
                      <w:szCs w:val="18"/>
                      <w:vertAlign w:val="baseline"/>
                      <w:lang w:val="en-US" w:eastAsia="zh-CN" w:bidi="ar-SA"/>
                    </w:rPr>
                    <w:t>2.2</w:t>
                  </w:r>
                </w:p>
              </w:tc>
              <w:tc>
                <w:tcPr>
                  <w:tcW w:w="110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cs="Times New Roman"/>
                      <w:color w:val="auto"/>
                      <w:kern w:val="2"/>
                      <w:sz w:val="18"/>
                      <w:szCs w:val="18"/>
                      <w:vertAlign w:val="baseline"/>
                      <w:lang w:val="en-US" w:eastAsia="zh-CN" w:bidi="ar-SA"/>
                    </w:rPr>
                    <w:t>20</w:t>
                  </w:r>
                </w:p>
              </w:tc>
              <w:tc>
                <w:tcPr>
                  <w:tcW w:w="585" w:type="pc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default" w:ascii="Times New Roman" w:hAnsi="Times New Roman" w:eastAsia="宋体" w:cs="Times New Roman"/>
                      <w:color w:val="auto"/>
                      <w:sz w:val="18"/>
                      <w:szCs w:val="18"/>
                      <w:lang w:val="en-US" w:eastAsia="zh-CN"/>
                    </w:rPr>
                    <w:t>达标</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由表4-7可知，本项目各排气筒排放的颗粒物、非甲烷总烃、苯乙烯、氯化氢、氯乙烯浓度均满足《合成树脂工业污染物排放标准》（GB31572-2015含2024年修改单）表5中特别排放限制要求；臭气浓度满足《恶臭污染物排放标准》（GB14554-93）表2排放标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无组织排放方面，本项目未被集气罩捕集的废气量较小，经车间密闭、自然沉降、洒水降尘等措施控制后，厂界颗粒物、非甲烷总烃</w:t>
            </w:r>
            <w:r>
              <w:rPr>
                <w:rFonts w:hint="default" w:ascii="Times New Roman" w:hAnsi="Times New Roman" w:cs="Times New Roman"/>
                <w:color w:val="auto"/>
                <w:sz w:val="24"/>
                <w:lang w:val="en-US" w:eastAsia="zh-CN"/>
              </w:rPr>
              <w:t>、氯化氢</w:t>
            </w:r>
            <w:r>
              <w:rPr>
                <w:rFonts w:hint="default" w:ascii="Times New Roman" w:hAnsi="Times New Roman" w:eastAsia="宋体" w:cs="Times New Roman"/>
                <w:color w:val="auto"/>
                <w:sz w:val="24"/>
                <w:lang w:val="en-US" w:eastAsia="zh-CN"/>
              </w:rPr>
              <w:t>浓度可满足《合成树脂工业污染物排放标准》（GB31572-2015含2024年修改单）表9企业边界大气污染物浓度限值；厂区内非甲烷总烃可满足《挥发性有机物无组织排放控制标准》（GB37822-2019）附录A中表A.1限值要求；厂界苯乙烯、臭气浓度可满足《恶臭污染物排放标准》（GB14554-93）表1中二级新扩改建标准限值。</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（3）环境保护目标影响分析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本项目厂界外500m范围内的大气环境保护目标主要为东侧70m处的尉犁县第九小学（已建成，尚未投入使用）及东北侧300m处的尉臻公寓（约200人）。项目所在区域常年主导风向为</w:t>
            </w:r>
            <w:r>
              <w:rPr>
                <w:rFonts w:hint="default" w:ascii="Times New Roman" w:hAnsi="Times New Roman" w:cs="Times New Roman"/>
                <w:color w:val="auto"/>
                <w:sz w:val="24"/>
                <w:lang w:val="en-US" w:eastAsia="zh-CN"/>
              </w:rPr>
              <w:t>东北风</w:t>
            </w:r>
            <w:r>
              <w:rPr>
                <w:rFonts w:hint="default" w:ascii="Times New Roman" w:hAnsi="Times New Roman" w:eastAsia="宋体" w:cs="Times New Roman"/>
                <w:color w:val="auto"/>
                <w:sz w:val="24"/>
                <w:lang w:val="en-US" w:eastAsia="zh-CN"/>
              </w:rPr>
              <w:t>，主要产污工序布置于厂区东侧。尉犁县第九小学位于厂区东侧70m（侧风向），尉臻公寓位于厂区东北侧300m（上风向）。</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本项目各污染物经处理后排放浓度远低于标准限值，经距离衰减后，污染物到达各保护目标处的贡献值极小，不会对周边居民及学校造成明显不利影响。</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（4）大气环境防护距离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根据《环境影响评价技术导则 大气环境》（HJ2.2-2018）相关规定，本项目各污染物厂界浓度满足相应标准限值要求，且厂界外大气污染物短期贡献浓度不超过环境质量浓度限值，无需设置大气环境防护距离。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（5）分析结论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本项目位于环境空气质量不达标区，主要超标因子为PM</w:t>
            </w:r>
            <w:r>
              <w:rPr>
                <w:rFonts w:hint="default" w:ascii="Times New Roman" w:hAnsi="Times New Roman" w:eastAsia="宋体" w:cs="Times New Roman"/>
                <w:color w:val="auto"/>
                <w:sz w:val="24"/>
                <w:vertAlign w:val="subscript"/>
                <w:lang w:val="en-US" w:eastAsia="zh-CN"/>
              </w:rPr>
              <w:t>10</w:t>
            </w:r>
            <w:r>
              <w:rPr>
                <w:rFonts w:hint="default" w:ascii="Times New Roman" w:hAnsi="Times New Roman" w:eastAsia="宋体" w:cs="Times New Roman"/>
                <w:color w:val="auto"/>
                <w:sz w:val="24"/>
                <w:lang w:val="en-US" w:eastAsia="zh-CN"/>
              </w:rPr>
              <w:t>和PM</w:t>
            </w:r>
            <w:r>
              <w:rPr>
                <w:rFonts w:hint="default" w:ascii="Times New Roman" w:hAnsi="Times New Roman" w:eastAsia="宋体" w:cs="Times New Roman"/>
                <w:color w:val="auto"/>
                <w:sz w:val="24"/>
                <w:vertAlign w:val="subscript"/>
                <w:lang w:val="en-US" w:eastAsia="zh-CN"/>
              </w:rPr>
              <w:t>2.5</w:t>
            </w:r>
            <w:r>
              <w:rPr>
                <w:rFonts w:hint="default" w:ascii="Times New Roman" w:hAnsi="Times New Roman" w:eastAsia="宋体" w:cs="Times New Roman"/>
                <w:color w:val="auto"/>
                <w:sz w:val="24"/>
                <w:lang w:val="en-US" w:eastAsia="zh-CN"/>
              </w:rPr>
              <w:t>（属区域沙尘背景影响）。本项目废气污染物经处理后均能达标排放，排放浓度远低于标准限值，各污染物排放量较小，对区域环境空气质量及周边保护目标的贡献值较低，不会改变区域环境空气质量功能等级。在落实各项废气污染治理措施的前提下，本项目废气排放对环境空气的影响可接受。</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left"/>
              <w:textAlignment w:val="auto"/>
              <w:rPr>
                <w:rFonts w:hint="default" w:ascii="Times New Roman" w:hAnsi="Times New Roman" w:eastAsia="宋体" w:cs="Times New Roman"/>
                <w:b/>
                <w:bCs/>
                <w:color w:val="auto"/>
                <w:sz w:val="24"/>
                <w:vertAlign w:val="baseline"/>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8</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cs="Times New Roman"/>
                <w:b/>
                <w:bCs/>
                <w:color w:val="auto"/>
                <w:sz w:val="24"/>
                <w:lang w:val="en-US" w:eastAsia="zh-CN"/>
              </w:rPr>
              <w:t xml:space="preserve">        </w:t>
            </w:r>
            <w:r>
              <w:rPr>
                <w:rFonts w:hint="default" w:ascii="Times New Roman" w:hAnsi="Times New Roman" w:eastAsia="宋体" w:cs="Times New Roman"/>
                <w:b/>
                <w:bCs/>
                <w:color w:val="auto"/>
                <w:sz w:val="24"/>
                <w:lang w:val="en-US" w:eastAsia="zh-CN"/>
              </w:rPr>
              <w:t xml:space="preserve"> 废气污染物产排污及治理措施情况</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610"/>
              <w:gridCol w:w="730"/>
              <w:gridCol w:w="431"/>
              <w:gridCol w:w="764"/>
              <w:gridCol w:w="1104"/>
              <w:gridCol w:w="3084"/>
              <w:gridCol w:w="6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生产单元</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产污设施</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污染物种类</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排放形式</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排放口编号</w:t>
                  </w:r>
                </w:p>
              </w:tc>
              <w:tc>
                <w:tcPr>
                  <w:tcW w:w="68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污染防治设施名称及工艺</w:t>
                  </w:r>
                </w:p>
              </w:tc>
              <w:tc>
                <w:tcPr>
                  <w:tcW w:w="190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补充依据</w:t>
                  </w:r>
                </w:p>
              </w:tc>
              <w:tc>
                <w:tcPr>
                  <w:tcW w:w="3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是否为可行技术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混合树脂缠绕固化</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混合、固化</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苯乙烯、非甲烷总烃、臭气浓度</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有组织</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DA001</w:t>
                  </w:r>
                </w:p>
              </w:tc>
              <w:tc>
                <w:tcPr>
                  <w:tcW w:w="68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集气罩+厂房密闭+活性炭吸附/脱附+催化燃烧+15m排气筒</w:t>
                  </w:r>
                </w:p>
              </w:tc>
              <w:tc>
                <w:tcPr>
                  <w:tcW w:w="190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符合《排污许可证申请与核发技术规范 橡胶和塑料制品工业》（HJ1122-2020）表A.2中塑料制品工业排污单位废气污染防治可行技术（吸附浓缩+催化燃烧）；符合《吸附法工业有机废气治理工程技术规范》（HJ2026-2013）及《催化燃烧法工业有机废气治理工程技术规范》（HJ2027-2013）相关要求</w:t>
                  </w:r>
                </w:p>
              </w:tc>
              <w:tc>
                <w:tcPr>
                  <w:tcW w:w="3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切割修整</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切割、修整</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颗粒物</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有组织</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DA002</w:t>
                  </w:r>
                </w:p>
              </w:tc>
              <w:tc>
                <w:tcPr>
                  <w:tcW w:w="68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切割设备上方设置外部型集气罩+袋式除尘器+15m排气筒</w:t>
                  </w:r>
                </w:p>
              </w:tc>
              <w:tc>
                <w:tcPr>
                  <w:tcW w:w="190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符合《排污许可证申请与核发技术规范 橡胶和塑料制品工业》（HJ1122-2020）表A.2中塑料制品工业排污单位废气污染防治可行技术（袋式除尘）；符合《袋式除尘工程通用技术规范》（HJ2020-2012）相关要求</w:t>
                  </w:r>
                </w:p>
              </w:tc>
              <w:tc>
                <w:tcPr>
                  <w:tcW w:w="3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PE管挤出</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挤出成型</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非甲烷总烃</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有组织</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DA003</w:t>
                  </w:r>
                </w:p>
              </w:tc>
              <w:tc>
                <w:tcPr>
                  <w:tcW w:w="681"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集气罩+活性炭吸附/脱附+催化燃烧+15m排气筒</w:t>
                  </w:r>
                </w:p>
              </w:tc>
              <w:tc>
                <w:tcPr>
                  <w:tcW w:w="1902"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符合《排污许可证申请与核发技术规范 橡胶和塑料制品工业》（HJ1122-2020）表A.2中塑料制品工业排污单位废气污染防治可行技术（吸附浓缩+催化燃烧）</w:t>
                  </w:r>
                </w:p>
              </w:tc>
              <w:tc>
                <w:tcPr>
                  <w:tcW w:w="373"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HDPE双壁波纹管挤出</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挤出成型</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非甲烷总烃</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有组织</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DA003</w:t>
                  </w:r>
                </w:p>
              </w:tc>
              <w:tc>
                <w:tcPr>
                  <w:tcW w:w="68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p>
              </w:tc>
              <w:tc>
                <w:tcPr>
                  <w:tcW w:w="1902"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p>
              </w:tc>
              <w:tc>
                <w:tcPr>
                  <w:tcW w:w="3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PVC管挤出</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挤出成型</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非甲烷总烃、氯化氢、氯乙烯</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有组织</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DA003</w:t>
                  </w:r>
                </w:p>
              </w:tc>
              <w:tc>
                <w:tcPr>
                  <w:tcW w:w="68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p>
              </w:tc>
              <w:tc>
                <w:tcPr>
                  <w:tcW w:w="1902"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p>
              </w:tc>
              <w:tc>
                <w:tcPr>
                  <w:tcW w:w="373"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PVC管混料</w:t>
                  </w:r>
                </w:p>
              </w:tc>
              <w:tc>
                <w:tcPr>
                  <w:tcW w:w="37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高速混合</w:t>
                  </w:r>
                </w:p>
              </w:tc>
              <w:tc>
                <w:tcPr>
                  <w:tcW w:w="45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颗粒物</w:t>
                  </w:r>
                </w:p>
              </w:tc>
              <w:tc>
                <w:tcPr>
                  <w:tcW w:w="26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有组织</w:t>
                  </w:r>
                </w:p>
              </w:tc>
              <w:tc>
                <w:tcPr>
                  <w:tcW w:w="47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DA004</w:t>
                  </w:r>
                </w:p>
              </w:tc>
              <w:tc>
                <w:tcPr>
                  <w:tcW w:w="68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投料口上方设置集气罩+袋式除尘器+15m排气筒</w:t>
                  </w:r>
                </w:p>
              </w:tc>
              <w:tc>
                <w:tcPr>
                  <w:tcW w:w="190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符合《排污许可证申请与核发技术规范 橡胶和塑料制品工业》（HJ1122-2020）表A.2中塑料制品工业排污单位废气污染防治可行技术（袋式除尘）</w:t>
                  </w:r>
                </w:p>
              </w:tc>
              <w:tc>
                <w:tcPr>
                  <w:tcW w:w="373"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kern w:val="0"/>
                      <w:sz w:val="18"/>
                      <w:szCs w:val="18"/>
                      <w:lang w:val="en-US" w:eastAsia="zh-CN" w:bidi="ar"/>
                    </w:rPr>
                    <w:t>是</w:t>
                  </w:r>
                </w:p>
              </w:tc>
            </w:tr>
          </w:tbl>
          <w:p>
            <w:pPr>
              <w:pStyle w:val="137"/>
              <w:ind w:firstLine="480"/>
              <w:rPr>
                <w:rFonts w:hint="default" w:ascii="Times New Roman" w:hAnsi="Times New Roman" w:eastAsia="宋体" w:cs="Times New Roman"/>
                <w:b w:val="0"/>
                <w:bCs/>
                <w:color w:val="auto"/>
                <w:kern w:val="2"/>
                <w:sz w:val="24"/>
                <w:szCs w:val="24"/>
                <w:lang w:val="en-US" w:eastAsia="zh-CN"/>
              </w:rPr>
            </w:pPr>
            <w:r>
              <w:rPr>
                <w:rFonts w:hint="default" w:ascii="Times New Roman" w:hAnsi="Times New Roman" w:cs="Times New Roman"/>
                <w:b w:val="0"/>
                <w:bCs/>
                <w:color w:val="auto"/>
                <w:kern w:val="2"/>
                <w:sz w:val="24"/>
                <w:szCs w:val="24"/>
                <w:lang w:val="en-US" w:eastAsia="zh-CN"/>
              </w:rPr>
              <w:t>本项目混合树脂缠绕固化废气经活性炭吸附/脱附+催化燃烧装置处理后可达标排放，切割修整废气经布袋除尘器处理后可达标排放。</w:t>
            </w:r>
          </w:p>
          <w:p>
            <w:pPr>
              <w:keepNext w:val="0"/>
              <w:keepLines w:val="0"/>
              <w:pageBreakBefore w:val="0"/>
              <w:widowControl w:val="0"/>
              <w:kinsoku/>
              <w:wordWrap/>
              <w:overflowPunct/>
              <w:topLinePunct w:val="0"/>
              <w:autoSpaceDE/>
              <w:autoSpaceDN/>
              <w:bidi w:val="0"/>
              <w:adjustRightInd/>
              <w:snapToGrid/>
              <w:spacing w:line="372" w:lineRule="auto"/>
              <w:ind w:firstLine="482" w:firstLineChars="200"/>
              <w:textAlignment w:val="auto"/>
              <w:rPr>
                <w:rFonts w:hint="default" w:ascii="Times New Roman" w:hAnsi="Times New Roman" w:eastAsia="宋体" w:cs="Times New Roman"/>
                <w:b/>
                <w:bCs/>
                <w:color w:val="auto"/>
                <w:kern w:val="0"/>
                <w:sz w:val="24"/>
                <w:lang w:val="en-US" w:eastAsia="zh-CN"/>
              </w:rPr>
            </w:pPr>
            <w:r>
              <w:rPr>
                <w:rFonts w:hint="default" w:ascii="Times New Roman" w:hAnsi="Times New Roman" w:eastAsia="宋体" w:cs="Times New Roman"/>
                <w:b/>
                <w:bCs/>
                <w:color w:val="auto"/>
                <w:kern w:val="0"/>
                <w:sz w:val="24"/>
                <w:lang w:val="en-US" w:eastAsia="zh-CN"/>
              </w:rPr>
              <w:t>1.</w:t>
            </w:r>
            <w:r>
              <w:rPr>
                <w:rFonts w:hint="default" w:ascii="Times New Roman" w:hAnsi="Times New Roman" w:cs="Times New Roman"/>
                <w:b/>
                <w:bCs/>
                <w:color w:val="auto"/>
                <w:kern w:val="0"/>
                <w:sz w:val="24"/>
                <w:lang w:val="en-US" w:eastAsia="zh-CN"/>
              </w:rPr>
              <w:t>6</w:t>
            </w:r>
            <w:r>
              <w:rPr>
                <w:rFonts w:hint="default" w:ascii="Times New Roman" w:hAnsi="Times New Roman" w:eastAsia="宋体" w:cs="Times New Roman"/>
                <w:b/>
                <w:bCs/>
                <w:color w:val="auto"/>
                <w:kern w:val="0"/>
                <w:sz w:val="24"/>
                <w:lang w:val="en-US" w:eastAsia="zh-CN"/>
              </w:rPr>
              <w:t>非正常工况</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非正常工况排放指生产中开停工、设备检修、工艺设备运转异常等非正常工况下的污染物排放，以及污染排放控制措施达不到应有效率等情况下的排放。</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（1）非正常工况情形分析</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本项目可能出现的非正常工况主要包括以下几种情形：</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①废气处理设施故障：活性炭吸附/脱附+催化燃烧装置中活性炭饱和未及时脱附再生、催化剂中毒或失效、布袋除尘器滤袋破损或堵塞，导致废气处理效率下降甚至完全失效；</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②开停机及设备检修：生产装置开停机、设备检修期间，废气处理系统与生产设备未实现同步运行或废气收集系统压力不稳定；</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③停电等突发状况：突发停电导致废气处理设施停止运行，而生产设备惯性运行产生的废气未经处理直接排放。</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（2）非正常工况排放源强</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当本项目活性炭吸附/脱附+催化燃烧、布袋除尘器设备发生故障时，会导致苯乙烯、非甲烷总烃、臭气浓度、颗粒物未经有效处理直接排放。项目非正常工况废气的排放情况见下表。</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jc w:val="left"/>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9</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cs="Times New Roman"/>
                <w:b/>
                <w:bCs/>
                <w:color w:val="auto"/>
                <w:sz w:val="24"/>
                <w:lang w:val="en-US" w:eastAsia="zh-CN"/>
              </w:rPr>
              <w:t xml:space="preserve">     </w:t>
            </w:r>
            <w:r>
              <w:rPr>
                <w:rFonts w:hint="default" w:ascii="Times New Roman" w:hAnsi="Times New Roman" w:eastAsia="宋体" w:cs="Times New Roman"/>
                <w:b/>
                <w:bCs/>
                <w:color w:val="auto"/>
                <w:sz w:val="24"/>
                <w:lang w:val="en-US" w:eastAsia="zh-CN"/>
              </w:rPr>
              <w:t xml:space="preserve"> 非正常工况下污染物排放情况</w:t>
            </w:r>
          </w:p>
          <w:tbl>
            <w:tblPr>
              <w:tblStyle w:val="36"/>
              <w:tblW w:w="5009"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596"/>
              <w:gridCol w:w="1279"/>
              <w:gridCol w:w="1119"/>
              <w:gridCol w:w="843"/>
              <w:gridCol w:w="541"/>
              <w:gridCol w:w="1451"/>
              <w:gridCol w:w="6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排放源</w:t>
                  </w: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污染物</w:t>
                  </w:r>
                </w:p>
              </w:tc>
              <w:tc>
                <w:tcPr>
                  <w:tcW w:w="788"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排放浓度（mg/m</w:t>
                  </w:r>
                  <w:r>
                    <w:rPr>
                      <w:rFonts w:hint="default" w:ascii="Times New Roman" w:hAnsi="Times New Roman" w:eastAsia="宋体" w:cs="Times New Roman"/>
                      <w:color w:val="auto"/>
                      <w:sz w:val="18"/>
                      <w:szCs w:val="18"/>
                      <w:highlight w:val="none"/>
                      <w:vertAlign w:val="superscript"/>
                      <w:lang w:val="en-US" w:eastAsia="zh-CN"/>
                    </w:rPr>
                    <w:t>3</w:t>
                  </w:r>
                  <w:r>
                    <w:rPr>
                      <w:rFonts w:hint="default" w:ascii="Times New Roman" w:hAnsi="Times New Roman" w:eastAsia="宋体" w:cs="Times New Roman"/>
                      <w:color w:val="auto"/>
                      <w:sz w:val="18"/>
                      <w:szCs w:val="18"/>
                      <w:highlight w:val="none"/>
                      <w:lang w:val="en-US" w:eastAsia="zh-CN"/>
                    </w:rPr>
                    <w:t>）</w:t>
                  </w:r>
                </w:p>
              </w:tc>
              <w:tc>
                <w:tcPr>
                  <w:tcW w:w="68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排放速率（kg/h）</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持续时间</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频次</w:t>
                  </w:r>
                </w:p>
              </w:tc>
              <w:tc>
                <w:tcPr>
                  <w:tcW w:w="894"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非正常工况原因</w:t>
                  </w:r>
                </w:p>
              </w:tc>
              <w:tc>
                <w:tcPr>
                  <w:tcW w:w="410"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应对措施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vMerge w:val="restar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混合树脂缠绕固化废气（DA001）</w:t>
                  </w: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非甲烷总烃</w:t>
                  </w:r>
                </w:p>
              </w:tc>
              <w:tc>
                <w:tcPr>
                  <w:tcW w:w="78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189.8</w:t>
                  </w:r>
                </w:p>
              </w:tc>
              <w:tc>
                <w:tcPr>
                  <w:tcW w:w="68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9.49</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vMerge w:val="restar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活性炭吸附/脱附+催化燃烧装置处理效率降低或失效</w:t>
                  </w:r>
                </w:p>
              </w:tc>
              <w:tc>
                <w:tcPr>
                  <w:tcW w:w="410" w:type="pct"/>
                  <w:vMerge w:val="restar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立即停产检修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苯乙烯</w:t>
                  </w:r>
                </w:p>
              </w:tc>
              <w:tc>
                <w:tcPr>
                  <w:tcW w:w="78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185.4</w:t>
                  </w:r>
                </w:p>
              </w:tc>
              <w:tc>
                <w:tcPr>
                  <w:tcW w:w="68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9.27</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410"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臭气浓度</w:t>
                  </w:r>
                </w:p>
              </w:tc>
              <w:tc>
                <w:tcPr>
                  <w:tcW w:w="788"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3000（无量纲）</w:t>
                  </w:r>
                </w:p>
              </w:tc>
              <w:tc>
                <w:tcPr>
                  <w:tcW w:w="68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410"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切割修整废气（DA002）</w:t>
                  </w: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颗粒物</w:t>
                  </w:r>
                </w:p>
              </w:tc>
              <w:tc>
                <w:tcPr>
                  <w:tcW w:w="78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kern w:val="2"/>
                      <w:sz w:val="18"/>
                      <w:szCs w:val="18"/>
                      <w:u w:val="none"/>
                      <w:lang w:val="en-US" w:eastAsia="zh-CN" w:bidi="ar-SA"/>
                    </w:rPr>
                  </w:pPr>
                  <w:r>
                    <w:rPr>
                      <w:rFonts w:hint="default" w:ascii="Times New Roman" w:hAnsi="Times New Roman" w:cs="Times New Roman"/>
                      <w:i w:val="0"/>
                      <w:iCs w:val="0"/>
                      <w:color w:val="0F1115"/>
                      <w:kern w:val="0"/>
                      <w:sz w:val="18"/>
                      <w:szCs w:val="18"/>
                      <w:u w:val="none"/>
                      <w:lang w:val="en-US" w:eastAsia="zh-CN" w:bidi="ar"/>
                    </w:rPr>
                    <w:t>437.5</w:t>
                  </w:r>
                </w:p>
              </w:tc>
              <w:tc>
                <w:tcPr>
                  <w:tcW w:w="68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cs="Times New Roman"/>
                      <w:i w:val="0"/>
                      <w:iCs w:val="0"/>
                      <w:color w:val="0F1115"/>
                      <w:kern w:val="0"/>
                      <w:sz w:val="18"/>
                      <w:szCs w:val="18"/>
                      <w:u w:val="none"/>
                      <w:lang w:val="en-US" w:eastAsia="zh-CN" w:bidi="ar"/>
                    </w:rPr>
                    <w:t>4.375</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布袋除尘器滤袋破损</w:t>
                  </w:r>
                </w:p>
              </w:tc>
              <w:tc>
                <w:tcPr>
                  <w:tcW w:w="410"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立即停产检修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vMerge w:val="restar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塑料管材挤出废气（DA003）</w:t>
                  </w: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非甲烷总烃</w:t>
                  </w:r>
                </w:p>
              </w:tc>
              <w:tc>
                <w:tcPr>
                  <w:tcW w:w="788"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93.7</w:t>
                  </w:r>
                </w:p>
              </w:tc>
              <w:tc>
                <w:tcPr>
                  <w:tcW w:w="68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0.937</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vMerge w:val="restar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活性炭吸附/脱附+催化燃烧装置处理效率降低或失效</w:t>
                  </w:r>
                </w:p>
              </w:tc>
              <w:tc>
                <w:tcPr>
                  <w:tcW w:w="410" w:type="pct"/>
                  <w:vMerge w:val="restar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立即停产检修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氯化氢</w:t>
                  </w:r>
                </w:p>
              </w:tc>
              <w:tc>
                <w:tcPr>
                  <w:tcW w:w="78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68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kern w:val="2"/>
                      <w:sz w:val="18"/>
                      <w:szCs w:val="18"/>
                      <w:u w:val="none"/>
                      <w:lang w:val="en-US" w:eastAsia="zh-CN" w:bidi="ar-SA"/>
                    </w:rPr>
                  </w:pPr>
                  <w:r>
                    <w:rPr>
                      <w:rFonts w:hint="default" w:ascii="Times New Roman" w:hAnsi="Times New Roman" w:eastAsia="宋体" w:cs="Times New Roman"/>
                      <w:i w:val="0"/>
                      <w:iCs w:val="0"/>
                      <w:color w:val="0F1115"/>
                      <w:kern w:val="0"/>
                      <w:sz w:val="18"/>
                      <w:szCs w:val="18"/>
                      <w:u w:val="none"/>
                      <w:lang w:val="en-US" w:eastAsia="zh-CN" w:bidi="ar"/>
                    </w:rPr>
                    <w:t>0.022</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410"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367"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氯乙烯</w:t>
                  </w:r>
                </w:p>
              </w:tc>
              <w:tc>
                <w:tcPr>
                  <w:tcW w:w="788"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2.7</w:t>
                  </w:r>
                </w:p>
              </w:tc>
              <w:tc>
                <w:tcPr>
                  <w:tcW w:w="689" w:type="pct"/>
                  <w:tcBorders>
                    <w:tl2br w:val="nil"/>
                    <w:tr2bl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F1115"/>
                      <w:kern w:val="2"/>
                      <w:sz w:val="18"/>
                      <w:szCs w:val="18"/>
                      <w:u w:val="none"/>
                      <w:lang w:val="en-US" w:eastAsia="zh-CN" w:bidi="ar-SA"/>
                    </w:rPr>
                  </w:pPr>
                  <w:r>
                    <w:rPr>
                      <w:rFonts w:hint="default" w:ascii="Times New Roman" w:hAnsi="Times New Roman" w:eastAsia="宋体" w:cs="Times New Roman"/>
                      <w:i w:val="0"/>
                      <w:iCs w:val="0"/>
                      <w:color w:val="0F1115"/>
                      <w:kern w:val="0"/>
                      <w:sz w:val="18"/>
                      <w:szCs w:val="18"/>
                      <w:u w:val="none"/>
                      <w:lang w:val="en-US" w:eastAsia="zh-CN" w:bidi="ar"/>
                    </w:rPr>
                    <w:t>0.027</w:t>
                  </w:r>
                </w:p>
              </w:tc>
              <w:tc>
                <w:tcPr>
                  <w:tcW w:w="519"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≤60min</w:t>
                  </w:r>
                </w:p>
              </w:tc>
              <w:tc>
                <w:tcPr>
                  <w:tcW w:w="333" w:type="pct"/>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lang w:val="en-US" w:eastAsia="zh-CN"/>
                    </w:rPr>
                    <w:t>≤1次/年</w:t>
                  </w:r>
                </w:p>
              </w:tc>
              <w:tc>
                <w:tcPr>
                  <w:tcW w:w="894"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c>
                <w:tcPr>
                  <w:tcW w:w="410" w:type="pct"/>
                  <w:vMerge w:val="continue"/>
                  <w:tcBorders>
                    <w:tl2br w:val="nil"/>
                    <w:tr2bl w:val="nil"/>
                  </w:tcBorders>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7"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PVC管混料（DA003）</w:t>
                  </w:r>
                </w:p>
              </w:tc>
              <w:tc>
                <w:tcPr>
                  <w:tcW w:w="367"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颗粒物</w:t>
                  </w:r>
                </w:p>
              </w:tc>
              <w:tc>
                <w:tcPr>
                  <w:tcW w:w="788"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250</w:t>
                  </w:r>
                </w:p>
              </w:tc>
              <w:tc>
                <w:tcPr>
                  <w:tcW w:w="689"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1.25</w:t>
                  </w:r>
                </w:p>
              </w:tc>
              <w:tc>
                <w:tcPr>
                  <w:tcW w:w="519"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≤60min</w:t>
                  </w:r>
                </w:p>
              </w:tc>
              <w:tc>
                <w:tcPr>
                  <w:tcW w:w="333"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≤1次/年</w:t>
                  </w:r>
                </w:p>
              </w:tc>
              <w:tc>
                <w:tcPr>
                  <w:tcW w:w="894"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布袋除尘器滤袋破损</w:t>
                  </w:r>
                </w:p>
              </w:tc>
              <w:tc>
                <w:tcPr>
                  <w:tcW w:w="410" w:type="pct"/>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立即停产检修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000" w:type="pct"/>
                  <w:gridSpan w:val="8"/>
                  <w:tcBorders>
                    <w:tl2br w:val="nil"/>
                    <w:tr2bl w:val="nil"/>
                  </w:tcBorders>
                  <w:shd w:val="clear" w:color="auto" w:fill="auto"/>
                  <w:vAlign w:val="center"/>
                </w:tcPr>
                <w:p>
                  <w:pPr>
                    <w:pStyle w:val="1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18"/>
                      <w:szCs w:val="18"/>
                      <w:highlight w:val="none"/>
                      <w:vertAlign w:val="baseline"/>
                      <w:lang w:val="en-US" w:eastAsia="zh-CN"/>
                    </w:rPr>
                  </w:pPr>
                  <w:r>
                    <w:rPr>
                      <w:rFonts w:hint="default" w:ascii="Times New Roman" w:hAnsi="Times New Roman" w:eastAsia="宋体" w:cs="Times New Roman"/>
                      <w:color w:val="auto"/>
                      <w:sz w:val="18"/>
                      <w:szCs w:val="18"/>
                      <w:highlight w:val="none"/>
                      <w:vertAlign w:val="baseline"/>
                      <w:lang w:val="en-US" w:eastAsia="zh-CN"/>
                    </w:rPr>
                    <w:t>非正常工况排放浓度及排放速率均为废气治理设施处理前的产生浓度和产生速率，即“活性炭吸附/脱附+催化燃烧”装置或“布袋除尘器”完全失效时，排气筒出口排放浓度等于废气产生浓度，排放速率等于废气产生速率。</w:t>
                  </w:r>
                </w:p>
              </w:tc>
            </w:tr>
          </w:tbl>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（3）非正常工况预防及控制措施</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为防止生产废气非正常工况排放，参考同类企业运行情况，非正常工况出现的概率极低，企业必须加强废气处理设施的管理，定期检修，确保废气处理设施正常运行。为杜绝废气非正常排放，应采取以下措施：</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同步运行管理：废气治理设施较生产设备“先启后停”，在治理设施达到正常运行条件后方可启动生产设备，在生产设备停止、残留VOCs废气收集处理完毕后，方可停运治理设施。定期对废气收集系统进行气密性检查和罩口风速检测，确保微负压状态及收集效率稳定达到设计值。在废气处理设备停止运行或出现故障时，产生废气的各工序必须同步停止生产，杜绝废气未经处理直接排放。</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日常维护管理：安排专人负责环保设备的日常维护和管理，每隔固定时间检查设备运行状况，及时发现废气处理设备的隐患，确保废气处理系统正常运行。建立生产设备和治理设施启停机时间、检维修情况、治理设施耗材维护更换、处置情况等台账记录，确保设施能够稳定高效运行。</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耗材定期更换：按设计要求定期对活性炭进行脱附再生，当活性炭吸附容量接近饱和时及时更换；定期检查催化剂活性，发现催化剂中毒或失效时及时更换；定期检查布袋除尘器滤袋完好状况，发现破损及时更换，确保废气处理效率。</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④管理制度建设：建立健全环保管理机构，对环保管理人员和技术人员进行岗位培训，提高操作水平和应急处理能力。制定非正常工况应急预案，明确非正常工况下的应急响应程序和操作规范。</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预警监控措施：废气治理设施安装运行参数实时监控系统，对活性炭吸附床温度、催化燃烧室温度、系统压差等关键参数进行自动记录存储。当参数异常时系统自动报警，第一时间通知值班人员检查处置。催化燃烧装置（CO）燃烧温度一般不低于300℃（处理苯乙烯等成分时建议不低于350℃以保证去除效率），相关温度参数应自动记录存储。</w:t>
            </w:r>
          </w:p>
          <w:p>
            <w:pPr>
              <w:pStyle w:val="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建设单位须严格落实非正常工况预防措施，杜绝废气处理设施失效情况的发生。采取上述措施后，可有效控制非正常工况下废气排放对环境的影响，确保非正常工况下污染物排放对周边环境的影响降至最低。</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default" w:ascii="Times New Roman" w:hAnsi="Times New Roman" w:cs="Times New Roman"/>
                <w:b/>
                <w:bCs/>
                <w:color w:val="auto"/>
                <w:kern w:val="0"/>
                <w:sz w:val="24"/>
                <w:lang w:val="en-US" w:eastAsia="zh-CN"/>
              </w:rPr>
              <w:t>7</w:t>
            </w:r>
            <w:r>
              <w:rPr>
                <w:rFonts w:hint="default" w:ascii="Times New Roman" w:hAnsi="Times New Roman" w:cs="Times New Roman"/>
                <w:b/>
                <w:bCs/>
                <w:color w:val="auto"/>
                <w:kern w:val="0"/>
                <w:sz w:val="24"/>
              </w:rPr>
              <w:t>液态树脂储存及传输过程有机废气控制要求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本项目涉及不饱和聚酯树脂、固化剂（过氧化甲乙酮）、促进剂（异辛酸钴）等液态VOCs物料。根据《挥发性有机物无组织排放控制标准》（GB37822-2019）第5章、第6章及第7章的相关规定，本评价对上述物料的储存、转移和输送、工艺过程提出以下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default" w:ascii="Times New Roman" w:hAnsi="Times New Roman" w:cs="Times New Roman"/>
                <w:b/>
                <w:bCs/>
                <w:color w:val="auto"/>
                <w:kern w:val="0"/>
                <w:sz w:val="24"/>
                <w:lang w:val="en-US" w:eastAsia="zh-CN"/>
              </w:rPr>
              <w:t>7</w:t>
            </w:r>
            <w:r>
              <w:rPr>
                <w:rFonts w:hint="default" w:ascii="Times New Roman" w:hAnsi="Times New Roman" w:cs="Times New Roman"/>
                <w:b/>
                <w:bCs/>
                <w:color w:val="auto"/>
                <w:kern w:val="0"/>
                <w:sz w:val="24"/>
              </w:rPr>
              <w:t>.1储存过程控制要求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（1）密闭储存：所有液态VOCs物料应储存于密闭的包装桶/容器中，容器材质应满足耐腐蚀、耐压要求，并保持良好的密封状态。破损或密封不严的包装桶应及时更换，不得继续使用。</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2）存放管理：盛装液态VOCs物料的容器应存放于室内原料库或固化剂库房，不得露天堆放。存放区域应设置遮阳、防雨和防渗设施，避免阳光直射导致物料温度升高加剧挥发。原料库及固化剂库房应保持良好的通风条件，通风系统出口应接入VOCs废气收集处理系统。</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（3）非取用状态管理：包装桶在非取用状态时应保持加盖、封口，确保密闭。使用完毕的空桶应立即加盖密封，减少残留物料挥发。含VOCs的废包装桶应加盖密闭后转移至危废贮存点暂存，纳入危险废物管理。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（4）库存管控：车间内应尽量减少树脂等液态VOCs物料的贮存量，按生产班次需求定量领用，避免大量物料在车间内长时间存放。不饱和聚酯树脂在车间内的临时存放时间原则上不得超过一个班次。</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default" w:ascii="Times New Roman" w:hAnsi="Times New Roman" w:cs="Times New Roman"/>
                <w:b/>
                <w:bCs/>
                <w:color w:val="auto"/>
                <w:kern w:val="0"/>
                <w:sz w:val="24"/>
                <w:lang w:val="en-US" w:eastAsia="zh-CN"/>
              </w:rPr>
              <w:t>7</w:t>
            </w:r>
            <w:r>
              <w:rPr>
                <w:rFonts w:hint="default" w:ascii="Times New Roman" w:hAnsi="Times New Roman" w:cs="Times New Roman"/>
                <w:b/>
                <w:bCs/>
                <w:color w:val="auto"/>
                <w:kern w:val="0"/>
                <w:sz w:val="24"/>
              </w:rPr>
              <w:t>.2转移和输送过程控制要求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1）管道输送：从原料库向生产车间输送不饱和聚酯树脂、固化剂、促进剂等液态VOCs物料时，应采用密闭管道输送系统。管道连接处应采用法兰连接并设置密封垫片，定期检查管道密封性（至少每季度一次），发现泄漏及时修复。</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2）桶泵给料：采用桶泵方式从包装桶向生产设备给料时，应在密闭空间内操作，或采取局部气体收集措施，将逸散废气排至VOCs废气收集处理系统（DA001）。桶泵给料操作区域应设置集气罩，确保逸散废气有效收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（3）卸料过程：液态VOCs物料卸（出、放）料过程应密闭，卸料废气应排至VOCs废气收集处理系统；无法密闭的，应采取局部气体收集措施，集气罩口控制风速不低于0.3m/s。</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（4）输送管路管理：树脂输送管道应定期清洗，清洗废液应作为危险废物管理，不得随意排放。输送管路末端应设置残液收集装置，防止管路拆卸时残余物料滴漏。</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default" w:ascii="Times New Roman" w:hAnsi="Times New Roman" w:cs="Times New Roman"/>
                <w:b/>
                <w:bCs/>
                <w:color w:val="auto"/>
                <w:kern w:val="0"/>
                <w:sz w:val="24"/>
                <w:lang w:val="en-US" w:eastAsia="zh-CN"/>
              </w:rPr>
              <w:t>7</w:t>
            </w:r>
            <w:r>
              <w:rPr>
                <w:rFonts w:hint="default" w:ascii="Times New Roman" w:hAnsi="Times New Roman" w:cs="Times New Roman"/>
                <w:b/>
                <w:bCs/>
                <w:color w:val="auto"/>
                <w:kern w:val="0"/>
                <w:sz w:val="24"/>
              </w:rPr>
              <w:t>.3工艺过程控制要求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1）投料控制：液态VOCs物料应采用密闭管道输送方式或采用高位槽（罐）、桶泵等给料方式密闭投加。无法密闭投加的，应在密闭空间内操作，或进行局部气体收集，废气应排至VOCs废气收集处理系统。本项目不饱和聚酯树脂、固化剂、促进剂投料均应在负压原料间内完成，投料口设置集气罩，逸散废气接入DA001排气筒对应的废气处理系统。</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（2）设备密闭：生产期间，搅拌设备、树脂槽等含VOCs物料的设备开口（孔）在不操作时应保持密闭。设备的观察口、检修口应设置密封垫圈，确保非操作状态下密闭。</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3）通风设计：因苯乙烯蒸汽密度大于空气（相对分子质量104.14，空气为29），通风装置的吸风口应靠近地面设置（距地面高度不超过0.3m），并配合顶部补风，以有效排除积聚在低处的有机废气，防止局部浓度过高形成爆炸危险环境。</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4）泄漏检测与修复（LDAR）：企业应按照GB37822-2019第8章要求，对含VOCs物料的设备与管线组件的密封点（包括泵、阀门、法兰等）开展泄漏检测与修复工作，建立LDAR管理台账，记录检测时间、检测仪器、检测结果及修复情况，台账保存期限不少于3年。</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1.</w:t>
            </w:r>
            <w:r>
              <w:rPr>
                <w:rFonts w:hint="default" w:ascii="Times New Roman" w:hAnsi="Times New Roman" w:cs="Times New Roman"/>
                <w:b/>
                <w:bCs/>
                <w:color w:val="auto"/>
                <w:kern w:val="0"/>
                <w:sz w:val="24"/>
                <w:lang w:val="en-US" w:eastAsia="zh-CN"/>
              </w:rPr>
              <w:t>7</w:t>
            </w:r>
            <w:r>
              <w:rPr>
                <w:rFonts w:hint="default" w:ascii="Times New Roman" w:hAnsi="Times New Roman" w:cs="Times New Roman"/>
                <w:b/>
                <w:bCs/>
                <w:color w:val="auto"/>
                <w:kern w:val="0"/>
                <w:sz w:val="24"/>
              </w:rPr>
              <w:t>.4台账管理要求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企业应按照GB37822-2019第10.3.2条要求，建立VOCs物料管理台账，记录以下信息：</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（1）含VOCs原辅材料的名称、VOCs含量（质量分数）、采购量、入库量、领用量、使用量、回收量、废弃量及去向；</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（2）VOCs物料储存、转移和输送设备的维护保养记录；</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（3）废气收集处理系统的运行维护记录（含运行时间、风机风量、处理温度/压差等关键参数）；</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（4）活性炭更换/脱附记录、催化剂更换记录。</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以上台账保存期限不少于3年。</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lang w:val="en-US" w:eastAsia="zh-CN"/>
              </w:rPr>
            </w:pPr>
            <w:r>
              <w:rPr>
                <w:rFonts w:hint="default" w:ascii="Times New Roman" w:hAnsi="Times New Roman" w:cs="Times New Roman"/>
                <w:b/>
                <w:bCs/>
                <w:color w:val="auto"/>
                <w:kern w:val="0"/>
                <w:sz w:val="24"/>
                <w:lang w:val="en-US" w:eastAsia="zh-CN"/>
              </w:rPr>
              <w:t>1.7.5非正常工况控制要求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载有VOCs物料的设备及其管道在开停工、检维修和清洗时，应满足以下控制要求：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（1）退料阶段：应将残存物料退净，并用密闭容器盛装，退料过程废气应排至VOCs废气收集处理系统（DA001）；</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（2）清洗及吹扫：清洗及吹扫过程排气应排至VOCs废气收集处理系统，不得直接排放大气；</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（3）检维修管理：含VOCs物料的设备在检维修前应进行排空和置换，置换气体应接入废气处理系统。</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lang w:val="en-US" w:eastAsia="zh-CN"/>
              </w:rPr>
            </w:pPr>
            <w:r>
              <w:rPr>
                <w:rFonts w:hint="default" w:ascii="Times New Roman" w:hAnsi="Times New Roman" w:cs="Times New Roman"/>
                <w:b/>
                <w:bCs/>
                <w:color w:val="auto"/>
                <w:kern w:val="0"/>
                <w:sz w:val="24"/>
                <w:lang w:val="en-US" w:eastAsia="zh-CN"/>
              </w:rPr>
              <w:t>1.7.6标准符合性汇总</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kern w:val="0"/>
                <w:sz w:val="24"/>
              </w:rPr>
            </w:pPr>
            <w:r>
              <w:rPr>
                <w:rFonts w:hint="default" w:ascii="Times New Roman" w:hAnsi="Times New Roman" w:cs="Times New Roman"/>
                <w:b w:val="0"/>
                <w:bCs w:val="0"/>
                <w:color w:val="auto"/>
                <w:kern w:val="0"/>
                <w:sz w:val="24"/>
              </w:rPr>
              <w:t>本项目液态VOCs物料储存及传输过程有机废气控制要求与GB37822-2019相关条款的符合性汇总见表4-</w:t>
            </w:r>
            <w:r>
              <w:rPr>
                <w:rFonts w:hint="default" w:ascii="Times New Roman" w:hAnsi="Times New Roman" w:cs="Times New Roman"/>
                <w:b w:val="0"/>
                <w:bCs w:val="0"/>
                <w:color w:val="auto"/>
                <w:kern w:val="0"/>
                <w:sz w:val="24"/>
                <w:lang w:val="en-US" w:eastAsia="zh-CN"/>
              </w:rPr>
              <w:t>10</w:t>
            </w:r>
            <w:r>
              <w:rPr>
                <w:rFonts w:hint="default" w:ascii="Times New Roman" w:hAnsi="Times New Roman" w:cs="Times New Roman"/>
                <w:b w:val="0"/>
                <w:bCs w:val="0"/>
                <w:color w:val="auto"/>
                <w:kern w:val="0"/>
                <w:sz w:val="24"/>
              </w:rPr>
              <w:t>。</w:t>
            </w:r>
          </w:p>
          <w:p>
            <w:pPr>
              <w:pStyle w:val="13"/>
              <w:keepNext w:val="0"/>
              <w:keepLines w:val="0"/>
              <w:pageBreakBefore w:val="0"/>
              <w:widowControl/>
              <w:kinsoku/>
              <w:wordWrap/>
              <w:overflowPunct/>
              <w:topLinePunct w:val="0"/>
              <w:autoSpaceDE/>
              <w:autoSpaceDN/>
              <w:bidi w:val="0"/>
              <w:adjustRightInd/>
              <w:snapToGrid/>
              <w:spacing w:before="157" w:beforeLines="50"/>
              <w:ind w:firstLine="422" w:firstLineChars="200"/>
              <w:jc w:val="left"/>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表4-10  液态VOCs物料储存及传输过程控制要求与GB37822-2019符合性分析</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36"/>
              <w:gridCol w:w="3254"/>
              <w:gridCol w:w="2615"/>
              <w:gridCol w:w="59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控制环节</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GB37822-2019对应条款</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本项目控制措施</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VOCs物料储存</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5.1.1（容器密闭储存）、5.1.2（非取用状态加盖封口）</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桶装密闭存放于室内库房，非取用状态加盖密封</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VOCs物料转移输送</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6.1.1（管道密闭输送）、6.1.2（桶泵给料密闭操作）</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管道密闭输送+桶泵给料区域集气罩收集</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工艺过程VOCs无组织排放</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7.2.1（投料废气收集处理）、7.2.2（反应设备开口密闭）</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密闭投料+设备密闭+局部集气</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通风设计</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7.4（集气罩设置及风速要求）</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吸风口近地面设置，控制风速≥0.3m/s</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泄漏检测与修复</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8.3（泵、阀门、法兰等组件定期检测）</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建立LDAR管理制度，定期检测并记录</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台账管理</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10.3.2（VOCs物料台账）</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建立VOCs物料全流程台账，保存≥3年</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00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非正常工况</w:t>
                  </w:r>
                </w:p>
              </w:tc>
              <w:tc>
                <w:tcPr>
                  <w:tcW w:w="20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5.5、6.4、7.5（开停工、检维修退料及废气收集）</w:t>
                  </w:r>
                </w:p>
              </w:tc>
              <w:tc>
                <w:tcPr>
                  <w:tcW w:w="161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退料+清洗吹扫废气均接入处理系统</w:t>
                  </w:r>
                </w:p>
              </w:tc>
              <w:tc>
                <w:tcPr>
                  <w:tcW w:w="36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kern w:val="0"/>
                      <w:sz w:val="18"/>
                      <w:szCs w:val="18"/>
                      <w:vertAlign w:val="baseline"/>
                    </w:rPr>
                  </w:pPr>
                  <w:r>
                    <w:rPr>
                      <w:rFonts w:hint="default" w:ascii="Times New Roman" w:hAnsi="Times New Roman" w:cs="Times New Roman"/>
                      <w:b w:val="0"/>
                      <w:bCs w:val="0"/>
                      <w:color w:val="auto"/>
                      <w:kern w:val="0"/>
                      <w:sz w:val="18"/>
                      <w:szCs w:val="18"/>
                      <w:lang w:val="en-US" w:eastAsia="zh-CN"/>
                    </w:rPr>
                    <w:t>符合</w:t>
                  </w:r>
                </w:p>
              </w:tc>
            </w:tr>
          </w:tbl>
          <w:p>
            <w:pPr>
              <w:rPr>
                <w:rFonts w:hint="default" w:ascii="Times New Roman" w:hAnsi="Times New Roman" w:cs="Times New Roman"/>
              </w:rPr>
            </w:pPr>
            <w:r>
              <w:rPr>
                <w:rFonts w:hint="default" w:ascii="Times New Roman" w:hAnsi="Times New Roman" w:eastAsia="宋体" w:cs="Times New Roman"/>
              </w:rPr>
              <w:t>（1）排污许可管理：根据《固定污染源排污许可分类管理名录》，本项目建成后属于简化管理，现有工程为登记管理。运营期应及时完成固定污染源排污许可证变更，按证排污。</w:t>
            </w:r>
          </w:p>
          <w:p>
            <w:pPr>
              <w:keepNext w:val="0"/>
              <w:keepLines w:val="0"/>
              <w:pageBreakBefore w:val="0"/>
              <w:widowControl w:val="0"/>
              <w:kinsoku/>
              <w:wordWrap/>
              <w:overflowPunct/>
              <w:topLinePunct w:val="0"/>
              <w:autoSpaceDE/>
              <w:autoSpaceDN/>
              <w:bidi w:val="0"/>
              <w:adjustRightInd/>
              <w:snapToGrid/>
              <w:spacing w:before="157" w:beforeLines="50" w:line="372"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lang w:val="en-US" w:eastAsia="zh-CN"/>
              </w:rPr>
              <w:t>1.8</w:t>
            </w:r>
            <w:r>
              <w:rPr>
                <w:rFonts w:hint="default" w:ascii="Times New Roman" w:hAnsi="Times New Roman" w:cs="Times New Roman"/>
                <w:b/>
                <w:bCs/>
                <w:color w:val="auto"/>
                <w:kern w:val="0"/>
                <w:sz w:val="24"/>
              </w:rPr>
              <w:t>监测计划</w:t>
            </w:r>
          </w:p>
          <w:p>
            <w:pPr>
              <w:keepNext w:val="0"/>
              <w:keepLines w:val="0"/>
              <w:pageBreakBefore w:val="0"/>
              <w:widowControl w:val="0"/>
              <w:kinsoku/>
              <w:wordWrap/>
              <w:overflowPunct/>
              <w:topLinePunct w:val="0"/>
              <w:bidi w:val="0"/>
              <w:snapToGrid/>
              <w:spacing w:line="372" w:lineRule="auto"/>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参照《排污单位自行监测技术指南</w:t>
            </w:r>
            <w:r>
              <w:rPr>
                <w:rFonts w:hint="default" w:ascii="Times New Roman" w:hAnsi="Times New Roman" w:cs="Times New Roman"/>
                <w:color w:val="auto"/>
                <w:sz w:val="24"/>
                <w:lang w:val="en-US" w:eastAsia="zh-CN"/>
              </w:rPr>
              <w:t xml:space="preserve"> </w:t>
            </w:r>
            <w:r>
              <w:rPr>
                <w:rFonts w:hint="default" w:ascii="Times New Roman" w:hAnsi="Times New Roman" w:eastAsia="宋体" w:cs="Times New Roman"/>
                <w:color w:val="auto"/>
                <w:sz w:val="24"/>
              </w:rPr>
              <w:t>总则》</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HJ819-2017</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szCs w:val="24"/>
                <w:highlight w:val="none"/>
                <w:lang w:val="en-US" w:eastAsia="zh-CN"/>
              </w:rPr>
              <w:t>《排污许可证申请与核发技术规范 橡胶和塑料制品工业》（HJ1122-2020）</w:t>
            </w:r>
            <w:r>
              <w:rPr>
                <w:rFonts w:hint="default" w:ascii="Times New Roman" w:hAnsi="Times New Roman" w:eastAsia="宋体" w:cs="Times New Roman"/>
                <w:color w:val="auto"/>
                <w:sz w:val="24"/>
              </w:rPr>
              <w:t>中的相关规定</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开展本项目的自行监测工作</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确定本项目</w:t>
            </w:r>
            <w:r>
              <w:rPr>
                <w:rFonts w:hint="default" w:ascii="Times New Roman" w:hAnsi="Times New Roman" w:cs="Times New Roman"/>
                <w:color w:val="auto"/>
                <w:sz w:val="24"/>
                <w:lang w:val="en-US" w:eastAsia="zh-CN"/>
              </w:rPr>
              <w:t>运营期</w:t>
            </w:r>
            <w:r>
              <w:rPr>
                <w:rFonts w:hint="default" w:ascii="Times New Roman" w:hAnsi="Times New Roman" w:eastAsia="宋体" w:cs="Times New Roman"/>
                <w:color w:val="auto"/>
                <w:sz w:val="24"/>
              </w:rPr>
              <w:t>自行监测内容、监测点位、监测项目及监测频率见</w:t>
            </w:r>
            <w:r>
              <w:rPr>
                <w:rFonts w:hint="default" w:ascii="Times New Roman" w:hAnsi="Times New Roman" w:cs="Times New Roman"/>
                <w:color w:val="auto"/>
                <w:sz w:val="24"/>
                <w:lang w:val="en-US" w:eastAsia="zh-CN"/>
              </w:rPr>
              <w:t>表</w:t>
            </w:r>
            <w:r>
              <w:rPr>
                <w:rFonts w:hint="default" w:ascii="Times New Roman" w:hAnsi="Times New Roman" w:cs="Times New Roman"/>
                <w:color w:val="auto"/>
                <w:sz w:val="24"/>
              </w:rPr>
              <w:t>4-</w:t>
            </w:r>
            <w:r>
              <w:rPr>
                <w:rFonts w:hint="default" w:ascii="Times New Roman" w:hAnsi="Times New Roman" w:cs="Times New Roman"/>
                <w:color w:val="auto"/>
                <w:sz w:val="24"/>
                <w:lang w:val="en-US" w:eastAsia="zh-CN"/>
              </w:rPr>
              <w:t>11</w:t>
            </w:r>
            <w:r>
              <w:rPr>
                <w:rFonts w:hint="default" w:ascii="Times New Roman" w:hAnsi="Times New Roman" w:cs="Times New Roman"/>
                <w:color w:val="auto"/>
                <w:sz w:val="24"/>
              </w:rPr>
              <w:t>。</w:t>
            </w:r>
          </w:p>
          <w:p>
            <w:pPr>
              <w:pStyle w:val="13"/>
              <w:keepNext w:val="0"/>
              <w:keepLines w:val="0"/>
              <w:pageBreakBefore w:val="0"/>
              <w:widowControl/>
              <w:kinsoku/>
              <w:wordWrap/>
              <w:overflowPunct/>
              <w:topLinePunct w:val="0"/>
              <w:autoSpaceDE/>
              <w:autoSpaceDN/>
              <w:bidi w:val="0"/>
              <w:adjustRightInd/>
              <w:snapToGrid/>
              <w:spacing w:before="157" w:beforeLines="50"/>
              <w:ind w:firstLine="422" w:firstLineChars="200"/>
              <w:jc w:val="left"/>
              <w:textAlignment w:val="auto"/>
              <w:rPr>
                <w:rFonts w:hint="default" w:ascii="Times New Roman" w:hAnsi="Times New Roman" w:eastAsia="宋体" w:cs="Times New Roman"/>
                <w:b/>
                <w:bCs/>
                <w:color w:val="auto"/>
                <w:sz w:val="21"/>
                <w:szCs w:val="21"/>
                <w:highlight w:val="none"/>
                <w:vertAlign w:val="baseline"/>
                <w:lang w:val="zh-CN" w:eastAsia="zh-CN"/>
              </w:rPr>
            </w:pPr>
            <w:r>
              <w:rPr>
                <w:rFonts w:hint="default" w:ascii="Times New Roman" w:hAnsi="Times New Roman" w:eastAsia="宋体" w:cs="Times New Roman"/>
                <w:b/>
                <w:bCs/>
                <w:color w:val="auto"/>
                <w:sz w:val="21"/>
                <w:szCs w:val="21"/>
                <w:highlight w:val="none"/>
                <w:lang w:val="zh-CN" w:eastAsia="zh-CN"/>
              </w:rPr>
              <w:t>表4-</w:t>
            </w:r>
            <w:r>
              <w:rPr>
                <w:rFonts w:hint="default" w:ascii="Times New Roman" w:hAnsi="Times New Roman" w:cs="Times New Roman"/>
                <w:b/>
                <w:bCs/>
                <w:color w:val="auto"/>
                <w:sz w:val="21"/>
                <w:szCs w:val="21"/>
                <w:highlight w:val="none"/>
                <w:lang w:val="en-US" w:eastAsia="zh-CN"/>
              </w:rPr>
              <w:t>11</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zh-CN" w:eastAsia="zh-CN"/>
              </w:rPr>
              <w:t>项目运营期废气污染物监测计划一览表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2432"/>
              <w:gridCol w:w="1166"/>
              <w:gridCol w:w="950"/>
              <w:gridCol w:w="296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类别</w:t>
                  </w:r>
                </w:p>
              </w:tc>
              <w:tc>
                <w:tcPr>
                  <w:tcW w:w="150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监测位置</w:t>
                  </w: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监测项目</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监测频率</w:t>
                  </w:r>
                </w:p>
              </w:tc>
              <w:tc>
                <w:tcPr>
                  <w:tcW w:w="18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执行排放标准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有组织废气</w:t>
                  </w:r>
                </w:p>
              </w:tc>
              <w:tc>
                <w:tcPr>
                  <w:tcW w:w="150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排气筒DA001（混合树脂缠绕固化废气排放口）</w:t>
                  </w: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1次/半年</w:t>
                  </w:r>
                </w:p>
              </w:tc>
              <w:tc>
                <w:tcPr>
                  <w:tcW w:w="1831"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《合成树脂工业污染物排放标准》（GB31572-2015含2024年修改单）表</w:t>
                  </w:r>
                  <w:r>
                    <w:rPr>
                      <w:rFonts w:hint="default" w:ascii="Times New Roman" w:hAnsi="Times New Roman" w:cs="Times New Roman"/>
                      <w:b w:val="0"/>
                      <w:bCs w:val="0"/>
                      <w:i w:val="0"/>
                      <w:iCs w:val="0"/>
                      <w:caps w:val="0"/>
                      <w:color w:val="0F1115"/>
                      <w:spacing w:val="0"/>
                      <w:kern w:val="0"/>
                      <w:sz w:val="18"/>
                      <w:szCs w:val="18"/>
                      <w:lang w:val="en-US" w:eastAsia="zh-CN" w:bidi="ar"/>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苯乙烯</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1次/半年</w:t>
                  </w:r>
                </w:p>
              </w:tc>
              <w:tc>
                <w:tcPr>
                  <w:tcW w:w="1831"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臭气浓度</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《恶臭污染物排放标准》（GB14554-93）表2排放标准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排气筒DA002（切割修整废气排放口）</w:t>
                  </w: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颗粒物</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《合成树脂工业污染物排放标准》（GB31572-2015含2024年修改单）表</w:t>
                  </w:r>
                  <w:r>
                    <w:rPr>
                      <w:rFonts w:hint="default" w:ascii="Times New Roman" w:hAnsi="Times New Roman" w:cs="Times New Roman"/>
                      <w:b w:val="0"/>
                      <w:bCs w:val="0"/>
                      <w:i w:val="0"/>
                      <w:iCs w:val="0"/>
                      <w:caps w:val="0"/>
                      <w:color w:val="0F1115"/>
                      <w:spacing w:val="0"/>
                      <w:kern w:val="0"/>
                      <w:sz w:val="18"/>
                      <w:szCs w:val="18"/>
                      <w:lang w:val="en-US" w:eastAsia="zh-CN" w:bidi="ar"/>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排气筒DA003（塑料管材挤出废气排放口）</w:t>
                  </w: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1次/半年</w:t>
                  </w:r>
                </w:p>
              </w:tc>
              <w:tc>
                <w:tcPr>
                  <w:tcW w:w="1831"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《合成树脂工业污染物排放标准》（GB31572-2015含2024年修改单）表</w:t>
                  </w:r>
                  <w:r>
                    <w:rPr>
                      <w:rFonts w:hint="default" w:ascii="Times New Roman" w:hAnsi="Times New Roman" w:cs="Times New Roman"/>
                      <w:b w:val="0"/>
                      <w:bCs w:val="0"/>
                      <w:i w:val="0"/>
                      <w:iCs w:val="0"/>
                      <w:caps w:val="0"/>
                      <w:color w:val="0F1115"/>
                      <w:spacing w:val="0"/>
                      <w:kern w:val="0"/>
                      <w:sz w:val="18"/>
                      <w:szCs w:val="18"/>
                      <w:lang w:val="en-US" w:eastAsia="zh-CN" w:bidi="ar"/>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color w:val="auto"/>
                      <w:kern w:val="2"/>
                      <w:sz w:val="18"/>
                      <w:szCs w:val="18"/>
                      <w:highlight w:val="none"/>
                      <w:vertAlign w:val="baseline"/>
                      <w:lang w:val="en-US" w:eastAsia="zh-CN" w:bidi="ar-SA"/>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氯乙烯</w:t>
                  </w:r>
                </w:p>
              </w:tc>
              <w:tc>
                <w:tcPr>
                  <w:tcW w:w="586"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color w:val="auto"/>
                      <w:kern w:val="2"/>
                      <w:sz w:val="18"/>
                      <w:szCs w:val="18"/>
                      <w:highlight w:val="none"/>
                      <w:vertAlign w:val="baseline"/>
                      <w:lang w:val="en-US" w:eastAsia="zh-CN" w:bidi="ar-SA"/>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氯化氢</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en-US" w:eastAsia="zh-CN"/>
                    </w:rPr>
                  </w:pPr>
                  <w:r>
                    <w:rPr>
                      <w:rFonts w:hint="default" w:ascii="Times New Roman" w:hAnsi="Times New Roman" w:eastAsia="宋体" w:cs="Times New Roman"/>
                      <w:b w:val="0"/>
                      <w:bCs w:val="0"/>
                      <w:color w:val="auto"/>
                      <w:sz w:val="18"/>
                      <w:szCs w:val="18"/>
                      <w:highlight w:val="none"/>
                      <w:vertAlign w:val="baseline"/>
                      <w:lang w:val="en-US" w:eastAsia="zh-CN"/>
                    </w:rPr>
                    <w:t>排气筒DA004（</w:t>
                  </w:r>
                  <w:r>
                    <w:rPr>
                      <w:rFonts w:hint="default" w:ascii="Times New Roman" w:hAnsi="Times New Roman" w:eastAsia="宋体" w:cs="Times New Roman"/>
                      <w:b w:val="0"/>
                      <w:bCs w:val="0"/>
                      <w:i w:val="0"/>
                      <w:iCs w:val="0"/>
                      <w:caps w:val="0"/>
                      <w:color w:val="0F1115"/>
                      <w:spacing w:val="0"/>
                      <w:kern w:val="0"/>
                      <w:sz w:val="18"/>
                      <w:szCs w:val="18"/>
                      <w:lang w:val="en-US" w:eastAsia="zh-CN" w:bidi="ar"/>
                    </w:rPr>
                    <w:t>PVC管混料废气排放口</w:t>
                  </w:r>
                  <w:r>
                    <w:rPr>
                      <w:rFonts w:hint="default" w:ascii="Times New Roman" w:hAnsi="Times New Roman" w:eastAsia="宋体" w:cs="Times New Roman"/>
                      <w:b w:val="0"/>
                      <w:bCs w:val="0"/>
                      <w:color w:val="auto"/>
                      <w:sz w:val="18"/>
                      <w:szCs w:val="18"/>
                      <w:highlight w:val="none"/>
                      <w:vertAlign w:val="baseline"/>
                      <w:lang w:val="en-US" w:eastAsia="zh-CN"/>
                    </w:rPr>
                    <w:t>）</w:t>
                  </w:r>
                </w:p>
              </w:tc>
              <w:tc>
                <w:tcPr>
                  <w:tcW w:w="719"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color w:val="auto"/>
                      <w:kern w:val="2"/>
                      <w:sz w:val="18"/>
                      <w:szCs w:val="18"/>
                      <w:highlight w:val="none"/>
                      <w:vertAlign w:val="baseline"/>
                      <w:lang w:val="zh-CN" w:eastAsia="zh-CN" w:bidi="ar-SA"/>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颗粒物</w:t>
                  </w:r>
                </w:p>
              </w:tc>
              <w:tc>
                <w:tcPr>
                  <w:tcW w:w="586" w:type="pct"/>
                  <w:tcBorders>
                    <w:tl2br w:val="nil"/>
                    <w:tr2bl w:val="nil"/>
                  </w:tcBorders>
                  <w:shd w:val="clear" w:color="auto" w:fill="auto"/>
                  <w:vAlign w:val="center"/>
                </w:tcPr>
                <w:p>
                  <w:pPr>
                    <w:keepNext w:val="0"/>
                    <w:keepLines w:val="0"/>
                    <w:widowControl/>
                    <w:suppressLineNumbers w:val="0"/>
                    <w:jc w:val="center"/>
                    <w:rPr>
                      <w:rFonts w:hint="default" w:ascii="Times New Roman" w:hAnsi="Times New Roman" w:eastAsia="宋体" w:cs="Times New Roman"/>
                      <w:b w:val="0"/>
                      <w:bCs w:val="0"/>
                      <w:color w:val="auto"/>
                      <w:kern w:val="2"/>
                      <w:sz w:val="18"/>
                      <w:szCs w:val="18"/>
                      <w:highlight w:val="none"/>
                      <w:vertAlign w:val="baseline"/>
                      <w:lang w:val="zh-CN" w:eastAsia="zh-CN" w:bidi="ar-SA"/>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《合成树脂工业污染物排放标准》（GB31572-2015含2024年修改单）表</w:t>
                  </w:r>
                  <w:r>
                    <w:rPr>
                      <w:rFonts w:hint="default" w:ascii="Times New Roman" w:hAnsi="Times New Roman" w:cs="Times New Roman"/>
                      <w:b w:val="0"/>
                      <w:bCs w:val="0"/>
                      <w:i w:val="0"/>
                      <w:iCs w:val="0"/>
                      <w:caps w:val="0"/>
                      <w:color w:val="0F1115"/>
                      <w:spacing w:val="0"/>
                      <w:kern w:val="0"/>
                      <w:sz w:val="18"/>
                      <w:szCs w:val="18"/>
                      <w:lang w:val="en-US" w:eastAsia="zh-CN" w:bidi="ar"/>
                    </w:rPr>
                    <w:t>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无组织废气</w:t>
                  </w:r>
                </w:p>
              </w:tc>
              <w:tc>
                <w:tcPr>
                  <w:tcW w:w="150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厂界上风向1个点（2～50m范围内），下风向3个点</w:t>
                  </w: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《合成树脂工业污染物排放标准》（GB31572-2015含2024年修改单）表9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颗粒物</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苯乙烯</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continue"/>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臭气浓度</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《恶臭污染物排放标准》（GB14554-93）表1二级新扩改建标准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厂房外（在厂房门窗或通风口、其他开口（孔）等排放口外1m，距离地面1.5m及以上位置处）</w:t>
                  </w: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非甲烷总烃（监控点处1h平均浓度值）</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《挥发性有机物无组织排放控制标准》（GB37822-2019）附录A中表A.1限值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362"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1500"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c>
                <w:tcPr>
                  <w:tcW w:w="71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非甲烷总烃（监控点处任意一次浓度值）</w:t>
                  </w:r>
                </w:p>
              </w:tc>
              <w:tc>
                <w:tcPr>
                  <w:tcW w:w="586"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color w:val="auto"/>
                      <w:sz w:val="18"/>
                      <w:szCs w:val="18"/>
                      <w:highlight w:val="none"/>
                      <w:vertAlign w:val="baseline"/>
                      <w:lang w:val="zh-CN"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1次/年</w:t>
                  </w:r>
                </w:p>
              </w:tc>
              <w:tc>
                <w:tcPr>
                  <w:tcW w:w="1831" w:type="pct"/>
                  <w:vMerge w:val="continue"/>
                  <w:tcBorders>
                    <w:tl2br w:val="nil"/>
                    <w:tr2bl w:val="nil"/>
                  </w:tcBorders>
                  <w:vAlign w:val="center"/>
                </w:tcPr>
                <w:p>
                  <w:pPr>
                    <w:jc w:val="center"/>
                    <w:rPr>
                      <w:rFonts w:hint="default" w:ascii="Times New Roman" w:hAnsi="Times New Roman" w:eastAsia="宋体" w:cs="Times New Roman"/>
                      <w:b w:val="0"/>
                      <w:bCs w:val="0"/>
                      <w:color w:val="auto"/>
                      <w:sz w:val="18"/>
                      <w:szCs w:val="18"/>
                      <w:highlight w:val="none"/>
                      <w:vertAlign w:val="baseline"/>
                      <w:lang w:val="zh-CN" w:eastAsia="zh-CN"/>
                    </w:rPr>
                  </w:pPr>
                </w:p>
              </w:tc>
            </w:tr>
          </w:tbl>
          <w:p>
            <w:pPr>
              <w:spacing w:beforeLines="50" w:line="360" w:lineRule="auto"/>
              <w:ind w:firstLine="482" w:firstLineChars="200"/>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2、水环境影响和保护措施</w:t>
            </w:r>
          </w:p>
          <w:p>
            <w:pPr>
              <w:spacing w:line="360" w:lineRule="auto"/>
              <w:ind w:firstLine="482" w:firstLineChars="200"/>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szCs w:val="32"/>
                <w:lang w:val="en-US" w:eastAsia="zh-CN"/>
              </w:rPr>
              <w:t>2.1项目废水产生情况</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80" w:firstLineChars="200"/>
              <w:textAlignment w:val="auto"/>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z w:val="24"/>
                <w:szCs w:val="24"/>
                <w:lang w:val="en-US" w:eastAsia="zh-CN" w:bidi="ar-SA"/>
              </w:rPr>
              <w:t>本项目运营期废水主要为员工生活污水，</w:t>
            </w:r>
            <w:r>
              <w:rPr>
                <w:rFonts w:hint="default" w:ascii="Times New Roman" w:hAnsi="Times New Roman" w:eastAsia="宋体" w:cs="Times New Roman"/>
                <w:color w:val="auto"/>
                <w:sz w:val="24"/>
                <w:highlight w:val="none"/>
                <w:lang w:val="en-US" w:eastAsia="zh-CN"/>
              </w:rPr>
              <w:t>水压试验用水循环使用</w:t>
            </w:r>
            <w:r>
              <w:rPr>
                <w:rFonts w:hint="default" w:ascii="Times New Roman" w:hAnsi="Times New Roman" w:eastAsia="宋体" w:cs="Times New Roman"/>
                <w:color w:val="auto"/>
                <w:sz w:val="24"/>
                <w:szCs w:val="24"/>
                <w:lang w:val="en-US" w:eastAsia="zh-CN" w:bidi="ar-SA"/>
              </w:rPr>
              <w:t>，不外排，定期补充新鲜水</w:t>
            </w:r>
            <w:r>
              <w:rPr>
                <w:rFonts w:hint="default" w:ascii="Times New Roman" w:hAnsi="Times New Roman" w:cs="Times New Roman"/>
                <w:color w:val="auto"/>
                <w:sz w:val="24"/>
                <w:szCs w:val="24"/>
                <w:lang w:val="en-US" w:eastAsia="zh-CN" w:bidi="ar-SA"/>
              </w:rPr>
              <w:t>；循环冷却水循环使用，定期补充损耗，不外排</w:t>
            </w:r>
            <w:r>
              <w:rPr>
                <w:rFonts w:hint="default" w:ascii="Times New Roman" w:hAnsi="Times New Roman" w:eastAsia="宋体" w:cs="Times New Roman"/>
                <w:color w:val="auto"/>
                <w:sz w:val="24"/>
                <w:szCs w:val="24"/>
                <w:lang w:val="en-US" w:eastAsia="zh-CN" w:bidi="ar-SA"/>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eastAsia="zh-CN" w:bidi="ar-SA"/>
              </w:rPr>
            </w:pPr>
            <w:r>
              <w:rPr>
                <w:rFonts w:hint="default" w:ascii="Times New Roman" w:hAnsi="Times New Roman" w:eastAsia="宋体" w:cs="Times New Roman"/>
                <w:color w:val="auto"/>
                <w:kern w:val="0"/>
                <w:sz w:val="24"/>
                <w:szCs w:val="24"/>
                <w:highlight w:val="none"/>
                <w:lang w:val="en-US" w:eastAsia="zh-CN"/>
              </w:rPr>
              <w:t>本</w:t>
            </w:r>
            <w:r>
              <w:rPr>
                <w:rFonts w:hint="default" w:ascii="Times New Roman" w:hAnsi="Times New Roman" w:eastAsia="宋体" w:cs="Times New Roman"/>
                <w:color w:val="auto"/>
                <w:sz w:val="24"/>
                <w:szCs w:val="24"/>
                <w:lang w:val="en-US" w:eastAsia="zh-CN" w:bidi="ar-SA"/>
              </w:rPr>
              <w:t>项目劳动定员</w:t>
            </w:r>
            <w:r>
              <w:rPr>
                <w:rFonts w:hint="default" w:ascii="Times New Roman" w:hAnsi="Times New Roman" w:cs="Times New Roman"/>
                <w:color w:val="auto"/>
                <w:sz w:val="24"/>
                <w:szCs w:val="24"/>
                <w:lang w:val="en-US" w:eastAsia="zh-CN" w:bidi="ar-SA"/>
              </w:rPr>
              <w:t>15</w:t>
            </w:r>
            <w:r>
              <w:rPr>
                <w:rFonts w:hint="default" w:ascii="Times New Roman" w:hAnsi="Times New Roman" w:eastAsia="宋体" w:cs="Times New Roman"/>
                <w:color w:val="auto"/>
                <w:sz w:val="24"/>
                <w:szCs w:val="24"/>
                <w:lang w:val="en-US" w:eastAsia="zh-CN" w:bidi="ar-SA"/>
              </w:rPr>
              <w:t>人，年运行300天</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i w:val="0"/>
                <w:iCs w:val="0"/>
                <w:caps w:val="0"/>
                <w:color w:val="auto"/>
                <w:spacing w:val="0"/>
                <w:sz w:val="24"/>
                <w:szCs w:val="24"/>
                <w:shd w:val="clear" w:color="auto" w:fill="FFFFFF"/>
              </w:rPr>
              <w:t>参考《</w:t>
            </w:r>
            <w:r>
              <w:rPr>
                <w:rFonts w:hint="default" w:ascii="Times New Roman" w:hAnsi="Times New Roman" w:eastAsia="宋体" w:cs="Times New Roman"/>
                <w:color w:val="auto"/>
                <w:kern w:val="0"/>
                <w:sz w:val="24"/>
                <w:szCs w:val="24"/>
                <w:highlight w:val="none"/>
                <w:lang w:val="en-US" w:eastAsia="zh-CN"/>
              </w:rPr>
              <w:t>新疆工业用水定额及生活用水</w:t>
            </w:r>
            <w:r>
              <w:rPr>
                <w:rFonts w:hint="default" w:ascii="Times New Roman" w:hAnsi="Times New Roman" w:eastAsia="宋体" w:cs="Times New Roman"/>
                <w:i w:val="0"/>
                <w:iCs w:val="0"/>
                <w:caps w:val="0"/>
                <w:color w:val="auto"/>
                <w:spacing w:val="0"/>
                <w:sz w:val="24"/>
                <w:szCs w:val="24"/>
                <w:shd w:val="clear" w:color="auto" w:fill="FFFFFF"/>
              </w:rPr>
              <w:t>》及相关标准</w:t>
            </w:r>
            <w:r>
              <w:rPr>
                <w:rFonts w:hint="default" w:ascii="Times New Roman" w:hAnsi="Times New Roman" w:eastAsia="宋体" w:cs="Times New Roman"/>
                <w:color w:val="auto"/>
                <w:kern w:val="0"/>
                <w:sz w:val="24"/>
                <w:szCs w:val="24"/>
                <w:highlight w:val="none"/>
                <w:lang w:val="en-US" w:eastAsia="zh-CN"/>
              </w:rPr>
              <w:t>，员工生活用水定额按100L/d·人计算，则员工年用水量</w:t>
            </w:r>
            <w:r>
              <w:rPr>
                <w:rFonts w:hint="default" w:ascii="Times New Roman" w:hAnsi="Times New Roman" w:cs="Times New Roman"/>
                <w:color w:val="auto"/>
                <w:kern w:val="0"/>
                <w:sz w:val="24"/>
                <w:szCs w:val="24"/>
                <w:highlight w:val="none"/>
                <w:lang w:val="en-US" w:eastAsia="zh-CN"/>
              </w:rPr>
              <w:t>1.5</w:t>
            </w:r>
            <w:r>
              <w:rPr>
                <w:rFonts w:hint="default" w:ascii="Times New Roman" w:hAnsi="Times New Roman" w:eastAsia="宋体" w:cs="Times New Roman"/>
                <w:color w:val="auto"/>
                <w:kern w:val="0"/>
                <w:sz w:val="24"/>
                <w:szCs w:val="24"/>
                <w:highlight w:val="none"/>
                <w:vertAlign w:val="baseli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baseline"/>
                <w:lang w:val="en-US" w:eastAsia="zh-CN"/>
              </w:rPr>
              <w:t>/d（</w:t>
            </w:r>
            <w:r>
              <w:rPr>
                <w:rFonts w:hint="default" w:ascii="Times New Roman" w:hAnsi="Times New Roman" w:cs="Times New Roman"/>
                <w:color w:val="auto"/>
                <w:kern w:val="0"/>
                <w:sz w:val="24"/>
                <w:szCs w:val="24"/>
                <w:highlight w:val="none"/>
                <w:vertAlign w:val="baseline"/>
                <w:lang w:val="en-US" w:eastAsia="zh-CN"/>
              </w:rPr>
              <w:t>450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rPr>
              <w:t>，产生废水排放系数以0.8计算，则生活污水产生量为</w:t>
            </w:r>
            <w:r>
              <w:rPr>
                <w:rFonts w:hint="default" w:ascii="Times New Roman" w:hAnsi="Times New Roman"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vertAlign w:val="baseli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vertAlign w:val="baseline"/>
                <w:lang w:val="en-US" w:eastAsia="zh-CN"/>
              </w:rPr>
              <w:t>/d（</w:t>
            </w:r>
            <w:r>
              <w:rPr>
                <w:rFonts w:hint="default" w:ascii="Times New Roman" w:hAnsi="Times New Roman" w:cs="Times New Roman"/>
                <w:color w:val="auto"/>
                <w:kern w:val="0"/>
                <w:sz w:val="24"/>
                <w:szCs w:val="24"/>
                <w:highlight w:val="none"/>
                <w:vertAlign w:val="baseline"/>
                <w:lang w:val="en-US" w:eastAsia="zh-CN"/>
              </w:rPr>
              <w:t>360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lang w:val="en-US" w:eastAsia="zh-CN"/>
              </w:rPr>
              <w:t>项目运营以后，</w:t>
            </w:r>
            <w:r>
              <w:rPr>
                <w:rFonts w:hint="default" w:ascii="Times New Roman" w:hAnsi="Times New Roman" w:eastAsia="宋体" w:cs="Times New Roman"/>
                <w:color w:val="auto"/>
                <w:sz w:val="24"/>
                <w:szCs w:val="24"/>
                <w:lang w:eastAsia="zh-CN" w:bidi="ar-SA"/>
              </w:rPr>
              <w:t>生活污水</w:t>
            </w:r>
            <w:r>
              <w:rPr>
                <w:rFonts w:hint="default" w:ascii="Times New Roman" w:hAnsi="Times New Roman" w:eastAsia="宋体" w:cs="Times New Roman"/>
                <w:color w:val="auto"/>
                <w:sz w:val="24"/>
                <w:szCs w:val="24"/>
                <w:lang w:val="en-US" w:eastAsia="zh-CN" w:bidi="ar-SA"/>
              </w:rPr>
              <w:t>排入市政污水管网，最终进入</w:t>
            </w:r>
            <w:r>
              <w:rPr>
                <w:rFonts w:hint="default" w:ascii="Times New Roman" w:hAnsi="Times New Roman" w:cs="Times New Roman"/>
                <w:color w:val="auto"/>
                <w:sz w:val="24"/>
                <w:szCs w:val="24"/>
                <w:lang w:val="en-US" w:eastAsia="zh-CN" w:bidi="ar-SA"/>
              </w:rPr>
              <w:t>尉犁县污水处理厂</w:t>
            </w:r>
            <w:r>
              <w:rPr>
                <w:rFonts w:hint="default" w:ascii="Times New Roman" w:hAnsi="Times New Roman" w:eastAsia="宋体" w:cs="Times New Roman"/>
                <w:color w:val="auto"/>
                <w:sz w:val="24"/>
                <w:szCs w:val="24"/>
                <w:lang w:val="en-US" w:eastAsia="zh-CN" w:bidi="ar-SA"/>
              </w:rPr>
              <w:t>处理。</w:t>
            </w:r>
          </w:p>
          <w:p>
            <w:pPr>
              <w:pStyle w:val="150"/>
              <w:ind w:firstLine="42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本项目废水污染物产排污及治理措施情况详见表4-</w:t>
            </w:r>
            <w:r>
              <w:rPr>
                <w:rFonts w:hint="default" w:ascii="Times New Roman" w:hAnsi="Times New Roman" w:cs="Times New Roman"/>
                <w:color w:val="auto"/>
                <w:sz w:val="24"/>
                <w:szCs w:val="24"/>
                <w:lang w:val="en-US" w:eastAsia="zh-CN"/>
              </w:rPr>
              <w:t>12</w:t>
            </w:r>
            <w:r>
              <w:rPr>
                <w:rFonts w:hint="default" w:ascii="Times New Roman" w:hAnsi="Times New Roman"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ind w:firstLine="422" w:firstLineChars="200"/>
              <w:jc w:val="both"/>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表4-</w:t>
            </w:r>
            <w:r>
              <w:rPr>
                <w:rFonts w:hint="default" w:ascii="Times New Roman" w:hAnsi="Times New Roman" w:cs="Times New Roman"/>
                <w:b/>
                <w:color w:val="auto"/>
                <w:sz w:val="21"/>
                <w:szCs w:val="21"/>
                <w:lang w:val="en-US" w:eastAsia="zh-CN"/>
              </w:rPr>
              <w:t>12</w:t>
            </w:r>
            <w:r>
              <w:rPr>
                <w:rFonts w:hint="default" w:ascii="Times New Roman" w:hAnsi="Times New Roman" w:cs="Times New Roman"/>
                <w:b/>
                <w:color w:val="auto"/>
                <w:sz w:val="21"/>
                <w:szCs w:val="21"/>
              </w:rPr>
              <w:t xml:space="preserve"> </w:t>
            </w:r>
            <w:r>
              <w:rPr>
                <w:rFonts w:hint="default" w:ascii="Times New Roman" w:hAnsi="Times New Roman" w:cs="Times New Roman"/>
                <w:b/>
                <w:color w:val="auto"/>
                <w:sz w:val="21"/>
                <w:szCs w:val="21"/>
                <w:lang w:val="en-US" w:eastAsia="zh-CN"/>
              </w:rPr>
              <w:t xml:space="preserve">      </w:t>
            </w:r>
            <w:r>
              <w:rPr>
                <w:rFonts w:hint="default" w:ascii="Times New Roman" w:hAnsi="Times New Roman" w:cs="Times New Roman"/>
                <w:b/>
                <w:color w:val="auto"/>
                <w:sz w:val="21"/>
                <w:szCs w:val="21"/>
              </w:rPr>
              <w:t xml:space="preserve"> 废水污染物产排污及治理措施情况</w:t>
            </w:r>
          </w:p>
          <w:tbl>
            <w:tblPr>
              <w:tblStyle w:val="35"/>
              <w:tblW w:w="4998" w:type="pct"/>
              <w:tblInd w:w="-15" w:type="dxa"/>
              <w:tblBorders>
                <w:top w:val="single" w:color="000000" w:sz="12" w:space="0"/>
                <w:left w:val="single" w:color="000000" w:sz="12" w:space="0"/>
                <w:bottom w:val="single" w:color="auto"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840"/>
              <w:gridCol w:w="1027"/>
              <w:gridCol w:w="2002"/>
              <w:gridCol w:w="1050"/>
              <w:gridCol w:w="1050"/>
              <w:gridCol w:w="1050"/>
              <w:gridCol w:w="1081"/>
            </w:tblGrid>
            <w:tr>
              <w:tblPrEx>
                <w:tblBorders>
                  <w:top w:val="single" w:color="000000" w:sz="12" w:space="0"/>
                  <w:left w:val="single" w:color="000000" w:sz="12" w:space="0"/>
                  <w:bottom w:val="single" w:color="auto" w:sz="12" w:space="0"/>
                  <w:right w:val="single" w:color="000000" w:sz="12" w:space="0"/>
                  <w:insideH w:val="single" w:color="000000" w:sz="4" w:space="0"/>
                  <w:insideV w:val="single" w:color="000000" w:sz="4" w:space="0"/>
                </w:tblBorders>
              </w:tblPrEx>
              <w:trPr>
                <w:trHeight w:val="273" w:hRule="atLeast"/>
              </w:trPr>
              <w:tc>
                <w:tcPr>
                  <w:tcW w:w="51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废水类别</w:t>
                  </w:r>
                </w:p>
              </w:tc>
              <w:tc>
                <w:tcPr>
                  <w:tcW w:w="63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废水量m</w:t>
                  </w:r>
                  <w:r>
                    <w:rPr>
                      <w:rFonts w:hint="default" w:ascii="Times New Roman" w:hAnsi="Times New Roman" w:eastAsia="宋体" w:cs="Times New Roman"/>
                      <w:sz w:val="18"/>
                      <w:szCs w:val="18"/>
                      <w:highlight w:val="none"/>
                      <w:vertAlign w:val="superscript"/>
                      <w:lang w:val="en-US" w:eastAsia="zh-CN"/>
                    </w:rPr>
                    <w:t>3</w:t>
                  </w:r>
                  <w:r>
                    <w:rPr>
                      <w:rFonts w:hint="default" w:ascii="Times New Roman" w:hAnsi="Times New Roman" w:eastAsia="宋体" w:cs="Times New Roman"/>
                      <w:sz w:val="18"/>
                      <w:szCs w:val="18"/>
                      <w:highlight w:val="none"/>
                      <w:lang w:val="en-US" w:eastAsia="zh-CN"/>
                    </w:rPr>
                    <w:t>/a</w:t>
                  </w:r>
                </w:p>
              </w:tc>
              <w:tc>
                <w:tcPr>
                  <w:tcW w:w="1236"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项目</w:t>
                  </w:r>
                </w:p>
              </w:tc>
              <w:tc>
                <w:tcPr>
                  <w:tcW w:w="2609" w:type="pct"/>
                  <w:gridSpan w:val="4"/>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水质组成</w:t>
                  </w:r>
                </w:p>
              </w:tc>
            </w:tr>
            <w:tr>
              <w:tblPrEx>
                <w:tblBorders>
                  <w:top w:val="single" w:color="000000" w:sz="12" w:space="0"/>
                  <w:left w:val="single" w:color="000000" w:sz="12" w:space="0"/>
                  <w:bottom w:val="single" w:color="auto"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519"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p>
              </w:tc>
              <w:tc>
                <w:tcPr>
                  <w:tcW w:w="63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p>
              </w:tc>
              <w:tc>
                <w:tcPr>
                  <w:tcW w:w="123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COD</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BOD</w:t>
                  </w:r>
                  <w:r>
                    <w:rPr>
                      <w:rFonts w:hint="default" w:ascii="Times New Roman" w:hAnsi="Times New Roman" w:eastAsia="宋体" w:cs="Times New Roman"/>
                      <w:sz w:val="18"/>
                      <w:szCs w:val="18"/>
                      <w:highlight w:val="none"/>
                      <w:vertAlign w:val="subscript"/>
                      <w:lang w:val="en-US" w:eastAsia="zh-CN"/>
                    </w:rPr>
                    <w:t>5</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氨氮</w:t>
                  </w:r>
                </w:p>
              </w:tc>
              <w:tc>
                <w:tcPr>
                  <w:tcW w:w="66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SS</w:t>
                  </w:r>
                </w:p>
              </w:tc>
            </w:tr>
            <w:tr>
              <w:tblPrEx>
                <w:tblBorders>
                  <w:top w:val="single" w:color="000000" w:sz="12" w:space="0"/>
                  <w:left w:val="single" w:color="000000" w:sz="12" w:space="0"/>
                  <w:bottom w:val="single" w:color="auto" w:sz="12" w:space="0"/>
                  <w:right w:val="single" w:color="000000" w:sz="12" w:space="0"/>
                  <w:insideH w:val="single" w:color="000000" w:sz="4" w:space="0"/>
                  <w:insideV w:val="single" w:color="000000" w:sz="4" w:space="0"/>
                </w:tblBorders>
              </w:tblPrEx>
              <w:trPr>
                <w:trHeight w:val="128" w:hRule="atLeast"/>
              </w:trPr>
              <w:tc>
                <w:tcPr>
                  <w:tcW w:w="519"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生活污水</w:t>
                  </w:r>
                </w:p>
              </w:tc>
              <w:tc>
                <w:tcPr>
                  <w:tcW w:w="634"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360</w:t>
                  </w:r>
                </w:p>
              </w:tc>
              <w:tc>
                <w:tcPr>
                  <w:tcW w:w="12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产生浓度（mg/L）</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313.4</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114.2</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47.7</w:t>
                  </w:r>
                </w:p>
              </w:tc>
              <w:tc>
                <w:tcPr>
                  <w:tcW w:w="66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194.7</w:t>
                  </w:r>
                </w:p>
              </w:tc>
            </w:tr>
            <w:tr>
              <w:tblPrEx>
                <w:tblBorders>
                  <w:top w:val="single" w:color="000000" w:sz="12" w:space="0"/>
                  <w:left w:val="single" w:color="000000" w:sz="12" w:space="0"/>
                  <w:bottom w:val="single" w:color="auto" w:sz="12" w:space="0"/>
                  <w:right w:val="single" w:color="000000" w:sz="12" w:space="0"/>
                  <w:insideH w:val="single" w:color="000000" w:sz="4" w:space="0"/>
                  <w:insideV w:val="single" w:color="000000" w:sz="4" w:space="0"/>
                </w:tblBorders>
              </w:tblPrEx>
              <w:trPr>
                <w:trHeight w:val="128" w:hRule="atLeast"/>
              </w:trPr>
              <w:tc>
                <w:tcPr>
                  <w:tcW w:w="519"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rPr>
                  </w:pPr>
                </w:p>
              </w:tc>
              <w:tc>
                <w:tcPr>
                  <w:tcW w:w="634"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rPr>
                  </w:pPr>
                </w:p>
              </w:tc>
              <w:tc>
                <w:tcPr>
                  <w:tcW w:w="123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产生量（t/a）</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0.113</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0.041</w:t>
                  </w:r>
                </w:p>
              </w:tc>
              <w:tc>
                <w:tcPr>
                  <w:tcW w:w="64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0.017</w:t>
                  </w:r>
                </w:p>
              </w:tc>
              <w:tc>
                <w:tcPr>
                  <w:tcW w:w="66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0.070</w:t>
                  </w:r>
                </w:p>
              </w:tc>
            </w:tr>
            <w:tr>
              <w:tblPrEx>
                <w:tblBorders>
                  <w:top w:val="single" w:color="000000" w:sz="12" w:space="0"/>
                  <w:left w:val="single" w:color="000000" w:sz="12" w:space="0"/>
                  <w:bottom w:val="single" w:color="auto"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8" w:hRule="atLeast"/>
              </w:trPr>
              <w:tc>
                <w:tcPr>
                  <w:tcW w:w="5000" w:type="pct"/>
                  <w:gridSpan w:val="7"/>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z w:val="18"/>
                      <w:szCs w:val="18"/>
                      <w:highlight w:val="none"/>
                      <w:lang w:val="en-US" w:eastAsia="zh-CN"/>
                    </w:rPr>
                  </w:pPr>
                  <w:r>
                    <w:rPr>
                      <w:rFonts w:hint="default" w:ascii="Times New Roman" w:hAnsi="Times New Roman" w:cs="Times New Roman"/>
                      <w:sz w:val="18"/>
                      <w:szCs w:val="18"/>
                      <w:highlight w:val="none"/>
                      <w:lang w:val="en-US" w:eastAsia="zh-CN"/>
                    </w:rPr>
                    <w:t>SS产生浓度参考《社会区域类影响评价/环境影响评价工程师职业资格登记培训教材》中房地产项目取值；CODcr、</w:t>
                  </w:r>
                  <w:r>
                    <w:rPr>
                      <w:rFonts w:hint="default" w:ascii="Times New Roman" w:hAnsi="Times New Roman" w:eastAsia="宋体" w:cs="Times New Roman"/>
                      <w:sz w:val="18"/>
                      <w:szCs w:val="18"/>
                      <w:highlight w:val="none"/>
                      <w:lang w:val="en-US" w:eastAsia="zh-CN"/>
                    </w:rPr>
                    <w:t>BOD</w:t>
                  </w:r>
                  <w:r>
                    <w:rPr>
                      <w:rFonts w:hint="default" w:ascii="Times New Roman" w:hAnsi="Times New Roman" w:eastAsia="宋体" w:cs="Times New Roman"/>
                      <w:sz w:val="18"/>
                      <w:szCs w:val="18"/>
                      <w:highlight w:val="none"/>
                      <w:vertAlign w:val="subscript"/>
                      <w:lang w:val="en-US" w:eastAsia="zh-CN"/>
                    </w:rPr>
                    <w:t>5</w:t>
                  </w:r>
                  <w:r>
                    <w:rPr>
                      <w:rFonts w:hint="default" w:ascii="Times New Roman" w:hAnsi="Times New Roman" w:eastAsia="宋体" w:cs="Times New Roman"/>
                      <w:sz w:val="18"/>
                      <w:szCs w:val="18"/>
                      <w:highlight w:val="none"/>
                      <w:vertAlign w:val="baseline"/>
                      <w:lang w:val="en-US" w:eastAsia="zh-CN"/>
                    </w:rPr>
                    <w:t>、氨氮参考《排放源统计调查产排污核算方法和系数手册》中“集中式污染治理设施产排污系数手册”巴音郭楞蒙古自治州污水处理厂进水水质浓度</w:t>
                  </w:r>
                </w:p>
              </w:tc>
            </w:tr>
          </w:tbl>
          <w:p>
            <w:pPr>
              <w:pStyle w:val="99"/>
              <w:ind w:left="420" w:leftChars="200" w:firstLine="0" w:firstLineChars="0"/>
              <w:rPr>
                <w:rFonts w:hint="default" w:ascii="Times New Roman" w:hAnsi="Times New Roman" w:eastAsia="宋体" w:cs="Times New Roman"/>
                <w:color w:val="000000"/>
                <w:kern w:val="0"/>
                <w:sz w:val="24"/>
                <w:lang w:val="en-US" w:eastAsia="zh-CN" w:bidi="ar"/>
              </w:rPr>
            </w:pPr>
            <w:r>
              <w:rPr>
                <w:rFonts w:hint="default" w:ascii="Times New Roman" w:hAnsi="Times New Roman" w:cs="Times New Roman"/>
                <w:b/>
                <w:bCs w:val="0"/>
                <w:spacing w:val="0"/>
                <w:kern w:val="0"/>
              </w:rPr>
              <w:t>2.2依托污水处理可行性分析</w:t>
            </w:r>
          </w:p>
          <w:p>
            <w:pPr>
              <w:widowControl/>
              <w:adjustRightInd w:val="0"/>
              <w:snapToGrid w:val="0"/>
              <w:spacing w:line="360" w:lineRule="auto"/>
              <w:ind w:firstLine="480" w:firstLineChars="200"/>
              <w:jc w:val="left"/>
              <w:rPr>
                <w:rFonts w:hint="default" w:ascii="Times New Roman" w:hAnsi="Times New Roman" w:eastAsia="宋体" w:cs="Times New Roman"/>
                <w:color w:val="000000"/>
                <w:kern w:val="0"/>
                <w:sz w:val="24"/>
                <w:lang w:eastAsia="zh-CN" w:bidi="ar"/>
              </w:rPr>
            </w:pPr>
            <w:r>
              <w:rPr>
                <w:rFonts w:hint="default" w:ascii="Times New Roman" w:hAnsi="Times New Roman" w:eastAsia="宋体" w:cs="Times New Roman"/>
                <w:color w:val="000000"/>
                <w:kern w:val="0"/>
                <w:sz w:val="24"/>
                <w:lang w:val="en-US" w:eastAsia="zh-CN" w:bidi="ar"/>
              </w:rPr>
              <w:t>尉犁县污水处理厂</w:t>
            </w:r>
            <w:r>
              <w:rPr>
                <w:rFonts w:hint="default" w:ascii="Times New Roman" w:hAnsi="Times New Roman" w:eastAsia="宋体" w:cs="Times New Roman"/>
                <w:color w:val="000000"/>
                <w:kern w:val="0"/>
                <w:sz w:val="24"/>
                <w:lang w:bidi="ar"/>
              </w:rPr>
              <w:t>位于巴州尉犁县东北部，距县城解放路约4.2km，位于现有污水处理厂西南侧。中心地理坐标为</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东经86°17</w:t>
            </w:r>
            <w:r>
              <w:rPr>
                <w:rFonts w:hint="default" w:ascii="Times New Roman" w:hAnsi="Times New Roman" w:eastAsia="宋体" w:cs="Times New Roman"/>
                <w:color w:val="000000"/>
                <w:kern w:val="0"/>
                <w:sz w:val="24"/>
                <w:lang w:val="en-US" w:eastAsia="zh-CN" w:bidi="ar"/>
              </w:rPr>
              <w:t>′</w:t>
            </w:r>
            <w:r>
              <w:rPr>
                <w:rFonts w:hint="default" w:ascii="Times New Roman" w:hAnsi="Times New Roman" w:eastAsia="宋体" w:cs="Times New Roman"/>
                <w:color w:val="000000"/>
                <w:kern w:val="0"/>
                <w:sz w:val="24"/>
                <w:lang w:bidi="ar"/>
              </w:rPr>
              <w:t>58</w:t>
            </w:r>
            <w:r>
              <w:rPr>
                <w:rFonts w:hint="default" w:ascii="Times New Roman" w:hAnsi="Times New Roman" w:eastAsia="宋体" w:cs="Times New Roman"/>
                <w:color w:val="000000"/>
                <w:kern w:val="0"/>
                <w:sz w:val="24"/>
                <w:lang w:val="en-US" w:eastAsia="zh-CN" w:bidi="ar"/>
              </w:rPr>
              <w:t>″</w:t>
            </w:r>
            <w:r>
              <w:rPr>
                <w:rFonts w:hint="default" w:ascii="Times New Roman" w:hAnsi="Times New Roman" w:eastAsia="宋体" w:cs="Times New Roman"/>
                <w:color w:val="000000"/>
                <w:kern w:val="0"/>
                <w:sz w:val="24"/>
                <w:lang w:bidi="ar"/>
              </w:rPr>
              <w:t>、北纬41°21</w:t>
            </w:r>
            <w:r>
              <w:rPr>
                <w:rFonts w:hint="default" w:ascii="Times New Roman" w:hAnsi="Times New Roman" w:eastAsia="宋体" w:cs="Times New Roman"/>
                <w:color w:val="000000"/>
                <w:kern w:val="0"/>
                <w:sz w:val="24"/>
                <w:lang w:val="en-US" w:eastAsia="zh-CN" w:bidi="ar"/>
              </w:rPr>
              <w:t>′</w:t>
            </w:r>
            <w:r>
              <w:rPr>
                <w:rFonts w:hint="default" w:ascii="Times New Roman" w:hAnsi="Times New Roman" w:eastAsia="宋体" w:cs="Times New Roman"/>
                <w:color w:val="000000"/>
                <w:kern w:val="0"/>
                <w:sz w:val="24"/>
                <w:lang w:bidi="ar"/>
              </w:rPr>
              <w:t>43</w:t>
            </w:r>
            <w:r>
              <w:rPr>
                <w:rFonts w:hint="default" w:ascii="Times New Roman" w:hAnsi="Times New Roman" w:eastAsia="宋体" w:cs="Times New Roman"/>
                <w:color w:val="000000"/>
                <w:kern w:val="0"/>
                <w:sz w:val="24"/>
                <w:lang w:val="en-US" w:eastAsia="zh-CN" w:bidi="ar"/>
              </w:rPr>
              <w:t>″</w:t>
            </w:r>
            <w:r>
              <w:rPr>
                <w:rFonts w:hint="default" w:ascii="Times New Roman" w:hAnsi="Times New Roman" w:eastAsia="宋体" w:cs="Times New Roman"/>
                <w:color w:val="000000"/>
                <w:kern w:val="0"/>
                <w:sz w:val="24"/>
                <w:lang w:bidi="ar"/>
              </w:rPr>
              <w:t>。设计日处理能力为(本期)5000m</w:t>
            </w:r>
            <w:r>
              <w:rPr>
                <w:rFonts w:hint="default" w:ascii="Times New Roman" w:hAnsi="Times New Roman" w:eastAsia="宋体" w:cs="Times New Roman"/>
                <w:color w:val="000000"/>
                <w:kern w:val="0"/>
                <w:sz w:val="24"/>
                <w:vertAlign w:val="superscript"/>
                <w:lang w:val="en-US" w:eastAsia="zh-CN" w:bidi="ar"/>
              </w:rPr>
              <w:t>3</w:t>
            </w:r>
            <w:r>
              <w:rPr>
                <w:rFonts w:hint="default" w:ascii="Times New Roman" w:hAnsi="Times New Roman" w:eastAsia="宋体" w:cs="Times New Roman"/>
                <w:color w:val="000000"/>
                <w:kern w:val="0"/>
                <w:sz w:val="24"/>
                <w:lang w:bidi="ar"/>
              </w:rPr>
              <w:t>，处理工艺为</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格栅-沉砂池-A/0生物池+二沉池+高效沉淀池(深度处理工艺)+次</w:t>
            </w:r>
            <w:r>
              <w:rPr>
                <w:rFonts w:hint="default" w:ascii="Times New Roman" w:hAnsi="Times New Roman" w:eastAsia="宋体" w:cs="Times New Roman"/>
                <w:color w:val="000000"/>
                <w:kern w:val="0"/>
                <w:sz w:val="24"/>
                <w:lang w:val="en-US" w:eastAsia="zh-CN" w:bidi="ar"/>
              </w:rPr>
              <w:t>氯</w:t>
            </w:r>
            <w:r>
              <w:rPr>
                <w:rFonts w:hint="default" w:ascii="Times New Roman" w:hAnsi="Times New Roman" w:eastAsia="宋体" w:cs="Times New Roman"/>
                <w:color w:val="000000"/>
                <w:kern w:val="0"/>
                <w:sz w:val="24"/>
                <w:lang w:bidi="ar"/>
              </w:rPr>
              <w:t>酸钠消毒，设计出水水质达到《城镇污水处理厂污染物排放标准》(GB18918-2002)一级A标准后，夏季用于尉北防护林灌溉，冬季(3个月)尾水一部分排至现有污水处理厂稳定塘(容积为23.4万</w:t>
            </w:r>
            <w:r>
              <w:rPr>
                <w:rFonts w:hint="default" w:ascii="Times New Roman" w:hAnsi="Times New Roman" w:eastAsia="宋体" w:cs="Times New Roman"/>
                <w:color w:val="000000"/>
                <w:kern w:val="0"/>
                <w:sz w:val="24"/>
                <w:lang w:val="en-US" w:eastAsia="zh-CN" w:bidi="ar"/>
              </w:rPr>
              <w:t>m3</w:t>
            </w:r>
            <w:r>
              <w:rPr>
                <w:rFonts w:hint="default" w:ascii="Times New Roman" w:hAnsi="Times New Roman" w:eastAsia="宋体" w:cs="Times New Roman"/>
                <w:color w:val="000000"/>
                <w:kern w:val="0"/>
                <w:sz w:val="24"/>
                <w:lang w:bidi="ar"/>
              </w:rPr>
              <w:t>)，一部分排至新建的尾水库(21.7万m</w:t>
            </w:r>
            <w:r>
              <w:rPr>
                <w:rFonts w:hint="default" w:ascii="Times New Roman" w:hAnsi="Times New Roman" w:eastAsia="宋体" w:cs="Times New Roman"/>
                <w:color w:val="000000"/>
                <w:kern w:val="0"/>
                <w:sz w:val="24"/>
                <w:vertAlign w:val="superscript"/>
                <w:lang w:val="en-US" w:eastAsia="zh-CN" w:bidi="ar"/>
              </w:rPr>
              <w:t>3</w:t>
            </w:r>
            <w:r>
              <w:rPr>
                <w:rFonts w:hint="default" w:ascii="Times New Roman" w:hAnsi="Times New Roman" w:eastAsia="宋体" w:cs="Times New Roman"/>
                <w:color w:val="000000"/>
                <w:kern w:val="0"/>
                <w:sz w:val="24"/>
                <w:lang w:bidi="ar"/>
              </w:rPr>
              <w:t>)。除臭采用活性氧离子法除臭工艺，污泥采用污泥浓缩脱水一体工艺。服务对象为尉犁县城镇生活废水和尉北工业园区、达西工业园区生活污水，不接收工业废水</w:t>
            </w:r>
            <w:r>
              <w:rPr>
                <w:rFonts w:hint="default" w:ascii="Times New Roman" w:hAnsi="Times New Roman" w:eastAsia="宋体" w:cs="Times New Roman"/>
                <w:color w:val="000000"/>
                <w:kern w:val="0"/>
                <w:sz w:val="24"/>
                <w:lang w:eastAsia="zh-CN" w:bidi="ar"/>
              </w:rPr>
              <w:t>。</w:t>
            </w:r>
          </w:p>
          <w:p>
            <w:pPr>
              <w:widowControl/>
              <w:adjustRightInd w:val="0"/>
              <w:snapToGrid w:val="0"/>
              <w:spacing w:line="360" w:lineRule="auto"/>
              <w:ind w:firstLine="480" w:firstLineChars="200"/>
              <w:jc w:val="left"/>
              <w:rPr>
                <w:rFonts w:hint="default" w:ascii="Times New Roman" w:hAnsi="Times New Roman" w:eastAsia="宋体" w:cs="Times New Roman"/>
                <w:color w:val="000000"/>
                <w:kern w:val="0"/>
                <w:sz w:val="24"/>
                <w:lang w:bidi="ar"/>
              </w:rPr>
            </w:pPr>
            <w:r>
              <w:rPr>
                <w:rFonts w:hint="default" w:ascii="Times New Roman" w:hAnsi="Times New Roman" w:eastAsia="宋体" w:cs="Times New Roman"/>
                <w:color w:val="000000"/>
                <w:kern w:val="0"/>
                <w:sz w:val="24"/>
                <w:lang w:bidi="ar"/>
              </w:rPr>
              <w:t>2017年3月委托新疆广清源环保技术有限公司编写《尉犁县城镇污水处理厂（二期）工程环境影响报告表》，2017年8月1日通过新疆巴州环境保护局《关于尉犁县住房和城乡建设局尉犁县城镇污水处理厂（二期）工程建设项目环境影响报告表》的批复，巴环评价函[2017]243号。</w:t>
            </w:r>
          </w:p>
          <w:p>
            <w:pPr>
              <w:widowControl/>
              <w:adjustRightInd w:val="0"/>
              <w:snapToGrid w:val="0"/>
              <w:spacing w:line="360" w:lineRule="auto"/>
              <w:ind w:firstLine="480" w:firstLineChars="200"/>
              <w:jc w:val="left"/>
              <w:rPr>
                <w:rFonts w:hint="default" w:ascii="Times New Roman" w:hAnsi="Times New Roman" w:eastAsia="宋体" w:cs="Times New Roman"/>
                <w:color w:val="000000"/>
                <w:kern w:val="0"/>
                <w:sz w:val="24"/>
                <w:lang w:eastAsia="zh-CN" w:bidi="ar"/>
              </w:rPr>
            </w:pPr>
            <w:r>
              <w:rPr>
                <w:rFonts w:hint="default" w:ascii="Times New Roman" w:hAnsi="Times New Roman" w:eastAsia="宋体" w:cs="Times New Roman"/>
                <w:color w:val="000000"/>
                <w:kern w:val="0"/>
                <w:sz w:val="24"/>
                <w:lang w:bidi="ar"/>
              </w:rPr>
              <w:t>2018年5月，因经营需要，建设项目将法人名称由</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尉犁县住房和城乡建设局</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变更为</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尉犁科发再生水有限公司</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bidi="ar"/>
              </w:rPr>
              <w:t>，项目法人发生了变更并由巴州环保局出具了法人变更的批复巴环评价函[2018]96号</w:t>
            </w:r>
            <w:r>
              <w:rPr>
                <w:rFonts w:hint="default" w:ascii="Times New Roman" w:hAnsi="Times New Roman" w:eastAsia="宋体" w:cs="Times New Roman"/>
                <w:color w:val="000000"/>
                <w:kern w:val="0"/>
                <w:sz w:val="24"/>
                <w:lang w:eastAsia="zh-CN" w:bidi="ar"/>
              </w:rPr>
              <w:t>。</w:t>
            </w:r>
          </w:p>
          <w:p>
            <w:pPr>
              <w:widowControl/>
              <w:adjustRightInd w:val="0"/>
              <w:snapToGrid w:val="0"/>
              <w:spacing w:line="360" w:lineRule="auto"/>
              <w:ind w:firstLine="480" w:firstLineChars="200"/>
              <w:jc w:val="left"/>
              <w:rPr>
                <w:rFonts w:hint="default" w:ascii="Times New Roman" w:hAnsi="Times New Roman" w:eastAsia="宋体" w:cs="Times New Roman"/>
                <w:color w:val="000000"/>
                <w:kern w:val="0"/>
                <w:sz w:val="24"/>
                <w:lang w:val="en-US" w:eastAsia="zh-CN" w:bidi="ar"/>
              </w:rPr>
            </w:pPr>
            <w:r>
              <w:rPr>
                <w:rFonts w:hint="default" w:ascii="Times New Roman" w:hAnsi="Times New Roman" w:eastAsia="宋体" w:cs="Times New Roman"/>
                <w:color w:val="000000"/>
                <w:kern w:val="0"/>
                <w:sz w:val="24"/>
                <w:lang w:bidi="ar"/>
              </w:rPr>
              <w:t>2018年</w:t>
            </w:r>
            <w:r>
              <w:rPr>
                <w:rFonts w:hint="default" w:ascii="Times New Roman" w:hAnsi="Times New Roman" w:eastAsia="宋体" w:cs="Times New Roman"/>
                <w:color w:val="000000"/>
                <w:kern w:val="0"/>
                <w:sz w:val="24"/>
                <w:lang w:val="en-US" w:eastAsia="zh-CN" w:bidi="ar"/>
              </w:rPr>
              <w:t>10</w:t>
            </w:r>
            <w:r>
              <w:rPr>
                <w:rFonts w:hint="default" w:ascii="Times New Roman" w:hAnsi="Times New Roman" w:eastAsia="宋体" w:cs="Times New Roman"/>
                <w:color w:val="000000"/>
                <w:kern w:val="0"/>
                <w:sz w:val="24"/>
                <w:lang w:bidi="ar"/>
              </w:rPr>
              <w:t>月</w:t>
            </w:r>
            <w:r>
              <w:rPr>
                <w:rFonts w:hint="default" w:ascii="Times New Roman" w:hAnsi="Times New Roman" w:eastAsia="宋体" w:cs="Times New Roman"/>
                <w:color w:val="000000"/>
                <w:kern w:val="0"/>
                <w:sz w:val="24"/>
                <w:lang w:val="en-US" w:eastAsia="zh-CN" w:bidi="ar"/>
              </w:rPr>
              <w:t>18日</w:t>
            </w:r>
            <w:r>
              <w:rPr>
                <w:rFonts w:hint="default" w:ascii="Times New Roman" w:hAnsi="Times New Roman" w:eastAsia="宋体" w:cs="Times New Roman"/>
                <w:color w:val="000000"/>
                <w:kern w:val="0"/>
                <w:sz w:val="24"/>
                <w:lang w:bidi="ar"/>
              </w:rPr>
              <w:t>，尉犁科发再生水有限公司</w:t>
            </w:r>
            <w:r>
              <w:rPr>
                <w:rFonts w:hint="default" w:ascii="Times New Roman" w:hAnsi="Times New Roman" w:eastAsia="宋体" w:cs="Times New Roman"/>
                <w:color w:val="000000"/>
                <w:kern w:val="0"/>
                <w:sz w:val="24"/>
                <w:lang w:eastAsia="zh-CN" w:bidi="ar"/>
              </w:rPr>
              <w:t>完成自主竣工</w:t>
            </w:r>
            <w:r>
              <w:rPr>
                <w:rFonts w:hint="default" w:ascii="Times New Roman" w:hAnsi="Times New Roman" w:eastAsia="宋体" w:cs="Times New Roman"/>
                <w:color w:val="000000"/>
                <w:kern w:val="0"/>
                <w:sz w:val="24"/>
                <w:lang w:bidi="ar"/>
              </w:rPr>
              <w:t>环保验收</w:t>
            </w:r>
            <w:r>
              <w:rPr>
                <w:rFonts w:hint="default" w:ascii="Times New Roman" w:hAnsi="Times New Roman" w:eastAsia="宋体" w:cs="Times New Roman"/>
                <w:color w:val="000000"/>
                <w:kern w:val="0"/>
                <w:sz w:val="24"/>
                <w:lang w:eastAsia="zh-CN" w:bidi="ar"/>
              </w:rPr>
              <w:t>工作，验收备案巴环评价验备[</w:t>
            </w:r>
            <w:r>
              <w:rPr>
                <w:rFonts w:hint="default" w:ascii="Times New Roman" w:hAnsi="Times New Roman" w:eastAsia="宋体" w:cs="Times New Roman"/>
                <w:color w:val="000000"/>
                <w:kern w:val="0"/>
                <w:sz w:val="24"/>
                <w:lang w:val="en-US" w:eastAsia="zh-CN" w:bidi="ar"/>
              </w:rPr>
              <w:t>2018</w:t>
            </w:r>
            <w:r>
              <w:rPr>
                <w:rFonts w:hint="default" w:ascii="Times New Roman" w:hAnsi="Times New Roman" w:eastAsia="宋体" w:cs="Times New Roman"/>
                <w:color w:val="000000"/>
                <w:kern w:val="0"/>
                <w:sz w:val="24"/>
                <w:lang w:eastAsia="zh-CN" w:bidi="ar"/>
              </w:rPr>
              <w:t>]</w:t>
            </w:r>
            <w:r>
              <w:rPr>
                <w:rFonts w:hint="default" w:ascii="Times New Roman" w:hAnsi="Times New Roman" w:eastAsia="宋体" w:cs="Times New Roman"/>
                <w:color w:val="000000"/>
                <w:kern w:val="0"/>
                <w:sz w:val="24"/>
                <w:lang w:val="en-US" w:eastAsia="zh-CN" w:bidi="ar"/>
              </w:rPr>
              <w:t>136号。</w:t>
            </w:r>
          </w:p>
          <w:p>
            <w:pPr>
              <w:widowControl/>
              <w:adjustRightInd w:val="0"/>
              <w:snapToGrid w:val="0"/>
              <w:spacing w:line="360" w:lineRule="auto"/>
              <w:ind w:firstLine="480" w:firstLineChars="200"/>
              <w:jc w:val="left"/>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color w:val="000000"/>
                <w:kern w:val="0"/>
                <w:sz w:val="24"/>
                <w:lang w:val="en-US" w:eastAsia="zh-CN" w:bidi="ar"/>
              </w:rPr>
              <w:t>目前污水处理厂日处理量为4333m</w:t>
            </w:r>
            <w:r>
              <w:rPr>
                <w:rFonts w:hint="default" w:ascii="Times New Roman" w:hAnsi="Times New Roman" w:eastAsia="宋体" w:cs="Times New Roman"/>
                <w:color w:val="000000"/>
                <w:kern w:val="0"/>
                <w:sz w:val="24"/>
                <w:vertAlign w:val="superscript"/>
                <w:lang w:val="en-US" w:eastAsia="zh-CN" w:bidi="ar"/>
              </w:rPr>
              <w:t>3</w:t>
            </w:r>
            <w:r>
              <w:rPr>
                <w:rFonts w:hint="default" w:ascii="Times New Roman" w:hAnsi="Times New Roman" w:eastAsia="宋体" w:cs="Times New Roman"/>
                <w:color w:val="000000"/>
                <w:kern w:val="0"/>
                <w:sz w:val="24"/>
                <w:lang w:val="en-US" w:eastAsia="zh-CN" w:bidi="ar"/>
              </w:rPr>
              <w:t>/d，余量可满足本项目的需求。</w:t>
            </w:r>
            <w:r>
              <w:rPr>
                <w:rFonts w:hint="default" w:ascii="Times New Roman" w:hAnsi="Times New Roman" w:eastAsia="宋体" w:cs="Times New Roman"/>
                <w:color w:val="000000"/>
                <w:kern w:val="0"/>
                <w:sz w:val="24"/>
                <w:lang w:bidi="ar"/>
              </w:rPr>
              <w:t>目前污水处理厂运行正常，出水水质稳定可做到达标排放。</w:t>
            </w:r>
          </w:p>
          <w:p>
            <w:pPr>
              <w:widowControl w:val="0"/>
              <w:adjustRightInd w:val="0"/>
              <w:snapToGrid w:val="0"/>
              <w:spacing w:line="240" w:lineRule="auto"/>
              <w:ind w:firstLine="422" w:firstLineChars="200"/>
              <w:jc w:val="both"/>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表4-</w:t>
            </w:r>
            <w:r>
              <w:rPr>
                <w:rFonts w:hint="default" w:ascii="Times New Roman" w:hAnsi="Times New Roman" w:cs="Times New Roman"/>
                <w:b/>
                <w:bCs/>
                <w:kern w:val="2"/>
                <w:sz w:val="21"/>
                <w:szCs w:val="21"/>
                <w:lang w:val="en-US" w:eastAsia="zh-CN" w:bidi="ar-SA"/>
              </w:rPr>
              <w:t>13</w:t>
            </w:r>
            <w:r>
              <w:rPr>
                <w:rFonts w:hint="default" w:ascii="Times New Roman" w:hAnsi="Times New Roman" w:eastAsia="宋体" w:cs="Times New Roman"/>
                <w:b/>
                <w:bCs/>
                <w:kern w:val="2"/>
                <w:sz w:val="21"/>
                <w:szCs w:val="21"/>
                <w:lang w:val="en-US" w:eastAsia="zh-CN" w:bidi="ar-SA"/>
              </w:rPr>
              <w:t xml:space="preserve">   生活污水间接排放口基本情况表     限值标准单位：mg/L （PH无量纲）</w:t>
            </w:r>
          </w:p>
          <w:tbl>
            <w:tblPr>
              <w:tblStyle w:val="35"/>
              <w:tblW w:w="5000"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06"/>
              <w:gridCol w:w="1438"/>
              <w:gridCol w:w="793"/>
              <w:gridCol w:w="850"/>
              <w:gridCol w:w="702"/>
              <w:gridCol w:w="886"/>
              <w:gridCol w:w="701"/>
              <w:gridCol w:w="773"/>
              <w:gridCol w:w="7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序号</w:t>
                  </w:r>
                </w:p>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排放口编号</w:t>
                  </w:r>
                </w:p>
              </w:tc>
              <w:tc>
                <w:tcPr>
                  <w:tcW w:w="761"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排放口坐标</w:t>
                  </w:r>
                </w:p>
              </w:tc>
              <w:tc>
                <w:tcPr>
                  <w:tcW w:w="503"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排放口类型</w:t>
                  </w:r>
                </w:p>
              </w:tc>
              <w:tc>
                <w:tcPr>
                  <w:tcW w:w="538"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废水排放量（t/a）</w:t>
                  </w:r>
                </w:p>
              </w:tc>
              <w:tc>
                <w:tcPr>
                  <w:tcW w:w="447"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排放去向</w:t>
                  </w:r>
                </w:p>
              </w:tc>
              <w:tc>
                <w:tcPr>
                  <w:tcW w:w="560"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排放规律</w:t>
                  </w:r>
                </w:p>
              </w:tc>
              <w:tc>
                <w:tcPr>
                  <w:tcW w:w="1417" w:type="pct"/>
                  <w:gridSpan w:val="3"/>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受纳污水处理厂信息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名称</w:t>
                  </w: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污染物</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排放限值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1</w:t>
                  </w:r>
                </w:p>
              </w:tc>
              <w:tc>
                <w:tcPr>
                  <w:tcW w:w="512"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DW001</w:t>
                  </w:r>
                </w:p>
              </w:tc>
              <w:tc>
                <w:tcPr>
                  <w:tcW w:w="761"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东经：86°17′13.606″；</w:t>
                  </w:r>
                </w:p>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北纬：41°21′46.559″</w:t>
                  </w:r>
                </w:p>
              </w:tc>
              <w:tc>
                <w:tcPr>
                  <w:tcW w:w="503"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一般排放口</w:t>
                  </w:r>
                </w:p>
              </w:tc>
              <w:tc>
                <w:tcPr>
                  <w:tcW w:w="538"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360</w:t>
                  </w:r>
                </w:p>
              </w:tc>
              <w:tc>
                <w:tcPr>
                  <w:tcW w:w="447"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城镇污水处理厂</w:t>
                  </w:r>
                </w:p>
              </w:tc>
              <w:tc>
                <w:tcPr>
                  <w:tcW w:w="560"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废水连续排放，流量不稳定，但有周期性规律</w:t>
                  </w:r>
                </w:p>
              </w:tc>
              <w:tc>
                <w:tcPr>
                  <w:tcW w:w="446" w:type="pct"/>
                  <w:vMerge w:val="restar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尉犁县污水处理厂</w:t>
                  </w: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PH</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COD</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BOD</w:t>
                  </w:r>
                  <w:r>
                    <w:rPr>
                      <w:rFonts w:hint="default" w:ascii="Times New Roman" w:hAnsi="Times New Roman" w:eastAsia="宋体" w:cs="Times New Roman"/>
                      <w:kern w:val="2"/>
                      <w:sz w:val="18"/>
                      <w:szCs w:val="18"/>
                      <w:vertAlign w:val="subscript"/>
                      <w:lang w:val="en-US" w:eastAsia="zh-CN" w:bidi="ar-SA"/>
                    </w:rPr>
                    <w:t>5</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SS</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总氮</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氨氮</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8（15）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12"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761"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03"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38"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7"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560"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46" w:type="pct"/>
                  <w:vMerge w:val="continue"/>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p>
              </w:tc>
              <w:tc>
                <w:tcPr>
                  <w:tcW w:w="490"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总磷</w:t>
                  </w:r>
                </w:p>
              </w:tc>
              <w:tc>
                <w:tcPr>
                  <w:tcW w:w="481" w:type="pct"/>
                  <w:tcBorders>
                    <w:tl2br w:val="nil"/>
                    <w:tr2bl w:val="nil"/>
                  </w:tcBorders>
                  <w:noWrap w:val="0"/>
                  <w:vAlign w:val="center"/>
                </w:tcPr>
                <w:p>
                  <w:pPr>
                    <w:widowControl w:val="0"/>
                    <w:adjustRightInd w:val="0"/>
                    <w:snapToGrid w:val="0"/>
                    <w:spacing w:line="240" w:lineRule="auto"/>
                    <w:ind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1</w:t>
                  </w:r>
                </w:p>
              </w:tc>
            </w:tr>
          </w:tbl>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auto"/>
                <w:kern w:val="0"/>
                <w:sz w:val="24"/>
              </w:rPr>
            </w:pPr>
            <w:r>
              <w:rPr>
                <w:rFonts w:hint="default" w:ascii="Times New Roman" w:hAnsi="Times New Roman" w:cs="Times New Roman"/>
                <w:b/>
                <w:bCs/>
                <w:color w:val="auto"/>
                <w:kern w:val="0"/>
                <w:sz w:val="24"/>
              </w:rPr>
              <w:t>3、声环境影响和保护措施</w:t>
            </w:r>
          </w:p>
          <w:p>
            <w:pPr>
              <w:spacing w:line="360" w:lineRule="auto"/>
              <w:ind w:firstLine="482" w:firstLineChars="200"/>
              <w:rPr>
                <w:rFonts w:hint="default" w:ascii="Times New Roman" w:hAnsi="Times New Roman" w:cs="Times New Roman"/>
                <w:b/>
                <w:bCs/>
                <w:color w:val="auto"/>
                <w:sz w:val="24"/>
                <w:lang w:val="en-US" w:eastAsia="zh-CN"/>
              </w:rPr>
            </w:pPr>
            <w:r>
              <w:rPr>
                <w:rFonts w:hint="default" w:ascii="Times New Roman" w:hAnsi="Times New Roman" w:cs="Times New Roman"/>
                <w:b/>
                <w:bCs/>
                <w:color w:val="auto"/>
                <w:sz w:val="24"/>
                <w:lang w:val="en-US" w:eastAsia="zh-CN"/>
              </w:rPr>
              <w:t>3.1 项目运营期噪声源强</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本项目营运期噪声主要来自树脂搅拌及输送系统、缠绕机、修整机等生产设备及进出车辆等噪声。</w:t>
            </w:r>
          </w:p>
          <w:p>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主要噪声源强见表</w:t>
            </w:r>
            <w:r>
              <w:rPr>
                <w:rFonts w:hint="default" w:ascii="Times New Roman" w:hAnsi="Times New Roman" w:cs="Times New Roman"/>
                <w:color w:val="auto"/>
                <w:sz w:val="24"/>
                <w:lang w:val="en-US" w:eastAsia="zh-CN"/>
              </w:rPr>
              <w:t>4-14</w:t>
            </w:r>
            <w:r>
              <w:rPr>
                <w:rFonts w:hint="default" w:ascii="Times New Roman" w:hAnsi="Times New Roman" w:cs="Times New Roman"/>
                <w:color w:val="auto"/>
                <w:sz w:val="24"/>
              </w:rPr>
              <w:t>。</w:t>
            </w:r>
          </w:p>
          <w:tbl>
            <w:tblPr>
              <w:tblStyle w:val="35"/>
              <w:tblpPr w:leftFromText="180" w:rightFromText="180" w:vertAnchor="text" w:horzAnchor="page" w:tblpXSpec="center" w:tblpY="323"/>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58"/>
              <w:gridCol w:w="358"/>
              <w:gridCol w:w="688"/>
              <w:gridCol w:w="393"/>
              <w:gridCol w:w="425"/>
              <w:gridCol w:w="359"/>
              <w:gridCol w:w="336"/>
              <w:gridCol w:w="264"/>
              <w:gridCol w:w="191"/>
              <w:gridCol w:w="263"/>
              <w:gridCol w:w="263"/>
              <w:gridCol w:w="263"/>
              <w:gridCol w:w="263"/>
              <w:gridCol w:w="263"/>
              <w:gridCol w:w="263"/>
              <w:gridCol w:w="263"/>
              <w:gridCol w:w="263"/>
              <w:gridCol w:w="359"/>
              <w:gridCol w:w="263"/>
              <w:gridCol w:w="263"/>
              <w:gridCol w:w="263"/>
              <w:gridCol w:w="263"/>
              <w:gridCol w:w="263"/>
              <w:gridCol w:w="263"/>
              <w:gridCol w:w="263"/>
              <w:gridCol w:w="263"/>
              <w:gridCol w:w="1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792" w:hRule="exact"/>
                <w:jc w:val="center"/>
              </w:trPr>
              <w:tc>
                <w:tcPr>
                  <w:tcW w:w="221"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bookmarkStart w:id="5" w:name="PT_6"/>
                  <w:r>
                    <w:rPr>
                      <w:rFonts w:hint="default" w:ascii="Times New Roman" w:hAnsi="Times New Roman" w:eastAsia="宋体" w:cs="Times New Roman"/>
                      <w:b w:val="0"/>
                      <w:bCs/>
                      <w:sz w:val="15"/>
                      <w:szCs w:val="15"/>
                    </w:rPr>
                    <w:t>序号</w:t>
                  </w:r>
                </w:p>
              </w:tc>
              <w:tc>
                <w:tcPr>
                  <w:tcW w:w="221"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建筑物名称</w:t>
                  </w:r>
                </w:p>
              </w:tc>
              <w:tc>
                <w:tcPr>
                  <w:tcW w:w="424"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声源名称</w:t>
                  </w:r>
                </w:p>
              </w:tc>
              <w:tc>
                <w:tcPr>
                  <w:tcW w:w="242"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lang w:val="en-US" w:eastAsia="zh-CN"/>
                    </w:rPr>
                  </w:pPr>
                  <w:r>
                    <w:rPr>
                      <w:rFonts w:hint="default" w:ascii="Times New Roman" w:hAnsi="Times New Roman" w:eastAsia="宋体" w:cs="Times New Roman"/>
                      <w:b w:val="0"/>
                      <w:bCs/>
                      <w:sz w:val="15"/>
                      <w:szCs w:val="15"/>
                      <w:lang w:val="en-US" w:eastAsia="zh-CN"/>
                    </w:rPr>
                    <w:t>生产线名称</w:t>
                  </w:r>
                </w:p>
              </w:tc>
              <w:tc>
                <w:tcPr>
                  <w:tcW w:w="261" w:type="pc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lang w:eastAsia="zh-CN"/>
                    </w:rPr>
                  </w:pPr>
                  <w:r>
                    <w:rPr>
                      <w:rFonts w:hint="default" w:ascii="Times New Roman" w:hAnsi="Times New Roman" w:eastAsia="宋体" w:cs="Times New Roman"/>
                      <w:b w:val="0"/>
                      <w:bCs/>
                      <w:sz w:val="15"/>
                      <w:szCs w:val="15"/>
                      <w:lang w:eastAsia="zh-CN"/>
                    </w:rPr>
                    <w:t>声源源强</w:t>
                  </w:r>
                </w:p>
              </w:tc>
              <w:tc>
                <w:tcPr>
                  <w:tcW w:w="221"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声源控制措施</w:t>
                  </w:r>
                </w:p>
              </w:tc>
              <w:tc>
                <w:tcPr>
                  <w:tcW w:w="487" w:type="pct"/>
                  <w:gridSpan w:val="3"/>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空间相对位置/m</w:t>
                  </w:r>
                </w:p>
              </w:tc>
              <w:tc>
                <w:tcPr>
                  <w:tcW w:w="650" w:type="pct"/>
                  <w:gridSpan w:val="4"/>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距室内边界距离/m</w:t>
                  </w:r>
                </w:p>
              </w:tc>
              <w:tc>
                <w:tcPr>
                  <w:tcW w:w="650" w:type="pct"/>
                  <w:gridSpan w:val="4"/>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室内边界声级/dB(A)</w:t>
                  </w:r>
                </w:p>
              </w:tc>
              <w:tc>
                <w:tcPr>
                  <w:tcW w:w="221"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运行时段</w:t>
                  </w:r>
                </w:p>
              </w:tc>
              <w:tc>
                <w:tcPr>
                  <w:tcW w:w="650" w:type="pct"/>
                  <w:gridSpan w:val="4"/>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建筑物插入损失 / dB(A)</w:t>
                  </w:r>
                  <w:bookmarkStart w:id="6" w:name="PT_10"/>
                  <w:bookmarkEnd w:id="6"/>
                </w:p>
              </w:tc>
              <w:tc>
                <w:tcPr>
                  <w:tcW w:w="748" w:type="pct"/>
                  <w:gridSpan w:val="5"/>
                  <w:tcBorders>
                    <w:tl2br w:val="nil"/>
                    <w:tr2bl w:val="nil"/>
                  </w:tcBorders>
                  <w:shd w:val="clear" w:color="auto" w:fill="auto"/>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建筑物外噪声声压级/dB(A)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lang w:val="en-US" w:eastAsia="zh-CN"/>
                    </w:rPr>
                  </w:pP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声功率级/dB(A)</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X</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Y</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Z</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东</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南</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西</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北</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东</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南</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西</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北</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东</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南</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西</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北</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东</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南</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西</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北</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建筑物外距离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c>
                <w:tcPr>
                  <w:tcW w:w="221" w:type="pct"/>
                  <w:vMerge w:val="restar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lang w:val="en-US" w:eastAsia="zh-CN"/>
                    </w:rPr>
                  </w:pPr>
                  <w:r>
                    <w:rPr>
                      <w:rFonts w:hint="default" w:ascii="Times New Roman" w:hAnsi="Times New Roman" w:eastAsia="宋体" w:cs="Times New Roman"/>
                      <w:b w:val="0"/>
                      <w:bCs/>
                      <w:sz w:val="15"/>
                      <w:szCs w:val="15"/>
                      <w:lang w:val="en-US" w:eastAsia="zh-CN"/>
                    </w:rPr>
                    <w:t>2#厂房</w:t>
                  </w: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CFW-2000连续管道缠绕机</w:t>
                  </w:r>
                </w:p>
              </w:tc>
              <w:tc>
                <w:tcPr>
                  <w:tcW w:w="242" w:type="pct"/>
                  <w:vMerge w:val="restar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val="0"/>
                      <w:i w:val="0"/>
                      <w:iCs w:val="0"/>
                      <w:caps w:val="0"/>
                      <w:color w:val="0F1115"/>
                      <w:spacing w:val="0"/>
                      <w:kern w:val="0"/>
                      <w:sz w:val="15"/>
                      <w:szCs w:val="15"/>
                      <w:lang w:val="en-US" w:eastAsia="zh-CN" w:bidi="ar"/>
                    </w:rPr>
                    <w:t>连续缠绕玻璃钢管道生产线</w:t>
                  </w: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restar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lang w:val="en-US" w:eastAsia="zh-CN"/>
                    </w:rPr>
                  </w:pPr>
                  <w:r>
                    <w:rPr>
                      <w:rFonts w:hint="default" w:ascii="Times New Roman" w:hAnsi="Times New Roman" w:cs="Times New Roman"/>
                      <w:b w:val="0"/>
                      <w:bCs/>
                      <w:sz w:val="15"/>
                      <w:szCs w:val="15"/>
                      <w:lang w:val="en-US" w:eastAsia="zh-CN"/>
                    </w:rPr>
                    <w:t>基础减震，厂房隔声</w:t>
                  </w: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129.4</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45</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58.0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18.0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28.8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13.4</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60.0</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39.0</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SMM-2000套筒接头修整机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118.6</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45.9</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58.8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28.7</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30.0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12.4</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60.0</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39.0</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SJM-2000套筒管道对接机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75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106</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47.7</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32.2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10.5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55.1</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34.1</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SJHT-3000套筒接头水压测试机（双REKA接头）</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75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95.1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46.8</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52.2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31.6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11.4</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55.1</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34.1</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ORM-2000离线管道修整机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86.5</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47.5</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60.7</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32.6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10.6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65.1</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44.1</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单螺杆挤出机</w:t>
                  </w:r>
                </w:p>
              </w:tc>
              <w:tc>
                <w:tcPr>
                  <w:tcW w:w="242" w:type="pct"/>
                  <w:vMerge w:val="restar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val="0"/>
                      <w:i w:val="0"/>
                      <w:iCs w:val="0"/>
                      <w:caps w:val="0"/>
                      <w:color w:val="0F1115"/>
                      <w:spacing w:val="0"/>
                      <w:kern w:val="0"/>
                      <w:sz w:val="15"/>
                      <w:szCs w:val="15"/>
                      <w:lang w:val="en-US" w:eastAsia="zh-CN" w:bidi="ar"/>
                    </w:rPr>
                    <w:t>PE管生产线</w:t>
                  </w: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75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128.7</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34.7</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47.7</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19.3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18.5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19.0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7</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牵引机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111.4</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46.9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36.6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18.3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锯割机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95.5</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33.1</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45.8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52.5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17.9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25.1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9</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锥形双螺杆挤出机</w:t>
                  </w:r>
                </w:p>
              </w:tc>
              <w:tc>
                <w:tcPr>
                  <w:tcW w:w="242" w:type="pct"/>
                  <w:vMerge w:val="restar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val="0"/>
                      <w:i w:val="0"/>
                      <w:iCs w:val="0"/>
                      <w:caps w:val="0"/>
                      <w:color w:val="0F1115"/>
                      <w:spacing w:val="0"/>
                      <w:kern w:val="0"/>
                      <w:sz w:val="15"/>
                      <w:szCs w:val="15"/>
                      <w:lang w:val="en-US" w:eastAsia="zh-CN" w:bidi="ar"/>
                    </w:rPr>
                    <w:t>PVC管生产线</w:t>
                  </w: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118.6</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27.8</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40.7</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29.7</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30.5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三履带牵引机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110.8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27.5</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40.4</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37.5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30.8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行星切割机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95.3</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26.2</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53.1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32.0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65.1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64.9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44.1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43.9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PVC高速混料机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129.1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27.5</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40.5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19.3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30.9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13</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单螺杆挤出机</w:t>
                  </w:r>
                </w:p>
              </w:tc>
              <w:tc>
                <w:tcPr>
                  <w:tcW w:w="242" w:type="pct"/>
                  <w:vMerge w:val="restar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val="0"/>
                      <w:i w:val="0"/>
                      <w:iCs w:val="0"/>
                      <w:caps w:val="0"/>
                      <w:color w:val="0F1115"/>
                      <w:spacing w:val="0"/>
                      <w:kern w:val="0"/>
                      <w:sz w:val="15"/>
                      <w:szCs w:val="15"/>
                      <w:lang w:val="en-US" w:eastAsia="zh-CN" w:bidi="ar"/>
                    </w:rPr>
                    <w:t>HDPE双壁波纹管生产线</w:t>
                  </w: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99.1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20.8</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49.6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37.4</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14</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成型机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75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127.6</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21.5</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34.5</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21.1</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36.9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55.9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54.8</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33.8</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15</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行星无屑切割机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111</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21.3</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37.7</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37.0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16</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424"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1000L干燥混料机</w:t>
                  </w:r>
                </w:p>
              </w:tc>
              <w:tc>
                <w:tcPr>
                  <w:tcW w:w="242"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80</w:t>
                  </w:r>
                </w:p>
              </w:tc>
              <w:tc>
                <w:tcPr>
                  <w:tcW w:w="221" w:type="pct"/>
                  <w:vMerge w:val="continue"/>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p>
              </w:tc>
              <w:tc>
                <w:tcPr>
                  <w:tcW w:w="206"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118.4</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21.5</w:t>
                  </w:r>
                </w:p>
              </w:tc>
              <w:tc>
                <w:tcPr>
                  <w:tcW w:w="118"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1.2</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34.4</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30.3</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5.6</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36.8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59.9</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60.8</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59.8</w:t>
                  </w:r>
                </w:p>
              </w:tc>
              <w:tc>
                <w:tcPr>
                  <w:tcW w:w="22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24.0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2"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21.0</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38.9</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39.8</w:t>
                  </w:r>
                </w:p>
              </w:tc>
              <w:tc>
                <w:tcPr>
                  <w:tcW w:w="161"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38.8</w:t>
                  </w:r>
                </w:p>
              </w:tc>
              <w:tc>
                <w:tcPr>
                  <w:tcW w:w="100" w:type="pct"/>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5000" w:type="pct"/>
                  <w:gridSpan w:val="27"/>
                  <w:tcBorders>
                    <w:tl2br w:val="nil"/>
                    <w:tr2bl w:val="nil"/>
                  </w:tcBorders>
                  <w:shd w:val="clear" w:color="auto" w:fill="auto"/>
                  <w:tcMar>
                    <w:top w:w="0" w:type="dxa"/>
                    <w:left w:w="0" w:type="dxa"/>
                    <w:bottom w:w="0" w:type="dxa"/>
                    <w:right w:w="0" w:type="dxa"/>
                  </w:tcMar>
                  <w:vAlign w:val="center"/>
                </w:tcPr>
                <w:p>
                  <w:pPr>
                    <w:jc w:val="center"/>
                    <w:rPr>
                      <w:rFonts w:hint="default" w:ascii="Times New Roman" w:hAnsi="Times New Roman" w:eastAsia="宋体" w:cs="Times New Roman"/>
                      <w:b w:val="0"/>
                      <w:bCs/>
                      <w:sz w:val="15"/>
                      <w:szCs w:val="15"/>
                    </w:rPr>
                  </w:pPr>
                  <w:r>
                    <w:rPr>
                      <w:rFonts w:hint="default" w:ascii="Times New Roman" w:hAnsi="Times New Roman" w:eastAsia="宋体" w:cs="Times New Roman"/>
                      <w:b w:val="0"/>
                      <w:bCs/>
                      <w:sz w:val="15"/>
                      <w:szCs w:val="15"/>
                      <w:lang w:val="en-US" w:eastAsia="zh-CN"/>
                    </w:rPr>
                    <w:t>表中坐标以厂界中心（</w:t>
                  </w:r>
                  <w:bookmarkStart w:id="7" w:name="PO_7"/>
                  <w:r>
                    <w:rPr>
                      <w:rFonts w:hint="default" w:ascii="Times New Roman" w:hAnsi="Times New Roman" w:eastAsia="宋体" w:cs="Times New Roman"/>
                      <w:b w:val="0"/>
                      <w:bCs/>
                      <w:sz w:val="15"/>
                      <w:szCs w:val="15"/>
                      <w:lang w:val="en-US" w:eastAsia="zh-CN"/>
                    </w:rPr>
                    <w:t>86.2889786,41.363594</w:t>
                  </w:r>
                  <w:bookmarkEnd w:id="7"/>
                  <w:r>
                    <w:rPr>
                      <w:rFonts w:hint="default" w:ascii="Times New Roman" w:hAnsi="Times New Roman" w:eastAsia="宋体" w:cs="Times New Roman"/>
                      <w:b w:val="0"/>
                      <w:bCs/>
                      <w:sz w:val="15"/>
                      <w:szCs w:val="15"/>
                      <w:lang w:val="en-US" w:eastAsia="zh-CN"/>
                    </w:rPr>
                    <w:t>）为坐标原点，正东向为X轴正方向，正北向为Y轴正方向</w:t>
                  </w:r>
                </w:p>
              </w:tc>
            </w:tr>
            <w:bookmarkEnd w:id="5"/>
          </w:tbl>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eastAsia="宋体" w:cs="Times New Roman"/>
                <w:b/>
                <w:bCs/>
                <w:color w:val="auto"/>
                <w:kern w:val="0"/>
                <w:sz w:val="24"/>
                <w:highlight w:val="yellow"/>
                <w:lang w:val="en-US" w:eastAsia="zh-CN"/>
              </w:rPr>
            </w:pPr>
            <w:r>
              <w:rPr>
                <w:rFonts w:hint="default" w:ascii="Times New Roman" w:hAnsi="Times New Roman" w:cs="Times New Roman"/>
                <w:sz w:val="24"/>
              </w:rPr>
              <mc:AlternateContent>
                <mc:Choice Requires="wps">
                  <w:drawing>
                    <wp:anchor distT="0" distB="0" distL="114300" distR="114300" simplePos="0" relativeHeight="251659264" behindDoc="0" locked="0" layoutInCell="1" allowOverlap="1">
                      <wp:simplePos x="0" y="0"/>
                      <wp:positionH relativeFrom="column">
                        <wp:posOffset>788035</wp:posOffset>
                      </wp:positionH>
                      <wp:positionV relativeFrom="paragraph">
                        <wp:posOffset>20320</wp:posOffset>
                      </wp:positionV>
                      <wp:extent cx="2865120" cy="247650"/>
                      <wp:effectExtent l="0" t="0" r="0" b="0"/>
                      <wp:wrapNone/>
                      <wp:docPr id="2" name="文本框 2"/>
                      <wp:cNvGraphicFramePr/>
                      <a:graphic xmlns:a="http://schemas.openxmlformats.org/drawingml/2006/main">
                        <a:graphicData uri="http://schemas.microsoft.com/office/word/2010/wordprocessingShape">
                          <wps:wsp>
                            <wps:cNvSpPr txBox="1"/>
                            <wps:spPr>
                              <a:xfrm>
                                <a:off x="3025775" y="6883400"/>
                                <a:ext cx="2865120" cy="2476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
                                    <w:rPr>
                                      <w:rFonts w:hint="default" w:ascii="Times New Roman" w:hAnsi="Times New Roman" w:eastAsia="宋体" w:cs="Times New Roman"/>
                                      <w:b/>
                                      <w:bCs/>
                                      <w:color w:val="auto"/>
                                      <w:sz w:val="21"/>
                                      <w:szCs w:val="21"/>
                                      <w:highlight w:val="none"/>
                                      <w:lang w:val="en-US" w:eastAsia="zh-CN"/>
                                    </w:rPr>
                                    <w:t>表4-1</w:t>
                                  </w:r>
                                  <w:r>
                                    <w:rPr>
                                      <w:rFonts w:hint="eastAsia"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 xml:space="preserve"> 本项目主要设备噪声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05pt;margin-top:1.6pt;height:19.5pt;width:225.6pt;z-index:251659264;mso-width-relative:page;mso-height-relative:page;" filled="f" stroked="f" coordsize="21600,21600" o:gfxdata="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GUWf6zZAAAACAEAAA8AAAAAAAAAAQAg&#10;AAAAIgAAAGRycy9kb3ducmV2LnhtbFBLAQIUABQAAAAIAIdO4kBe7l03RgIAAHIEAAAOAAAAAAAA&#10;AAEAIAAAACgBAABkcnMvZTJvRG9jLnhtbFBLBQYAAAAABgAGAFkBAADgBQAAAAA=&#10;">
                      <v:fill on="f" focussize="0,0"/>
                      <v:stroke on="f" weight="0.5pt"/>
                      <v:imagedata o:title=""/>
                      <o:lock v:ext="edit" aspectratio="f"/>
                      <v:textbox>
                        <w:txbxContent>
                          <w:p>
                            <w:r>
                              <w:rPr>
                                <w:rFonts w:hint="default" w:ascii="Times New Roman" w:hAnsi="Times New Roman" w:eastAsia="宋体" w:cs="Times New Roman"/>
                                <w:b/>
                                <w:bCs/>
                                <w:color w:val="auto"/>
                                <w:sz w:val="21"/>
                                <w:szCs w:val="21"/>
                                <w:highlight w:val="none"/>
                                <w:lang w:val="en-US" w:eastAsia="zh-CN"/>
                              </w:rPr>
                              <w:t>表4-1</w:t>
                            </w:r>
                            <w:r>
                              <w:rPr>
                                <w:rFonts w:hint="eastAsia"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 xml:space="preserve"> 本项目主要设备噪声</w:t>
                            </w:r>
                          </w:p>
                        </w:txbxContent>
                      </v:textbox>
                    </v:shape>
                  </w:pict>
                </mc:Fallback>
              </mc:AlternateContent>
            </w:r>
            <w:r>
              <w:rPr>
                <w:rFonts w:hint="default" w:ascii="Times New Roman" w:hAnsi="Times New Roman" w:cs="Times New Roman"/>
                <w:b/>
                <w:bCs/>
                <w:color w:val="auto"/>
                <w:kern w:val="0"/>
                <w:sz w:val="24"/>
                <w:highlight w:val="none"/>
                <w:lang w:val="en-US" w:eastAsia="zh-CN"/>
              </w:rPr>
              <w:t xml:space="preserve">3.2 </w:t>
            </w:r>
            <w:r>
              <w:rPr>
                <w:rFonts w:hint="default" w:ascii="Times New Roman" w:hAnsi="Times New Roman" w:cs="Times New Roman"/>
                <w:b/>
                <w:bCs/>
                <w:color w:val="auto"/>
                <w:sz w:val="24"/>
              </w:rPr>
              <w:t>声环境影响</w:t>
            </w:r>
            <w:r>
              <w:rPr>
                <w:rFonts w:hint="default" w:ascii="Times New Roman" w:hAnsi="Times New Roman" w:cs="Times New Roman"/>
                <w:b/>
                <w:bCs/>
                <w:color w:val="auto"/>
                <w:sz w:val="24"/>
                <w:lang w:val="en-US" w:eastAsia="zh-CN"/>
              </w:rPr>
              <w:t>分析</w:t>
            </w:r>
          </w:p>
          <w:p>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预测模式</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按《环境影响评价技术导则 声环境》（HJ</w:t>
            </w:r>
            <w:r>
              <w:rPr>
                <w:rFonts w:hint="default" w:ascii="Times New Roman" w:hAnsi="Times New Roman" w:cs="Times New Roman"/>
                <w:color w:val="auto"/>
                <w:sz w:val="24"/>
                <w:szCs w:val="24"/>
                <w:lang w:val="en-US" w:eastAsia="zh-CN"/>
              </w:rPr>
              <w:t>2.4</w:t>
            </w:r>
            <w:r>
              <w:rPr>
                <w:rFonts w:hint="default" w:ascii="Times New Roman" w:hAnsi="Times New Roman" w:cs="Times New Roman"/>
                <w:color w:val="auto"/>
                <w:sz w:val="24"/>
                <w:szCs w:val="24"/>
              </w:rPr>
              <w:t>-20</w:t>
            </w:r>
            <w:r>
              <w:rPr>
                <w:rFonts w:hint="default" w:ascii="Times New Roman" w:hAnsi="Times New Roman" w:cs="Times New Roman"/>
                <w:color w:val="auto"/>
                <w:sz w:val="24"/>
                <w:szCs w:val="24"/>
                <w:lang w:val="en-US" w:eastAsia="zh-CN"/>
              </w:rPr>
              <w:t>21</w:t>
            </w:r>
            <w:r>
              <w:rPr>
                <w:rFonts w:hint="default" w:ascii="Times New Roman" w:hAnsi="Times New Roman" w:cs="Times New Roman"/>
                <w:color w:val="auto"/>
                <w:sz w:val="24"/>
                <w:szCs w:val="24"/>
              </w:rPr>
              <w:t>）的规定，机械设备可简化为点声源。选用点源模式，根据噪声衰减特性，分别预测其在评价范围内产生的噪声声级。</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2"/>
                <w:lang w:val="en-US" w:eastAsia="zh-CN"/>
              </w:rPr>
              <w:t>①</w:t>
            </w:r>
            <w:r>
              <w:rPr>
                <w:rFonts w:hint="default" w:ascii="Times New Roman" w:hAnsi="Times New Roman" w:cs="Times New Roman"/>
                <w:color w:val="auto"/>
                <w:sz w:val="24"/>
                <w:szCs w:val="24"/>
              </w:rPr>
              <w:t>室内某一声源在靠近围护结构处的声压级计算公式：</w:t>
            </w:r>
          </w:p>
          <w:p>
            <w:pPr>
              <w:pStyle w:val="62"/>
              <w:spacing w:line="36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L</w:t>
            </w:r>
            <w:r>
              <w:rPr>
                <w:rFonts w:hint="default" w:ascii="Times New Roman" w:hAnsi="Times New Roman" w:cs="Times New Roman"/>
                <w:color w:val="auto"/>
                <w:vertAlign w:val="subscript"/>
              </w:rPr>
              <w:t>oct，1</w:t>
            </w:r>
            <w:r>
              <w:rPr>
                <w:rFonts w:hint="default" w:ascii="Times New Roman" w:hAnsi="Times New Roman" w:cs="Times New Roman"/>
                <w:color w:val="auto"/>
              </w:rPr>
              <w:t>=L</w:t>
            </w:r>
            <w:r>
              <w:rPr>
                <w:rFonts w:hint="default" w:ascii="Times New Roman" w:hAnsi="Times New Roman" w:cs="Times New Roman"/>
                <w:color w:val="auto"/>
                <w:vertAlign w:val="subscript"/>
              </w:rPr>
              <w:t>woct</w:t>
            </w:r>
            <w:r>
              <w:rPr>
                <w:rFonts w:hint="default" w:ascii="Times New Roman" w:hAnsi="Times New Roman" w:cs="Times New Roman"/>
                <w:color w:val="auto"/>
              </w:rPr>
              <w:t>+Q/（4πr</w:t>
            </w:r>
            <w:r>
              <w:rPr>
                <w:rFonts w:hint="default" w:ascii="Times New Roman" w:hAnsi="Times New Roman" w:cs="Times New Roman"/>
                <w:color w:val="auto"/>
                <w:vertAlign w:val="superscript"/>
              </w:rPr>
              <w:t>2</w:t>
            </w:r>
            <w:r>
              <w:rPr>
                <w:rFonts w:hint="default" w:ascii="Times New Roman" w:hAnsi="Times New Roman" w:cs="Times New Roman"/>
                <w:color w:val="auto"/>
              </w:rPr>
              <w:t>）+4/R</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式中：L</w:t>
            </w:r>
            <w:r>
              <w:rPr>
                <w:rFonts w:hint="default" w:ascii="Times New Roman" w:hAnsi="Times New Roman" w:cs="Times New Roman"/>
                <w:color w:val="auto"/>
                <w:sz w:val="24"/>
                <w:szCs w:val="24"/>
                <w:vertAlign w:val="subscript"/>
              </w:rPr>
              <w:t>oct，1</w:t>
            </w:r>
            <w:r>
              <w:rPr>
                <w:rFonts w:hint="default" w:ascii="Times New Roman" w:hAnsi="Times New Roman" w:cs="Times New Roman"/>
                <w:color w:val="auto"/>
                <w:sz w:val="24"/>
                <w:szCs w:val="24"/>
              </w:rPr>
              <w:t>—某个室内声源在靠近围护结构处产生的声压级，dB（A）；</w:t>
            </w:r>
          </w:p>
          <w:p>
            <w:pPr>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vertAlign w:val="subscript"/>
              </w:rPr>
              <w:t>woct</w:t>
            </w:r>
            <w:r>
              <w:rPr>
                <w:rFonts w:hint="default" w:ascii="Times New Roman" w:hAnsi="Times New Roman" w:cs="Times New Roman"/>
                <w:color w:val="auto"/>
                <w:sz w:val="24"/>
                <w:szCs w:val="24"/>
              </w:rPr>
              <w:t>—某个声源的声功率级，dB（A）；r—室内某个声源与靠近围护结构处的距离，m；</w:t>
            </w:r>
          </w:p>
          <w:p>
            <w:pPr>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R—房间常数；</w:t>
            </w:r>
          </w:p>
          <w:p>
            <w:pPr>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Q—方向性因子；</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2"/>
                <w:lang w:val="en-US" w:eastAsia="zh-CN"/>
              </w:rPr>
              <w:t>②</w:t>
            </w:r>
            <w:r>
              <w:rPr>
                <w:rFonts w:hint="default" w:ascii="Times New Roman" w:hAnsi="Times New Roman" w:cs="Times New Roman"/>
                <w:color w:val="auto"/>
                <w:sz w:val="24"/>
                <w:szCs w:val="24"/>
              </w:rPr>
              <w:t>室外点声源声压级衰减模式：</w:t>
            </w:r>
          </w:p>
          <w:p>
            <w:pPr>
              <w:snapToGrid w:val="0"/>
              <w:spacing w:line="360" w:lineRule="auto"/>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vertAlign w:val="subscript"/>
              </w:rPr>
              <w:t>P</w:t>
            </w: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vertAlign w:val="subscript"/>
              </w:rPr>
              <w:t>W</w:t>
            </w:r>
            <w:r>
              <w:rPr>
                <w:rFonts w:hint="default" w:ascii="Times New Roman" w:hAnsi="Times New Roman" w:cs="Times New Roman"/>
                <w:color w:val="auto"/>
                <w:sz w:val="24"/>
                <w:szCs w:val="24"/>
              </w:rPr>
              <w:t>-20lgr-k</w:t>
            </w:r>
          </w:p>
          <w:p>
            <w:pPr>
              <w:snapToGrid w:val="0"/>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式中：L</w:t>
            </w:r>
            <w:r>
              <w:rPr>
                <w:rFonts w:hint="default" w:ascii="Times New Roman" w:hAnsi="Times New Roman" w:cs="Times New Roman"/>
                <w:color w:val="auto"/>
                <w:sz w:val="24"/>
                <w:szCs w:val="24"/>
                <w:vertAlign w:val="subscript"/>
              </w:rPr>
              <w:t>P</w:t>
            </w:r>
            <w:r>
              <w:rPr>
                <w:rFonts w:hint="default" w:ascii="Times New Roman" w:hAnsi="Times New Roman" w:cs="Times New Roman"/>
                <w:color w:val="auto"/>
                <w:sz w:val="24"/>
                <w:szCs w:val="24"/>
              </w:rPr>
              <w:t>—距声源r（m）处的A声级，dB（A）；</w:t>
            </w:r>
          </w:p>
          <w:p>
            <w:pPr>
              <w:snapToGrid w:val="0"/>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vertAlign w:val="subscript"/>
              </w:rPr>
              <w:t>W</w:t>
            </w:r>
            <w:r>
              <w:rPr>
                <w:rFonts w:hint="default" w:ascii="Times New Roman" w:hAnsi="Times New Roman" w:cs="Times New Roman"/>
                <w:color w:val="auto"/>
                <w:sz w:val="24"/>
                <w:szCs w:val="24"/>
              </w:rPr>
              <w:t>—噪声源的A声级，dB（A）；</w:t>
            </w:r>
          </w:p>
          <w:p>
            <w:pPr>
              <w:snapToGrid w:val="0"/>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r —距声源的距离，m；</w:t>
            </w:r>
          </w:p>
          <w:p>
            <w:pPr>
              <w:snapToGrid w:val="0"/>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k—半自由空间常数，取值8。</w:t>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2"/>
                <w:lang w:val="en-US" w:eastAsia="zh-CN"/>
              </w:rPr>
              <w:t>③</w:t>
            </w:r>
            <w:r>
              <w:rPr>
                <w:rFonts w:hint="default" w:ascii="Times New Roman" w:hAnsi="Times New Roman" w:cs="Times New Roman"/>
                <w:color w:val="auto"/>
                <w:sz w:val="24"/>
                <w:szCs w:val="24"/>
              </w:rPr>
              <w:t>声级叠加公式：</w:t>
            </w:r>
          </w:p>
          <w:p>
            <w:pPr>
              <w:snapToGrid w:val="0"/>
              <w:spacing w:line="360" w:lineRule="auto"/>
              <w:ind w:firstLine="480" w:firstLineChars="20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drawing>
                <wp:inline distT="0" distB="0" distL="114300" distR="114300">
                  <wp:extent cx="1272540" cy="403860"/>
                  <wp:effectExtent l="0" t="0" r="3810" b="15875"/>
                  <wp:docPr id="10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
                          <pic:cNvPicPr>
                            <a:picLocks noChangeAspect="1"/>
                          </pic:cNvPicPr>
                        </pic:nvPicPr>
                        <pic:blipFill>
                          <a:blip r:embed="rId15"/>
                          <a:stretch>
                            <a:fillRect/>
                          </a:stretch>
                        </pic:blipFill>
                        <pic:spPr>
                          <a:xfrm>
                            <a:off x="0" y="0"/>
                            <a:ext cx="1272540" cy="403860"/>
                          </a:xfrm>
                          <a:prstGeom prst="rect">
                            <a:avLst/>
                          </a:prstGeom>
                          <a:noFill/>
                          <a:ln>
                            <a:noFill/>
                          </a:ln>
                        </pic:spPr>
                      </pic:pic>
                    </a:graphicData>
                  </a:graphic>
                </wp:inline>
              </w:drawing>
            </w:r>
          </w:p>
          <w:p>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式中：L</w:t>
            </w:r>
            <w:r>
              <w:rPr>
                <w:rFonts w:hint="default" w:ascii="Times New Roman" w:hAnsi="Times New Roman" w:cs="Times New Roman"/>
                <w:color w:val="auto"/>
                <w:sz w:val="24"/>
                <w:szCs w:val="24"/>
                <w:vertAlign w:val="subscript"/>
              </w:rPr>
              <w:t>0</w:t>
            </w:r>
            <w:r>
              <w:rPr>
                <w:rFonts w:hint="default" w:ascii="Times New Roman" w:hAnsi="Times New Roman" w:cs="Times New Roman"/>
                <w:color w:val="auto"/>
                <w:sz w:val="24"/>
                <w:szCs w:val="24"/>
              </w:rPr>
              <w:t>——叠加后总声压级，dB（A）；</w:t>
            </w:r>
          </w:p>
          <w:p>
            <w:pPr>
              <w:spacing w:line="360" w:lineRule="auto"/>
              <w:ind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n——声源级数；</w:t>
            </w:r>
          </w:p>
          <w:p>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L</w:t>
            </w:r>
            <w:r>
              <w:rPr>
                <w:rFonts w:hint="default" w:ascii="Times New Roman" w:hAnsi="Times New Roman" w:cs="Times New Roman"/>
                <w:color w:val="auto"/>
                <w:sz w:val="24"/>
                <w:szCs w:val="24"/>
                <w:vertAlign w:val="subscript"/>
              </w:rPr>
              <w:t>i</w:t>
            </w:r>
            <w:r>
              <w:rPr>
                <w:rFonts w:hint="default" w:ascii="Times New Roman" w:hAnsi="Times New Roman" w:cs="Times New Roman"/>
                <w:color w:val="auto"/>
                <w:sz w:val="24"/>
                <w:szCs w:val="24"/>
              </w:rPr>
              <w:t>——各声源对某点的声压值，dB（A）。</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cs="Times New Roman"/>
                <w:b/>
                <w:bCs/>
                <w:color w:val="auto"/>
                <w:kern w:val="0"/>
                <w:sz w:val="24"/>
                <w:highlight w:val="none"/>
                <w:lang w:val="en-US" w:eastAsia="zh-CN"/>
              </w:rPr>
            </w:pPr>
            <w:r>
              <w:rPr>
                <w:rFonts w:hint="default" w:ascii="Times New Roman" w:hAnsi="Times New Roman" w:cs="Times New Roman"/>
                <w:b/>
                <w:bCs/>
                <w:color w:val="auto"/>
                <w:kern w:val="0"/>
                <w:sz w:val="24"/>
                <w:highlight w:val="none"/>
                <w:lang w:val="en-US" w:eastAsia="zh-CN"/>
              </w:rPr>
              <w:t>3.3 预测结果</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shd w:val="clear" w:fill="FFFFFF"/>
                <w:lang w:eastAsia="zh-CN"/>
              </w:rPr>
            </w:pPr>
            <w:r>
              <w:rPr>
                <w:rFonts w:hint="default" w:ascii="Times New Roman" w:hAnsi="Times New Roman" w:eastAsia="宋体" w:cs="Times New Roman"/>
                <w:i w:val="0"/>
                <w:iCs w:val="0"/>
                <w:caps w:val="0"/>
                <w:color w:val="auto"/>
                <w:spacing w:val="0"/>
                <w:sz w:val="24"/>
                <w:szCs w:val="24"/>
                <w:shd w:val="clear" w:fill="FFFFFF"/>
              </w:rPr>
              <w:t>利用以上预测公式，使噪声源通过等效变换成若干等效声源，然后计算出与噪声源不同距离处的理论噪声值（贡献值），再与厂界现状背景值进行能量叠加，得到各厂界预测值，以此评价项目运营期噪声对厂界声环境的影响。预测结果见表4-1</w:t>
            </w:r>
            <w:r>
              <w:rPr>
                <w:rFonts w:hint="default" w:ascii="Times New Roman" w:hAnsi="Times New Roman" w:cs="Times New Roman"/>
                <w:i w:val="0"/>
                <w:iCs w:val="0"/>
                <w:caps w:val="0"/>
                <w:color w:val="auto"/>
                <w:spacing w:val="0"/>
                <w:sz w:val="24"/>
                <w:szCs w:val="24"/>
                <w:shd w:val="clear" w:fill="FFFFFF"/>
                <w:lang w:val="en-US" w:eastAsia="zh-CN"/>
              </w:rPr>
              <w:t>5</w:t>
            </w:r>
            <w:r>
              <w:rPr>
                <w:rFonts w:hint="default" w:ascii="Times New Roman" w:hAnsi="Times New Roman" w:cs="Times New Roman"/>
                <w:i w:val="0"/>
                <w:iCs w:val="0"/>
                <w:caps w:val="0"/>
                <w:color w:val="auto"/>
                <w:spacing w:val="0"/>
                <w:sz w:val="24"/>
                <w:szCs w:val="24"/>
                <w:shd w:val="clear" w:fill="FFFFFF"/>
                <w:lang w:eastAsia="zh-CN"/>
              </w:rPr>
              <w:t>。</w:t>
            </w:r>
          </w:p>
          <w:p>
            <w:pPr>
              <w:keepNext w:val="0"/>
              <w:keepLines w:val="0"/>
              <w:pageBreakBefore w:val="0"/>
              <w:widowControl w:val="0"/>
              <w:kinsoku/>
              <w:wordWrap/>
              <w:overflowPunct/>
              <w:topLinePunct w:val="0"/>
              <w:autoSpaceDE w:val="0"/>
              <w:autoSpaceDN w:val="0"/>
              <w:bidi w:val="0"/>
              <w:adjustRightInd w:val="0"/>
              <w:snapToGrid w:val="0"/>
              <w:spacing w:before="157" w:beforeLines="50"/>
              <w:ind w:firstLine="422" w:firstLineChars="200"/>
              <w:jc w:val="both"/>
              <w:textAlignment w:val="baseline"/>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kern w:val="2"/>
                <w:sz w:val="21"/>
                <w:szCs w:val="21"/>
                <w:highlight w:val="none"/>
                <w:lang w:val="en-US" w:eastAsia="zh-CN" w:bidi="ar-SA"/>
              </w:rPr>
              <w:t>表4-15               噪声预测结果统计表             单位：dB（A）</w:t>
            </w:r>
          </w:p>
          <w:tbl>
            <w:tblPr>
              <w:tblStyle w:val="35"/>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27"/>
              <w:gridCol w:w="723"/>
              <w:gridCol w:w="626"/>
              <w:gridCol w:w="465"/>
              <w:gridCol w:w="592"/>
              <w:gridCol w:w="1036"/>
              <w:gridCol w:w="1167"/>
              <w:gridCol w:w="1167"/>
              <w:gridCol w:w="1036"/>
              <w:gridCol w:w="75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预测方位</w:t>
                  </w:r>
                </w:p>
              </w:tc>
              <w:tc>
                <w:tcPr>
                  <w:tcW w:w="1134" w:type="pct"/>
                  <w:gridSpan w:val="3"/>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最大值点</w:t>
                  </w:r>
                  <w:r>
                    <w:rPr>
                      <w:rFonts w:hint="default" w:ascii="Times New Roman" w:hAnsi="Times New Roman" w:eastAsia="宋体" w:cs="Times New Roman"/>
                      <w:b w:val="0"/>
                      <w:bCs/>
                      <w:sz w:val="18"/>
                      <w:szCs w:val="18"/>
                    </w:rPr>
                    <w:t>空间相对位置/m</w:t>
                  </w:r>
                </w:p>
              </w:tc>
              <w:tc>
                <w:tcPr>
                  <w:tcW w:w="370"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时段</w:t>
                  </w:r>
                </w:p>
              </w:tc>
              <w:tc>
                <w:tcPr>
                  <w:tcW w:w="629"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贡献值</w:t>
                  </w:r>
                  <w:r>
                    <w:rPr>
                      <w:rFonts w:hint="default" w:ascii="Times New Roman" w:hAnsi="Times New Roman" w:eastAsia="宋体" w:cs="Times New Roman"/>
                      <w:b w:val="0"/>
                      <w:bCs/>
                      <w:sz w:val="18"/>
                      <w:szCs w:val="18"/>
                    </w:rPr>
                    <w:t>（dB(A)）</w:t>
                  </w:r>
                </w:p>
              </w:tc>
              <w:tc>
                <w:tcPr>
                  <w:tcW w:w="725"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背景值</w:t>
                  </w:r>
                  <w:r>
                    <w:rPr>
                      <w:rFonts w:hint="default" w:ascii="Times New Roman" w:hAnsi="Times New Roman" w:eastAsia="宋体" w:cs="Times New Roman"/>
                      <w:b w:val="0"/>
                      <w:bCs/>
                      <w:sz w:val="18"/>
                      <w:szCs w:val="18"/>
                    </w:rPr>
                    <w:t>（dB(A)）</w:t>
                  </w:r>
                </w:p>
              </w:tc>
              <w:tc>
                <w:tcPr>
                  <w:tcW w:w="725"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预测值（dB(A)）</w:t>
                  </w:r>
                </w:p>
              </w:tc>
              <w:tc>
                <w:tcPr>
                  <w:tcW w:w="612"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标准限值（dB(A)）</w:t>
                  </w:r>
                </w:p>
              </w:tc>
              <w:tc>
                <w:tcPr>
                  <w:tcW w:w="472"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330"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X</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Y</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Z</w:t>
                  </w:r>
                </w:p>
              </w:tc>
              <w:tc>
                <w:tcPr>
                  <w:tcW w:w="370"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629"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725"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725"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612"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472"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东侧</w:t>
                  </w: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170.4</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28.2</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昼间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50.5</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51.6</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54.1</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65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170.4</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28.2</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夜间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50.5</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43.8</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51.3</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55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南侧</w:t>
                  </w: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107.4</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-73.2</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昼间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45.6</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55.9</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56.3</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65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107.4</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-73.2</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夜间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45.6</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43.1</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47.5</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55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西侧</w:t>
                  </w: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-170.4</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16.8</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昼间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18.5</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52.1</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52.1</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65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-170.4</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16.8</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夜间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18.5</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44.5</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44.5</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55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PrEx>
              <w:trPr>
                <w:trHeight w:val="0" w:hRule="atLeast"/>
                <w:jc w:val="center"/>
              </w:trPr>
              <w:tc>
                <w:tcPr>
                  <w:tcW w:w="330" w:type="pct"/>
                  <w:vMerge w:val="restar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北侧</w:t>
                  </w: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93.6</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73.2</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昼间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54.3</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52.9</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55.1</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65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330" w:type="pct"/>
                  <w:vMerge w:val="continue"/>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p>
              </w:tc>
              <w:tc>
                <w:tcPr>
                  <w:tcW w:w="45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93.6</w:t>
                  </w:r>
                </w:p>
              </w:tc>
              <w:tc>
                <w:tcPr>
                  <w:tcW w:w="391"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73.2</w:t>
                  </w:r>
                </w:p>
              </w:tc>
              <w:tc>
                <w:tcPr>
                  <w:tcW w:w="29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1.2</w:t>
                  </w:r>
                </w:p>
              </w:tc>
              <w:tc>
                <w:tcPr>
                  <w:tcW w:w="370"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夜间</w:t>
                  </w:r>
                </w:p>
              </w:tc>
              <w:tc>
                <w:tcPr>
                  <w:tcW w:w="629"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54.3</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42.8</w:t>
                  </w:r>
                </w:p>
              </w:tc>
              <w:tc>
                <w:tcPr>
                  <w:tcW w:w="725"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lang w:val="en-US" w:eastAsia="zh-CN"/>
                    </w:rPr>
                  </w:pPr>
                  <w:r>
                    <w:rPr>
                      <w:rFonts w:hint="default" w:ascii="Times New Roman" w:hAnsi="Times New Roman" w:eastAsia="宋体" w:cs="Times New Roman"/>
                      <w:b w:val="0"/>
                      <w:bCs/>
                      <w:sz w:val="18"/>
                      <w:szCs w:val="18"/>
                      <w:lang w:val="en-US" w:eastAsia="zh-CN"/>
                    </w:rPr>
                    <w:t>54.3</w:t>
                  </w:r>
                </w:p>
              </w:tc>
              <w:tc>
                <w:tcPr>
                  <w:tcW w:w="61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lang w:val="en-US" w:eastAsia="zh-CN"/>
                    </w:rPr>
                    <w:t>55</w:t>
                  </w:r>
                </w:p>
              </w:tc>
              <w:tc>
                <w:tcPr>
                  <w:tcW w:w="472" w:type="pct"/>
                  <w:tcBorders>
                    <w:tl2br w:val="nil"/>
                    <w:tr2bl w:val="nil"/>
                  </w:tcBorders>
                  <w:shd w:val="clear" w:color="auto" w:fill="auto"/>
                  <w:vAlign w:val="center"/>
                </w:tcPr>
                <w:p>
                  <w:pPr>
                    <w:jc w:val="center"/>
                    <w:rPr>
                      <w:rFonts w:hint="default" w:ascii="Times New Roman" w:hAnsi="Times New Roman" w:eastAsia="宋体" w:cs="Times New Roman"/>
                      <w:b w:val="0"/>
                      <w:bCs/>
                      <w:sz w:val="18"/>
                      <w:szCs w:val="18"/>
                    </w:rPr>
                  </w:pPr>
                  <w:r>
                    <w:rPr>
                      <w:rFonts w:hint="default" w:ascii="Times New Roman" w:hAnsi="Times New Roman" w:eastAsia="宋体" w:cs="Times New Roman"/>
                      <w:b w:val="0"/>
                      <w:bCs/>
                      <w:sz w:val="18"/>
                      <w:szCs w:val="18"/>
                    </w:rPr>
                    <w:t>达标</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由表4-</w:t>
            </w:r>
            <w:r>
              <w:rPr>
                <w:rFonts w:hint="default" w:ascii="Times New Roman" w:hAnsi="Times New Roman" w:eastAsia="宋体" w:cs="Times New Roman"/>
                <w:color w:val="auto"/>
                <w:kern w:val="0"/>
                <w:sz w:val="24"/>
                <w:highlight w:val="none"/>
                <w:lang w:val="en-US" w:eastAsia="zh-CN"/>
              </w:rPr>
              <w:t>1</w:t>
            </w:r>
            <w:r>
              <w:rPr>
                <w:rFonts w:hint="default" w:ascii="Times New Roman" w:hAnsi="Times New Roman" w:cs="Times New Roman"/>
                <w:color w:val="auto"/>
                <w:kern w:val="0"/>
                <w:sz w:val="24"/>
                <w:highlight w:val="none"/>
                <w:lang w:val="en-US" w:eastAsia="zh-CN"/>
              </w:rPr>
              <w:t>5</w:t>
            </w:r>
            <w:r>
              <w:rPr>
                <w:rFonts w:hint="default" w:ascii="Times New Roman" w:hAnsi="Times New Roman" w:eastAsia="宋体" w:cs="Times New Roman"/>
                <w:color w:val="auto"/>
                <w:kern w:val="0"/>
                <w:sz w:val="24"/>
                <w:highlight w:val="none"/>
              </w:rPr>
              <w:t>可知，</w:t>
            </w:r>
            <w:r>
              <w:rPr>
                <w:rFonts w:hint="default" w:ascii="Times New Roman" w:hAnsi="Times New Roman" w:cs="Times New Roman"/>
                <w:color w:val="auto"/>
                <w:kern w:val="0"/>
                <w:sz w:val="24"/>
                <w:highlight w:val="none"/>
                <w:lang w:val="en-US" w:eastAsia="zh-CN"/>
              </w:rPr>
              <w:t>经叠加后</w:t>
            </w:r>
            <w:r>
              <w:rPr>
                <w:rFonts w:hint="default" w:ascii="Times New Roman" w:hAnsi="Times New Roman" w:eastAsia="宋体" w:cs="Times New Roman"/>
                <w:color w:val="auto"/>
                <w:kern w:val="0"/>
                <w:sz w:val="24"/>
                <w:highlight w:val="none"/>
                <w:lang w:val="en-US" w:eastAsia="zh-CN"/>
              </w:rPr>
              <w:t>本项目</w:t>
            </w:r>
            <w:r>
              <w:rPr>
                <w:rFonts w:hint="default" w:ascii="Times New Roman" w:hAnsi="Times New Roman" w:eastAsia="宋体" w:cs="Times New Roman"/>
                <w:color w:val="auto"/>
                <w:kern w:val="0"/>
                <w:sz w:val="24"/>
                <w:highlight w:val="none"/>
              </w:rPr>
              <w:t>厂界</w:t>
            </w:r>
            <w:r>
              <w:rPr>
                <w:rFonts w:hint="default" w:ascii="Times New Roman" w:hAnsi="Times New Roman" w:eastAsia="宋体" w:cs="Times New Roman"/>
                <w:i w:val="0"/>
                <w:iCs w:val="0"/>
                <w:caps w:val="0"/>
                <w:color w:val="auto"/>
                <w:spacing w:val="0"/>
                <w:sz w:val="24"/>
                <w:szCs w:val="24"/>
                <w:shd w:val="clear" w:fill="FFFFFF"/>
              </w:rPr>
              <w:t>四周昼</w:t>
            </w:r>
            <w:r>
              <w:rPr>
                <w:rFonts w:hint="default" w:ascii="Times New Roman" w:hAnsi="Times New Roman" w:cs="Times New Roman"/>
                <w:i w:val="0"/>
                <w:iCs w:val="0"/>
                <w:caps w:val="0"/>
                <w:color w:val="auto"/>
                <w:spacing w:val="0"/>
                <w:sz w:val="24"/>
                <w:szCs w:val="24"/>
                <w:shd w:val="clear" w:fill="FFFFFF"/>
                <w:lang w:eastAsia="zh-CN"/>
              </w:rPr>
              <w:t>、</w:t>
            </w:r>
            <w:r>
              <w:rPr>
                <w:rFonts w:hint="default" w:ascii="Times New Roman" w:hAnsi="Times New Roman" w:cs="Times New Roman"/>
                <w:i w:val="0"/>
                <w:iCs w:val="0"/>
                <w:caps w:val="0"/>
                <w:color w:val="auto"/>
                <w:spacing w:val="0"/>
                <w:sz w:val="24"/>
                <w:szCs w:val="24"/>
                <w:shd w:val="clear" w:fill="FFFFFF"/>
                <w:lang w:val="en-US" w:eastAsia="zh-CN"/>
              </w:rPr>
              <w:t>夜间</w:t>
            </w:r>
            <w:r>
              <w:rPr>
                <w:rFonts w:hint="default" w:ascii="Times New Roman" w:hAnsi="Times New Roman" w:eastAsia="宋体" w:cs="Times New Roman"/>
                <w:i w:val="0"/>
                <w:iCs w:val="0"/>
                <w:caps w:val="0"/>
                <w:color w:val="auto"/>
                <w:spacing w:val="0"/>
                <w:sz w:val="24"/>
                <w:szCs w:val="24"/>
                <w:shd w:val="clear" w:fill="FFFFFF"/>
              </w:rPr>
              <w:t>噪声贡献值</w:t>
            </w:r>
            <w:r>
              <w:rPr>
                <w:rFonts w:hint="default" w:ascii="Times New Roman" w:hAnsi="Times New Roman" w:eastAsia="宋体" w:cs="Times New Roman"/>
                <w:color w:val="auto"/>
                <w:kern w:val="0"/>
                <w:sz w:val="24"/>
                <w:highlight w:val="none"/>
              </w:rPr>
              <w:t>均能够达到《工业企业厂界环境噪声排放标准》（GB12348-2008）</w:t>
            </w:r>
            <w:r>
              <w:rPr>
                <w:rFonts w:hint="default" w:ascii="Times New Roman" w:hAnsi="Times New Roman" w:eastAsia="宋体" w:cs="Times New Roman"/>
                <w:color w:val="auto"/>
                <w:kern w:val="0"/>
                <w:sz w:val="24"/>
                <w:highlight w:val="none"/>
                <w:lang w:val="en-US" w:eastAsia="zh-CN"/>
              </w:rPr>
              <w:t>3</w:t>
            </w:r>
            <w:r>
              <w:rPr>
                <w:rFonts w:hint="default" w:ascii="Times New Roman" w:hAnsi="Times New Roman" w:eastAsia="宋体" w:cs="Times New Roman"/>
                <w:color w:val="auto"/>
                <w:kern w:val="0"/>
                <w:sz w:val="24"/>
                <w:highlight w:val="none"/>
              </w:rPr>
              <w:t>类</w:t>
            </w:r>
            <w:r>
              <w:rPr>
                <w:rFonts w:hint="default" w:ascii="Times New Roman" w:hAnsi="Times New Roman" w:eastAsia="宋体" w:cs="Times New Roman"/>
                <w:color w:val="auto"/>
                <w:kern w:val="0"/>
                <w:sz w:val="24"/>
                <w:highlight w:val="none"/>
                <w:lang w:val="en-US" w:eastAsia="zh-CN"/>
              </w:rPr>
              <w:t>标准</w:t>
            </w:r>
            <w:r>
              <w:rPr>
                <w:rFonts w:hint="default" w:ascii="Times New Roman" w:hAnsi="Times New Roman" w:eastAsia="宋体" w:cs="Times New Roman"/>
                <w:color w:val="auto"/>
                <w:kern w:val="0"/>
                <w:sz w:val="24"/>
                <w:highlight w:val="none"/>
              </w:rPr>
              <w:t>限值要求。</w:t>
            </w:r>
          </w:p>
          <w:p>
            <w:pPr>
              <w:keepNext w:val="0"/>
              <w:keepLines w:val="0"/>
              <w:pageBreakBefore w:val="0"/>
              <w:widowControl w:val="0"/>
              <w:kinsoku/>
              <w:wordWrap/>
              <w:overflowPunct/>
              <w:topLinePunct w:val="0"/>
              <w:autoSpaceDE/>
              <w:autoSpaceDN/>
              <w:bidi w:val="0"/>
              <w:adjustRightInd w:val="0"/>
              <w:snapToGrid w:val="0"/>
              <w:spacing w:line="372" w:lineRule="auto"/>
              <w:ind w:firstLine="482" w:firstLineChars="200"/>
              <w:textAlignment w:val="auto"/>
              <w:rPr>
                <w:rFonts w:hint="default" w:ascii="Times New Roman" w:hAnsi="Times New Roman" w:cs="Times New Roman"/>
                <w:b/>
                <w:bCs/>
                <w:color w:val="auto"/>
                <w:kern w:val="0"/>
                <w:sz w:val="24"/>
                <w:highlight w:val="none"/>
                <w:lang w:val="en-US" w:eastAsia="zh-CN"/>
              </w:rPr>
            </w:pPr>
            <w:r>
              <w:rPr>
                <w:rFonts w:hint="default" w:ascii="Times New Roman" w:hAnsi="Times New Roman" w:cs="Times New Roman"/>
                <w:b/>
                <w:bCs/>
                <w:color w:val="auto"/>
                <w:kern w:val="0"/>
                <w:sz w:val="24"/>
                <w:highlight w:val="none"/>
                <w:lang w:val="en-US" w:eastAsia="zh-CN"/>
              </w:rPr>
              <w:t>3.4噪声控制措施</w:t>
            </w:r>
          </w:p>
          <w:p>
            <w:pPr>
              <w:keepNext w:val="0"/>
              <w:keepLines w:val="0"/>
              <w:pageBreakBefore w:val="0"/>
              <w:widowControl w:val="0"/>
              <w:kinsoku/>
              <w:wordWrap/>
              <w:overflowPunct/>
              <w:topLinePunct w:val="0"/>
              <w:autoSpaceDE/>
              <w:autoSpaceDN/>
              <w:bidi w:val="0"/>
              <w:spacing w:line="372" w:lineRule="auto"/>
              <w:ind w:firstLine="482"/>
              <w:textAlignment w:val="auto"/>
              <w:rPr>
                <w:rFonts w:hint="default" w:ascii="Times New Roman" w:hAnsi="Times New Roman" w:cs="Times New Roman"/>
                <w:color w:val="auto"/>
                <w:kern w:val="0"/>
                <w:sz w:val="24"/>
                <w:szCs w:val="24"/>
              </w:rPr>
            </w:pPr>
            <w:r>
              <w:rPr>
                <w:rFonts w:hint="default" w:ascii="Times New Roman" w:hAnsi="Times New Roman" w:eastAsia="宋体" w:cs="Times New Roman"/>
                <w:color w:val="auto"/>
                <w:sz w:val="24"/>
                <w:szCs w:val="24"/>
                <w:lang w:val="en-US" w:eastAsia="zh-CN"/>
              </w:rPr>
              <w:t>为最大限度</w:t>
            </w:r>
            <w:r>
              <w:rPr>
                <w:rFonts w:hint="default" w:ascii="Times New Roman" w:hAnsi="Times New Roman" w:cs="Times New Roman"/>
                <w:color w:val="auto"/>
                <w:sz w:val="24"/>
                <w:szCs w:val="24"/>
                <w:lang w:val="en-US" w:eastAsia="zh-CN"/>
              </w:rPr>
              <w:t>地</w:t>
            </w:r>
            <w:r>
              <w:rPr>
                <w:rFonts w:hint="default" w:ascii="Times New Roman" w:hAnsi="Times New Roman" w:eastAsia="宋体" w:cs="Times New Roman"/>
                <w:color w:val="auto"/>
                <w:sz w:val="24"/>
                <w:szCs w:val="24"/>
                <w:lang w:val="en-US" w:eastAsia="zh-CN"/>
              </w:rPr>
              <w:t>降低噪声对厂界环境的影响，</w:t>
            </w:r>
            <w:r>
              <w:rPr>
                <w:rFonts w:hint="default" w:ascii="Times New Roman" w:hAnsi="Times New Roman" w:cs="Times New Roman"/>
                <w:color w:val="auto"/>
                <w:kern w:val="0"/>
                <w:sz w:val="24"/>
                <w:szCs w:val="24"/>
              </w:rPr>
              <w:t>建设单位</w:t>
            </w:r>
            <w:r>
              <w:rPr>
                <w:rFonts w:hint="default" w:ascii="Times New Roman" w:hAnsi="Times New Roman" w:eastAsia="宋体" w:cs="Times New Roman"/>
                <w:color w:val="auto"/>
                <w:sz w:val="24"/>
                <w:szCs w:val="24"/>
                <w:lang w:val="en-US" w:eastAsia="zh-CN"/>
              </w:rPr>
              <w:t>应采取隔声降噪措施，噪声防治贯彻</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以防为主，防治结合</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的原则，具体措施有：</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72"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在设备选型时，除考虑满足生产工艺要求外，还必须考虑设备的声学特性（选用高效低噪设备），</w:t>
            </w:r>
            <w:r>
              <w:rPr>
                <w:rFonts w:hint="default" w:ascii="Times New Roman" w:hAnsi="Times New Roman" w:eastAsia="宋体" w:cs="Times New Roman"/>
                <w:color w:val="auto"/>
                <w:sz w:val="24"/>
                <w:szCs w:val="24"/>
                <w:lang w:eastAsia="zh-CN"/>
              </w:rPr>
              <w:t>高噪音</w:t>
            </w:r>
            <w:r>
              <w:rPr>
                <w:rFonts w:hint="default" w:ascii="Times New Roman" w:hAnsi="Times New Roman" w:eastAsia="宋体" w:cs="Times New Roman"/>
                <w:color w:val="auto"/>
                <w:sz w:val="24"/>
                <w:szCs w:val="24"/>
              </w:rPr>
              <w:t>设备设置台基减震、橡胶减震接头及减震垫等减震设施。在生产运转时须定期对其进行检查，保证设备正常运转</w:t>
            </w:r>
            <w:r>
              <w:rPr>
                <w:rFonts w:hint="default" w:ascii="Times New Roman" w:hAnsi="Times New Roman" w:eastAsia="宋体" w:cs="Times New Roman"/>
                <w:color w:val="auto"/>
                <w:sz w:val="24"/>
                <w:szCs w:val="24"/>
                <w:lang w:eastAsia="zh-CN"/>
              </w:rPr>
              <w:t>；</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72"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rPr>
              <w:t>从总平面布置的角度出发，将</w:t>
            </w:r>
            <w:r>
              <w:rPr>
                <w:rFonts w:hint="default" w:ascii="Times New Roman" w:hAnsi="Times New Roman" w:eastAsia="宋体" w:cs="Times New Roman"/>
                <w:color w:val="auto"/>
                <w:sz w:val="24"/>
                <w:szCs w:val="24"/>
                <w:lang w:eastAsia="zh-CN"/>
              </w:rPr>
              <w:t>高噪音设备</w:t>
            </w:r>
            <w:r>
              <w:rPr>
                <w:rFonts w:hint="default" w:ascii="Times New Roman" w:hAnsi="Times New Roman" w:eastAsia="宋体" w:cs="Times New Roman"/>
                <w:color w:val="auto"/>
                <w:sz w:val="24"/>
                <w:szCs w:val="24"/>
              </w:rPr>
              <w:t>设置于</w:t>
            </w:r>
            <w:r>
              <w:rPr>
                <w:rFonts w:hint="default" w:ascii="Times New Roman" w:hAnsi="Times New Roman" w:cs="Times New Roman"/>
                <w:color w:val="auto"/>
                <w:sz w:val="24"/>
                <w:szCs w:val="24"/>
                <w:lang w:eastAsia="zh-CN"/>
              </w:rPr>
              <w:t>距离</w:t>
            </w:r>
            <w:r>
              <w:rPr>
                <w:rFonts w:hint="default" w:ascii="Times New Roman" w:hAnsi="Times New Roman" w:eastAsia="宋体" w:cs="Times New Roman"/>
                <w:color w:val="auto"/>
                <w:sz w:val="24"/>
                <w:szCs w:val="24"/>
              </w:rPr>
              <w:t>厂界最远的位置。生产时尽量减少车间门窗的开启频次，利用墙壁的作用，使噪声受到不同程度</w:t>
            </w:r>
            <w:r>
              <w:rPr>
                <w:rFonts w:hint="default" w:ascii="Times New Roman" w:hAnsi="Times New Roman" w:cs="Times New Roman"/>
                <w:color w:val="auto"/>
                <w:sz w:val="24"/>
                <w:szCs w:val="24"/>
                <w:lang w:eastAsia="zh-CN"/>
              </w:rPr>
              <w:t>地</w:t>
            </w:r>
            <w:r>
              <w:rPr>
                <w:rFonts w:hint="default" w:ascii="Times New Roman" w:hAnsi="Times New Roman" w:eastAsia="宋体" w:cs="Times New Roman"/>
                <w:color w:val="auto"/>
                <w:sz w:val="24"/>
                <w:szCs w:val="24"/>
              </w:rPr>
              <w:t>隔绝和吸收，做到尽可能屏蔽声源，减少对环境的影响。同时在工厂总体布置上利用建筑物、构筑物来阻隔声波的传播</w:t>
            </w:r>
            <w:r>
              <w:rPr>
                <w:rFonts w:hint="default" w:ascii="Times New Roman" w:hAnsi="Times New Roman" w:eastAsia="宋体" w:cs="Times New Roman"/>
                <w:color w:val="auto"/>
                <w:sz w:val="24"/>
                <w:szCs w:val="24"/>
                <w:lang w:eastAsia="zh-CN"/>
              </w:rPr>
              <w:t>；</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72"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）建立设备定期维护，保养的管理制度，以防止设备故障形成的非正常生产噪声，同时确保环保措施发挥最佳有效的功能；加强职工环保意识教育，提倡文明生产，防止人为噪声；</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72" w:lineRule="auto"/>
              <w:ind w:left="0" w:right="0" w:firstLine="480" w:firstLineChars="200"/>
              <w:textAlignment w:val="auto"/>
              <w:rPr>
                <w:rFonts w:hint="default" w:ascii="Times New Roman" w:hAnsi="Times New Roman"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eastAsia="zh-CN"/>
              </w:rPr>
              <w:t>）强化行车管理制度，最大限度减少流动噪声。</w:t>
            </w:r>
          </w:p>
          <w:p>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72"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在落实如上</w:t>
            </w:r>
            <w:r>
              <w:rPr>
                <w:rFonts w:hint="default" w:ascii="Times New Roman" w:hAnsi="Times New Roman" w:cs="Times New Roman"/>
                <w:color w:val="auto"/>
                <w:sz w:val="24"/>
                <w:szCs w:val="24"/>
                <w:lang w:val="en-US" w:eastAsia="zh-CN"/>
              </w:rPr>
              <w:t>噪声</w:t>
            </w:r>
            <w:r>
              <w:rPr>
                <w:rFonts w:hint="default" w:ascii="Times New Roman" w:hAnsi="Times New Roman" w:cs="Times New Roman"/>
                <w:color w:val="auto"/>
                <w:sz w:val="24"/>
                <w:szCs w:val="24"/>
              </w:rPr>
              <w:t>防治措施后，各噪声源的噪声削减较明显，</w:t>
            </w:r>
            <w:r>
              <w:rPr>
                <w:rFonts w:hint="default" w:ascii="Times New Roman" w:hAnsi="Times New Roman" w:eastAsia="宋体" w:cs="Times New Roman"/>
                <w:color w:val="auto"/>
                <w:sz w:val="24"/>
                <w:szCs w:val="24"/>
              </w:rPr>
              <w:t>厂界噪声达标</w:t>
            </w:r>
            <w:r>
              <w:rPr>
                <w:rFonts w:hint="default" w:ascii="Times New Roman" w:hAnsi="Times New Roman" w:cs="Times New Roman"/>
                <w:color w:val="auto"/>
                <w:sz w:val="24"/>
                <w:szCs w:val="24"/>
                <w:lang w:val="en-US" w:eastAsia="zh-CN"/>
              </w:rPr>
              <w:t>可达标排放</w:t>
            </w:r>
            <w:r>
              <w:rPr>
                <w:rFonts w:hint="default" w:ascii="Times New Roman" w:hAnsi="Times New Roman" w:eastAsia="宋体" w:cs="Times New Roman"/>
                <w:color w:val="auto"/>
                <w:sz w:val="24"/>
                <w:szCs w:val="24"/>
              </w:rPr>
              <w:t>，不</w:t>
            </w:r>
            <w:r>
              <w:rPr>
                <w:rFonts w:hint="default" w:ascii="Times New Roman" w:hAnsi="Times New Roman" w:eastAsia="宋体" w:cs="Times New Roman"/>
                <w:color w:val="auto"/>
                <w:sz w:val="24"/>
                <w:szCs w:val="24"/>
                <w:lang w:eastAsia="zh-CN"/>
              </w:rPr>
              <w:t>对</w:t>
            </w:r>
            <w:r>
              <w:rPr>
                <w:rFonts w:hint="default" w:ascii="Times New Roman" w:hAnsi="Times New Roman" w:eastAsia="宋体" w:cs="Times New Roman"/>
                <w:color w:val="auto"/>
                <w:sz w:val="24"/>
                <w:szCs w:val="24"/>
              </w:rPr>
              <w:t>周边</w:t>
            </w:r>
            <w:r>
              <w:rPr>
                <w:rFonts w:hint="default" w:ascii="Times New Roman" w:hAnsi="Times New Roman" w:eastAsia="宋体" w:cs="Times New Roman"/>
                <w:color w:val="auto"/>
                <w:sz w:val="24"/>
                <w:szCs w:val="24"/>
                <w:lang w:val="en-US" w:eastAsia="zh-CN"/>
              </w:rPr>
              <w:t>声</w:t>
            </w:r>
            <w:r>
              <w:rPr>
                <w:rFonts w:hint="default" w:ascii="Times New Roman" w:hAnsi="Times New Roman" w:eastAsia="宋体" w:cs="Times New Roman"/>
                <w:color w:val="auto"/>
                <w:sz w:val="24"/>
                <w:szCs w:val="24"/>
              </w:rPr>
              <w:t>环境</w:t>
            </w:r>
            <w:r>
              <w:rPr>
                <w:rFonts w:hint="default" w:ascii="Times New Roman" w:hAnsi="Times New Roman" w:eastAsia="宋体" w:cs="Times New Roman"/>
                <w:color w:val="auto"/>
                <w:sz w:val="24"/>
                <w:szCs w:val="24"/>
                <w:lang w:val="en-US" w:eastAsia="zh-CN"/>
              </w:rPr>
              <w:t>质量产生不利</w:t>
            </w:r>
            <w:r>
              <w:rPr>
                <w:rFonts w:hint="default" w:ascii="Times New Roman" w:hAnsi="Times New Roman" w:eastAsia="宋体" w:cs="Times New Roman"/>
                <w:color w:val="auto"/>
                <w:sz w:val="24"/>
                <w:szCs w:val="24"/>
              </w:rPr>
              <w:t>影响。</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highlight w:val="none"/>
                <w:lang w:val="en-US" w:eastAsia="zh-CN"/>
              </w:rPr>
            </w:pPr>
            <w:r>
              <w:rPr>
                <w:rFonts w:hint="default" w:ascii="Times New Roman" w:hAnsi="Times New Roman" w:cs="Times New Roman"/>
                <w:b/>
                <w:bCs/>
                <w:color w:val="auto"/>
                <w:kern w:val="0"/>
                <w:sz w:val="24"/>
                <w:highlight w:val="none"/>
                <w:lang w:val="en-US" w:eastAsia="zh-CN"/>
              </w:rPr>
              <w:t>3.5监测计划</w:t>
            </w:r>
          </w:p>
          <w:p>
            <w:pPr>
              <w:adjustRightInd w:val="0"/>
              <w:snapToGrid w:val="0"/>
              <w:spacing w:line="360" w:lineRule="auto"/>
              <w:ind w:firstLine="480" w:firstLineChars="200"/>
              <w:rPr>
                <w:rFonts w:hint="default" w:ascii="Times New Roman" w:hAnsi="Times New Roman" w:cs="Times New Roman"/>
                <w:color w:val="auto"/>
                <w:kern w:val="0"/>
                <w:sz w:val="24"/>
              </w:rPr>
            </w:pPr>
            <w:r>
              <w:rPr>
                <w:rFonts w:hint="default" w:ascii="Times New Roman" w:hAnsi="Times New Roman" w:cs="Times New Roman"/>
                <w:color w:val="auto"/>
                <w:sz w:val="24"/>
              </w:rPr>
              <w:t>企业应按照《排污单位自行监测技术指南 总则》（HJ819-2017）相关要求，开展厂界噪声监测</w:t>
            </w:r>
            <w:r>
              <w:rPr>
                <w:rFonts w:hint="default" w:ascii="Times New Roman" w:hAnsi="Times New Roman" w:cs="Times New Roman"/>
                <w:color w:val="auto"/>
                <w:kern w:val="0"/>
                <w:sz w:val="24"/>
              </w:rPr>
              <w:t>，本项目噪声监测计划见表4-</w:t>
            </w:r>
            <w:r>
              <w:rPr>
                <w:rFonts w:hint="default" w:ascii="Times New Roman" w:hAnsi="Times New Roman" w:cs="Times New Roman"/>
                <w:color w:val="auto"/>
                <w:kern w:val="0"/>
                <w:sz w:val="24"/>
                <w:lang w:val="en-US" w:eastAsia="zh-CN"/>
              </w:rPr>
              <w:t>16</w:t>
            </w:r>
            <w:r>
              <w:rPr>
                <w:rFonts w:hint="default" w:ascii="Times New Roman" w:hAnsi="Times New Roman" w:cs="Times New Roman"/>
                <w:color w:val="auto"/>
                <w:kern w:val="0"/>
                <w:sz w:val="24"/>
              </w:rPr>
              <w:t>。</w:t>
            </w:r>
          </w:p>
          <w:p>
            <w:pPr>
              <w:keepNext w:val="0"/>
              <w:keepLines w:val="0"/>
              <w:pageBreakBefore w:val="0"/>
              <w:widowControl w:val="0"/>
              <w:kinsoku/>
              <w:wordWrap/>
              <w:overflowPunct/>
              <w:topLinePunct w:val="0"/>
              <w:autoSpaceDE w:val="0"/>
              <w:autoSpaceDN w:val="0"/>
              <w:bidi w:val="0"/>
              <w:adjustRightInd w:val="0"/>
              <w:snapToGrid w:val="0"/>
              <w:spacing w:before="157" w:beforeLines="50"/>
              <w:ind w:firstLine="422" w:firstLineChars="200"/>
              <w:jc w:val="both"/>
              <w:textAlignment w:val="baseline"/>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表4-1</w:t>
            </w:r>
            <w:r>
              <w:rPr>
                <w:rFonts w:hint="default" w:ascii="Times New Roman" w:hAnsi="Times New Roman" w:cs="Times New Roman"/>
                <w:b/>
                <w:bCs/>
                <w:color w:val="auto"/>
                <w:kern w:val="2"/>
                <w:sz w:val="21"/>
                <w:szCs w:val="21"/>
                <w:highlight w:val="none"/>
                <w:lang w:val="en-US" w:eastAsia="zh-CN" w:bidi="ar-SA"/>
              </w:rPr>
              <w:t>6</w:t>
            </w:r>
            <w:r>
              <w:rPr>
                <w:rFonts w:hint="default" w:ascii="Times New Roman" w:hAnsi="Times New Roman" w:eastAsia="宋体" w:cs="Times New Roman"/>
                <w:b/>
                <w:bCs/>
                <w:color w:val="auto"/>
                <w:kern w:val="2"/>
                <w:sz w:val="21"/>
                <w:szCs w:val="21"/>
                <w:highlight w:val="none"/>
                <w:lang w:val="en-US" w:eastAsia="zh-CN" w:bidi="ar-SA"/>
              </w:rPr>
              <w:t xml:space="preserve"> </w:t>
            </w:r>
            <w:r>
              <w:rPr>
                <w:rFonts w:hint="default" w:ascii="Times New Roman" w:hAnsi="Times New Roman" w:cs="Times New Roman"/>
                <w:b/>
                <w:bCs/>
                <w:color w:val="auto"/>
                <w:kern w:val="2"/>
                <w:sz w:val="21"/>
                <w:szCs w:val="21"/>
                <w:highlight w:val="none"/>
                <w:lang w:val="en-US" w:eastAsia="zh-CN" w:bidi="ar-SA"/>
              </w:rPr>
              <w:t xml:space="preserve">       </w:t>
            </w:r>
            <w:r>
              <w:rPr>
                <w:rFonts w:hint="default" w:ascii="Times New Roman" w:hAnsi="Times New Roman" w:eastAsia="宋体" w:cs="Times New Roman"/>
                <w:b/>
                <w:bCs/>
                <w:color w:val="auto"/>
                <w:kern w:val="2"/>
                <w:sz w:val="21"/>
                <w:szCs w:val="21"/>
                <w:highlight w:val="none"/>
                <w:lang w:val="en-US" w:eastAsia="zh-CN" w:bidi="ar-SA"/>
              </w:rPr>
              <w:t xml:space="preserve"> 项目运营期噪声监测计划一览表</w:t>
            </w:r>
          </w:p>
          <w:tbl>
            <w:tblPr>
              <w:tblStyle w:val="36"/>
              <w:tblW w:w="4998"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46"/>
              <w:gridCol w:w="1854"/>
              <w:gridCol w:w="2019"/>
              <w:gridCol w:w="1254"/>
              <w:gridCol w:w="17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rPr>
              <w:tc>
                <w:tcPr>
                  <w:tcW w:w="769" w:type="pct"/>
                  <w:tcBorders>
                    <w:tl2br w:val="nil"/>
                    <w:tr2bl w:val="nil"/>
                  </w:tcBorders>
                  <w:noWrap/>
                  <w:vAlign w:val="center"/>
                </w:tcPr>
                <w:p>
                  <w:pPr>
                    <w:jc w:val="center"/>
                    <w:rPr>
                      <w:rFonts w:hint="default" w:ascii="Times New Roman" w:hAnsi="Times New Roman" w:cs="Times New Roman"/>
                      <w:b w:val="0"/>
                      <w:bCs w:val="0"/>
                      <w:color w:val="auto"/>
                      <w:kern w:val="0"/>
                      <w:sz w:val="18"/>
                      <w:szCs w:val="18"/>
                    </w:rPr>
                  </w:pPr>
                  <w:r>
                    <w:rPr>
                      <w:rFonts w:hint="default" w:ascii="Times New Roman" w:hAnsi="Times New Roman" w:cs="Times New Roman"/>
                      <w:b w:val="0"/>
                      <w:bCs w:val="0"/>
                      <w:color w:val="auto"/>
                      <w:kern w:val="0"/>
                      <w:sz w:val="18"/>
                      <w:szCs w:val="18"/>
                    </w:rPr>
                    <w:t>类别</w:t>
                  </w:r>
                </w:p>
              </w:tc>
              <w:tc>
                <w:tcPr>
                  <w:tcW w:w="1144" w:type="pct"/>
                  <w:tcBorders>
                    <w:tl2br w:val="nil"/>
                    <w:tr2bl w:val="nil"/>
                  </w:tcBorders>
                  <w:noWrap/>
                  <w:vAlign w:val="center"/>
                </w:tcPr>
                <w:p>
                  <w:pPr>
                    <w:jc w:val="center"/>
                    <w:rPr>
                      <w:rFonts w:hint="default" w:ascii="Times New Roman" w:hAnsi="Times New Roman" w:cs="Times New Roman"/>
                      <w:b w:val="0"/>
                      <w:bCs w:val="0"/>
                      <w:color w:val="auto"/>
                      <w:kern w:val="0"/>
                      <w:sz w:val="18"/>
                      <w:szCs w:val="18"/>
                    </w:rPr>
                  </w:pPr>
                  <w:r>
                    <w:rPr>
                      <w:rFonts w:hint="default" w:ascii="Times New Roman" w:hAnsi="Times New Roman" w:cs="Times New Roman"/>
                      <w:b w:val="0"/>
                      <w:bCs w:val="0"/>
                      <w:color w:val="auto"/>
                      <w:kern w:val="0"/>
                      <w:sz w:val="18"/>
                      <w:szCs w:val="18"/>
                    </w:rPr>
                    <w:t>监测位置</w:t>
                  </w:r>
                </w:p>
              </w:tc>
              <w:tc>
                <w:tcPr>
                  <w:tcW w:w="1246" w:type="pct"/>
                  <w:tcBorders>
                    <w:tl2br w:val="nil"/>
                    <w:tr2bl w:val="nil"/>
                  </w:tcBorders>
                  <w:noWrap/>
                  <w:vAlign w:val="center"/>
                </w:tcPr>
                <w:p>
                  <w:pPr>
                    <w:jc w:val="center"/>
                    <w:rPr>
                      <w:rFonts w:hint="default" w:ascii="Times New Roman" w:hAnsi="Times New Roman" w:cs="Times New Roman"/>
                      <w:b w:val="0"/>
                      <w:bCs w:val="0"/>
                      <w:color w:val="auto"/>
                      <w:kern w:val="0"/>
                      <w:sz w:val="18"/>
                      <w:szCs w:val="18"/>
                    </w:rPr>
                  </w:pPr>
                  <w:r>
                    <w:rPr>
                      <w:rFonts w:hint="default" w:ascii="Times New Roman" w:hAnsi="Times New Roman" w:cs="Times New Roman"/>
                      <w:b w:val="0"/>
                      <w:bCs w:val="0"/>
                      <w:color w:val="auto"/>
                      <w:kern w:val="0"/>
                      <w:sz w:val="18"/>
                      <w:szCs w:val="18"/>
                    </w:rPr>
                    <w:t>监测项目</w:t>
                  </w:r>
                </w:p>
              </w:tc>
              <w:tc>
                <w:tcPr>
                  <w:tcW w:w="774" w:type="pct"/>
                  <w:tcBorders>
                    <w:tl2br w:val="nil"/>
                    <w:tr2bl w:val="nil"/>
                  </w:tcBorders>
                  <w:noWrap/>
                  <w:vAlign w:val="center"/>
                </w:tcPr>
                <w:p>
                  <w:pPr>
                    <w:jc w:val="center"/>
                    <w:rPr>
                      <w:rFonts w:hint="default" w:ascii="Times New Roman" w:hAnsi="Times New Roman" w:cs="Times New Roman"/>
                      <w:b w:val="0"/>
                      <w:bCs w:val="0"/>
                      <w:color w:val="auto"/>
                      <w:kern w:val="0"/>
                      <w:sz w:val="18"/>
                      <w:szCs w:val="18"/>
                    </w:rPr>
                  </w:pPr>
                  <w:r>
                    <w:rPr>
                      <w:rFonts w:hint="default" w:ascii="Times New Roman" w:hAnsi="Times New Roman" w:cs="Times New Roman"/>
                      <w:b w:val="0"/>
                      <w:bCs w:val="0"/>
                      <w:color w:val="auto"/>
                      <w:kern w:val="0"/>
                      <w:sz w:val="18"/>
                      <w:szCs w:val="18"/>
                    </w:rPr>
                    <w:t>监测频率</w:t>
                  </w:r>
                </w:p>
              </w:tc>
              <w:tc>
                <w:tcPr>
                  <w:tcW w:w="1065" w:type="pct"/>
                  <w:tcBorders>
                    <w:tl2br w:val="nil"/>
                    <w:tr2bl w:val="nil"/>
                  </w:tcBorders>
                  <w:noWrap/>
                  <w:vAlign w:val="center"/>
                </w:tcPr>
                <w:p>
                  <w:pPr>
                    <w:jc w:val="center"/>
                    <w:rPr>
                      <w:rFonts w:hint="default" w:ascii="Times New Roman" w:hAnsi="Times New Roman" w:cs="Times New Roman"/>
                      <w:b w:val="0"/>
                      <w:bCs w:val="0"/>
                      <w:color w:val="auto"/>
                      <w:kern w:val="0"/>
                      <w:sz w:val="18"/>
                      <w:szCs w:val="18"/>
                    </w:rPr>
                  </w:pPr>
                  <w:r>
                    <w:rPr>
                      <w:rFonts w:hint="default" w:ascii="Times New Roman" w:hAnsi="Times New Roman" w:cs="Times New Roman"/>
                      <w:b w:val="0"/>
                      <w:bCs w:val="0"/>
                      <w:color w:val="auto"/>
                      <w:kern w:val="0"/>
                      <w:sz w:val="18"/>
                      <w:szCs w:val="18"/>
                    </w:rPr>
                    <w:t>实施单位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769" w:type="pct"/>
                  <w:tcBorders>
                    <w:tl2br w:val="nil"/>
                    <w:tr2bl w:val="nil"/>
                  </w:tcBorders>
                  <w:noWrap/>
                  <w:vAlign w:val="center"/>
                </w:tcPr>
                <w:p>
                  <w:pPr>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厂界监测</w:t>
                  </w:r>
                </w:p>
              </w:tc>
              <w:tc>
                <w:tcPr>
                  <w:tcW w:w="1144" w:type="pct"/>
                  <w:tcBorders>
                    <w:tl2br w:val="nil"/>
                    <w:tr2bl w:val="nil"/>
                  </w:tcBorders>
                  <w:noWrap/>
                  <w:vAlign w:val="center"/>
                </w:tcPr>
                <w:p>
                  <w:pPr>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厂界四周外1m</w:t>
                  </w:r>
                </w:p>
              </w:tc>
              <w:tc>
                <w:tcPr>
                  <w:tcW w:w="1246" w:type="pct"/>
                  <w:tcBorders>
                    <w:tl2br w:val="nil"/>
                    <w:tr2bl w:val="nil"/>
                  </w:tcBorders>
                  <w:noWrap/>
                  <w:vAlign w:val="center"/>
                </w:tcPr>
                <w:p>
                  <w:pPr>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等效连续A声级</w:t>
                  </w:r>
                </w:p>
              </w:tc>
              <w:tc>
                <w:tcPr>
                  <w:tcW w:w="774" w:type="pct"/>
                  <w:tcBorders>
                    <w:tl2br w:val="nil"/>
                    <w:tr2bl w:val="nil"/>
                  </w:tcBorders>
                  <w:noWrap/>
                  <w:vAlign w:val="center"/>
                </w:tcPr>
                <w:p>
                  <w:pPr>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lang w:val="en-US" w:eastAsia="zh-CN"/>
                    </w:rPr>
                    <w:t>1</w:t>
                  </w:r>
                  <w:r>
                    <w:rPr>
                      <w:rFonts w:hint="default" w:ascii="Times New Roman" w:hAnsi="Times New Roman" w:cs="Times New Roman"/>
                      <w:color w:val="auto"/>
                      <w:kern w:val="0"/>
                      <w:sz w:val="18"/>
                      <w:szCs w:val="18"/>
                    </w:rPr>
                    <w:t>次/季度</w:t>
                  </w:r>
                </w:p>
              </w:tc>
              <w:tc>
                <w:tcPr>
                  <w:tcW w:w="1065" w:type="pct"/>
                  <w:tcBorders>
                    <w:tl2br w:val="nil"/>
                    <w:tr2bl w:val="nil"/>
                  </w:tcBorders>
                  <w:noWrap/>
                  <w:vAlign w:val="center"/>
                </w:tcPr>
                <w:p>
                  <w:pPr>
                    <w:jc w:val="center"/>
                    <w:rPr>
                      <w:rFonts w:hint="default" w:ascii="Times New Roman" w:hAnsi="Times New Roman" w:cs="Times New Roman"/>
                      <w:color w:val="auto"/>
                      <w:kern w:val="0"/>
                      <w:sz w:val="18"/>
                      <w:szCs w:val="18"/>
                    </w:rPr>
                  </w:pPr>
                  <w:r>
                    <w:rPr>
                      <w:rFonts w:hint="default" w:ascii="Times New Roman" w:hAnsi="Times New Roman" w:cs="Times New Roman"/>
                      <w:color w:val="auto"/>
                      <w:kern w:val="0"/>
                      <w:sz w:val="18"/>
                      <w:szCs w:val="18"/>
                    </w:rPr>
                    <w:t>企业自行委托</w:t>
                  </w:r>
                </w:p>
              </w:tc>
            </w:tr>
          </w:tbl>
          <w:p>
            <w:pPr>
              <w:keepNext w:val="0"/>
              <w:keepLines w:val="0"/>
              <w:pageBreakBefore w:val="0"/>
              <w:widowControl w:val="0"/>
              <w:kinsoku/>
              <w:wordWrap/>
              <w:overflowPunct/>
              <w:topLinePunct w:val="0"/>
              <w:autoSpaceDE/>
              <w:autoSpaceDN/>
              <w:bidi w:val="0"/>
              <w:adjustRightInd w:val="0"/>
              <w:snapToGrid w:val="0"/>
              <w:spacing w:line="372"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4、固体废弃物环境影响和保护措施</w:t>
            </w:r>
          </w:p>
          <w:p>
            <w:pPr>
              <w:keepNext w:val="0"/>
              <w:keepLines w:val="0"/>
              <w:pageBreakBefore w:val="0"/>
              <w:widowControl w:val="0"/>
              <w:kinsoku/>
              <w:wordWrap/>
              <w:overflowPunct/>
              <w:topLinePunct w:val="0"/>
              <w:autoSpaceDE/>
              <w:autoSpaceDN/>
              <w:bidi w:val="0"/>
              <w:adjustRightInd w:val="0"/>
              <w:snapToGrid w:val="0"/>
              <w:spacing w:line="372"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4.1固体废物产生及处置情况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本项目营运期主要固体废弃物为生活垃圾、一般工业固体废物及危险废物。</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（1）生活垃圾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本项目劳动定员15人（本次二期新增），生活垃圾产生量以每人0.5kg/d计，年工作300天，则本次扩建新增生活垃圾产生量为2.25t/a。生活垃圾在厂内统一收集后由环卫部门定期清运至尉犁县生活垃圾填埋场处置。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（2）一般工业固体废物</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本项目一般工业固体废物主要包括废包装材料、不合格产品、边角料、除尘灰、废滤袋、沉淀池污泥等。</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①废包装材料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产生于原料拆包及产品包装工序。根据建设单位提供的资料，本项目废包装材料产生量为1.5t/a，主要为废纸板、废编织袋、废塑料膜等。废包装材料集中收集后暂存于一般工业固体废物暂存间，定期外售给废品回收站综合利用。根据《固体废物分类与代码目录》（生态环境部公告2024年第4号），废包装材料属于“SW17可再生类废物”，类别代码为900-005-S17。</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②不合格产品</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产品生产及检验过程中会产生部分不合格产品。根据企业产品质量控制要求，项目产品合格率为99.8%，本项目玻璃钢管道年产量10000t，PE管1500t、PVC管1500t、HDPE双壁波纹管2000t，合计产品总量15000t，则不合格品产生量约为30t/a（按产品总量0.2%计）。不合格产品集中收集后暂存于一般工业固体废物暂存间，定期外售给相关回收单位综合利用。根据《固体废物分类与代码目录》，其属于“SW17可再生类废物”，类别代码为900-003-S17。</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③边角料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项目修整切割过程会产生边角料。根据《排放源统计调查产排污核算方法和系数手册3062玻璃纤维增强塑料制品行业系数手册》，玻璃纤维复合材料切割成型工段一般工业固体废物的产生系数为0.003t/t-产品，项目年产连续缠绕玻璃纤维增强塑料夹砂管10000t，故玻璃钢管边角料产生量为30t/a。此外，PE管、PVC管、HDPE双壁波纹管切割过程边角料产生量按原料用量的0.5%计，约为(1500+1500+</w:t>
            </w:r>
            <w:r>
              <w:rPr>
                <w:rFonts w:hint="default" w:ascii="Times New Roman" w:hAnsi="Times New Roman" w:cs="Times New Roman"/>
                <w:color w:val="auto"/>
                <w:sz w:val="24"/>
                <w:lang w:val="en-US" w:eastAsia="zh-CN"/>
              </w:rPr>
              <w:t>2000</w:t>
            </w:r>
            <w:r>
              <w:rPr>
                <w:rFonts w:hint="default" w:ascii="Times New Roman" w:hAnsi="Times New Roman" w:eastAsia="宋体" w:cs="Times New Roman"/>
                <w:color w:val="auto"/>
                <w:sz w:val="24"/>
                <w:lang w:val="en-US" w:eastAsia="zh-CN"/>
              </w:rPr>
              <w:t>)×0.5%=</w:t>
            </w:r>
            <w:r>
              <w:rPr>
                <w:rFonts w:hint="default" w:ascii="Times New Roman" w:hAnsi="Times New Roman" w:cs="Times New Roman"/>
                <w:color w:val="auto"/>
                <w:sz w:val="24"/>
                <w:lang w:val="en-US" w:eastAsia="zh-CN"/>
              </w:rPr>
              <w:t>25</w:t>
            </w:r>
            <w:r>
              <w:rPr>
                <w:rFonts w:hint="default" w:ascii="Times New Roman" w:hAnsi="Times New Roman" w:eastAsia="宋体" w:cs="Times New Roman"/>
                <w:color w:val="auto"/>
                <w:sz w:val="24"/>
                <w:lang w:val="en-US" w:eastAsia="zh-CN"/>
              </w:rPr>
              <w:t>t/a。合计边角料产生量约</w:t>
            </w:r>
            <w:r>
              <w:rPr>
                <w:rFonts w:hint="default" w:ascii="Times New Roman" w:hAnsi="Times New Roman" w:cs="Times New Roman"/>
                <w:color w:val="auto"/>
                <w:sz w:val="24"/>
                <w:lang w:val="en-US" w:eastAsia="zh-CN"/>
              </w:rPr>
              <w:t>55</w:t>
            </w:r>
            <w:r>
              <w:rPr>
                <w:rFonts w:hint="default" w:ascii="Times New Roman" w:hAnsi="Times New Roman" w:eastAsia="宋体" w:cs="Times New Roman"/>
                <w:color w:val="auto"/>
                <w:sz w:val="24"/>
                <w:lang w:val="en-US" w:eastAsia="zh-CN"/>
              </w:rPr>
              <w:t>t/a。集中收集后暂存于一般工业固体废物暂存间，定期外售综合利用。根据《固体废物分类与代码目录》，其属于“SW17可再生类废物”，代码为900-003-S17。</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外售综合利用途径说明：不合格产品及边角料主要成分为不饱和聚酯树脂、玻璃纤维及塑料（PE/PVC），属于热固性或热塑性复合材料。经破碎、筛分处理后，可作为填料或增强材料外售给建材生产企业（如水泥制品厂、混凝土构件厂、新型建材厂等），用于生产复合板材、井盖、路沿石等建材产品；塑料类边角料可外售给塑料回收加工企业进行再生造粒；也可委托持有相关资质的专业固废回收公司进行集中回收和无害化处置。外售时应与接收单位签订处置协议，建立外售台账，确保合规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④除尘灰</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布袋除尘器运行过程中收集的粉尘主要为切割修整工序产生的玻璃钢粉尘，根据工程分析，除尘灰产生量约39.204t/a（切割修整除尘灰31.185t/a+PVC混料除尘灰8.019t/a）。除尘灰暂存于一般工业固体废物暂存间，</w:t>
            </w:r>
            <w:r>
              <w:rPr>
                <w:rFonts w:hint="default" w:ascii="Times New Roman" w:hAnsi="Times New Roman" w:cs="Times New Roman"/>
                <w:color w:val="auto"/>
                <w:sz w:val="24"/>
                <w:lang w:val="en-US" w:eastAsia="zh-CN"/>
              </w:rPr>
              <w:t>交由</w:t>
            </w:r>
            <w:r>
              <w:rPr>
                <w:rFonts w:hint="eastAsia" w:cs="Times New Roman"/>
                <w:color w:val="auto"/>
                <w:sz w:val="24"/>
                <w:lang w:val="en-US" w:eastAsia="zh-CN"/>
              </w:rPr>
              <w:t>一般工业固废</w:t>
            </w:r>
            <w:r>
              <w:rPr>
                <w:rFonts w:hint="default" w:ascii="Times New Roman" w:hAnsi="Times New Roman" w:cs="Times New Roman"/>
                <w:color w:val="auto"/>
                <w:sz w:val="24"/>
                <w:lang w:val="en-US" w:eastAsia="zh-CN"/>
              </w:rPr>
              <w:t>处置单位进行处置</w:t>
            </w:r>
            <w:r>
              <w:rPr>
                <w:rFonts w:hint="default" w:ascii="Times New Roman" w:hAnsi="Times New Roman" w:eastAsia="宋体" w:cs="Times New Roman"/>
                <w:color w:val="auto"/>
                <w:sz w:val="24"/>
                <w:lang w:val="en-US" w:eastAsia="zh-CN"/>
              </w:rPr>
              <w:t>处理。根据《固体废物分类与代码目录》，其属于“SW59其他工业固体废物”，类别代码为900-099-S59。</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⑤废滤袋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袋式除尘器滤袋在使用过程中会出现磨损或堵塞，需定期更换。依据生产工况及设备维护要求，本项目废滤袋产生量约为0.05t/a。废滤袋集中收集后暂存于一般工业固体废物暂存间，</w:t>
            </w:r>
            <w:r>
              <w:rPr>
                <w:rFonts w:hint="default" w:ascii="Times New Roman" w:hAnsi="Times New Roman" w:cs="Times New Roman"/>
                <w:color w:val="auto"/>
                <w:sz w:val="24"/>
                <w:lang w:val="en-US" w:eastAsia="zh-CN"/>
              </w:rPr>
              <w:t>交由</w:t>
            </w:r>
            <w:r>
              <w:rPr>
                <w:rFonts w:hint="eastAsia" w:cs="Times New Roman"/>
                <w:color w:val="auto"/>
                <w:sz w:val="24"/>
                <w:lang w:val="en-US" w:eastAsia="zh-CN"/>
              </w:rPr>
              <w:t>一般工业固废</w:t>
            </w:r>
            <w:r>
              <w:rPr>
                <w:rFonts w:hint="default" w:ascii="Times New Roman" w:hAnsi="Times New Roman" w:cs="Times New Roman"/>
                <w:color w:val="auto"/>
                <w:sz w:val="24"/>
                <w:lang w:val="en-US" w:eastAsia="zh-CN"/>
              </w:rPr>
              <w:t>处置单位进行处置</w:t>
            </w:r>
            <w:r>
              <w:rPr>
                <w:rFonts w:hint="default" w:ascii="Times New Roman" w:hAnsi="Times New Roman" w:eastAsia="宋体" w:cs="Times New Roman"/>
                <w:color w:val="auto"/>
                <w:sz w:val="24"/>
                <w:lang w:val="en-US" w:eastAsia="zh-CN"/>
              </w:rPr>
              <w:t>处理。根据《固体废物分类与代码目录》，其属于“SW59其他工业固体废物”，类别代码为900-009-S59。</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⑥沉淀池污泥</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玻璃钢管道水压试验废水经三级沉淀池处理后循环使用，废水处理过程中会产生沉淀污泥。污泥产生量约为产品总量的0.1‰，本项目年产玻璃钢管道10000t，则污泥产生量约为1t/a。污泥主要成分为石英砂、树脂粉末等，属于一般工业固体废物，污泥集中收集后</w:t>
            </w:r>
            <w:r>
              <w:rPr>
                <w:rFonts w:hint="default" w:ascii="Times New Roman" w:hAnsi="Times New Roman" w:cs="Times New Roman"/>
                <w:color w:val="auto"/>
                <w:sz w:val="24"/>
                <w:lang w:val="en-US" w:eastAsia="zh-CN"/>
              </w:rPr>
              <w:t>交由</w:t>
            </w:r>
            <w:r>
              <w:rPr>
                <w:rFonts w:hint="eastAsia" w:cs="Times New Roman"/>
                <w:color w:val="auto"/>
                <w:sz w:val="24"/>
                <w:lang w:val="en-US" w:eastAsia="zh-CN"/>
              </w:rPr>
              <w:t>一般工业固废</w:t>
            </w:r>
            <w:r>
              <w:rPr>
                <w:rFonts w:hint="default" w:ascii="Times New Roman" w:hAnsi="Times New Roman" w:cs="Times New Roman"/>
                <w:color w:val="auto"/>
                <w:sz w:val="24"/>
                <w:lang w:val="en-US" w:eastAsia="zh-CN"/>
              </w:rPr>
              <w:t>处置单位进行处置</w:t>
            </w:r>
            <w:r>
              <w:rPr>
                <w:rFonts w:hint="default" w:ascii="Times New Roman" w:hAnsi="Times New Roman" w:eastAsia="宋体" w:cs="Times New Roman"/>
                <w:color w:val="auto"/>
                <w:sz w:val="24"/>
                <w:lang w:val="en-US" w:eastAsia="zh-CN"/>
              </w:rPr>
              <w:t>处理。根据《固体废物分类与代码目录》，属于“SW07污泥”类别，代码为900-099-S07。</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（3）危险废物</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本项目产生的危险废物主要为废气治理设备产生的废催化剂、废活性炭、设备维护产生的废机油、废机油桶、废弃含油抹布及劳保用品，以及破损的树脂、固化剂、促进剂包装桶。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①废催化剂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i w:val="0"/>
                <w:iCs w:val="0"/>
                <w:caps w:val="0"/>
                <w:color w:val="0F1115"/>
                <w:spacing w:val="0"/>
                <w:sz w:val="24"/>
                <w:szCs w:val="24"/>
                <w:shd w:val="clear" w:fill="FFFFFF"/>
              </w:rPr>
              <w:t>本项目</w:t>
            </w:r>
            <w:r>
              <w:rPr>
                <w:rFonts w:hint="default" w:ascii="Times New Roman" w:hAnsi="Times New Roman" w:eastAsia="宋体" w:cs="Times New Roman"/>
                <w:i w:val="0"/>
                <w:iCs w:val="0"/>
                <w:caps w:val="0"/>
                <w:color w:val="0F1115"/>
                <w:spacing w:val="0"/>
                <w:sz w:val="24"/>
                <w:szCs w:val="24"/>
                <w:shd w:val="clear" w:fill="FFFFFF"/>
                <w:lang w:val="en-US" w:eastAsia="zh-CN"/>
              </w:rPr>
              <w:t>有机</w:t>
            </w:r>
            <w:r>
              <w:rPr>
                <w:rFonts w:hint="default" w:ascii="Times New Roman" w:hAnsi="Times New Roman" w:eastAsia="宋体" w:cs="Times New Roman"/>
                <w:i w:val="0"/>
                <w:iCs w:val="0"/>
                <w:caps w:val="0"/>
                <w:color w:val="0F1115"/>
                <w:spacing w:val="0"/>
                <w:sz w:val="24"/>
                <w:szCs w:val="24"/>
                <w:shd w:val="clear" w:fill="FFFFFF"/>
              </w:rPr>
              <w:t>废气采用“活性炭吸附/脱附+催化燃烧”装置处理，催化燃烧单元使用镍基催化剂（载体含镍，主要活性组分为镍及其氧化物）。依据企业提供的资料，催化剂装载量为0.2</w:t>
            </w:r>
            <w:r>
              <w:rPr>
                <w:rFonts w:hint="default" w:ascii="Times New Roman" w:hAnsi="Times New Roman" w:eastAsia="宋体" w:cs="Times New Roman"/>
                <w:i w:val="0"/>
                <w:iCs w:val="0"/>
                <w:caps w:val="0"/>
                <w:color w:val="0F1115"/>
                <w:spacing w:val="0"/>
                <w:sz w:val="24"/>
                <w:szCs w:val="24"/>
                <w:shd w:val="clear" w:fill="FFFFFF"/>
                <w:lang w:eastAsia="zh-CN"/>
              </w:rPr>
              <w:t>m</w:t>
            </w:r>
            <w:r>
              <w:rPr>
                <w:rFonts w:hint="default" w:ascii="Times New Roman" w:hAnsi="Times New Roman" w:eastAsia="宋体" w:cs="Times New Roman"/>
                <w:i w:val="0"/>
                <w:iCs w:val="0"/>
                <w:caps w:val="0"/>
                <w:color w:val="0F1115"/>
                <w:spacing w:val="0"/>
                <w:sz w:val="24"/>
                <w:szCs w:val="24"/>
                <w:shd w:val="clear" w:fill="FFFFFF"/>
                <w:vertAlign w:val="superscript"/>
                <w:lang w:eastAsia="zh-CN"/>
              </w:rPr>
              <w:t>3</w:t>
            </w:r>
            <w:r>
              <w:rPr>
                <w:rFonts w:hint="default" w:ascii="Times New Roman" w:hAnsi="Times New Roman" w:eastAsia="宋体" w:cs="Times New Roman"/>
                <w:i w:val="0"/>
                <w:iCs w:val="0"/>
                <w:caps w:val="0"/>
                <w:color w:val="0F1115"/>
                <w:spacing w:val="0"/>
                <w:sz w:val="24"/>
                <w:szCs w:val="24"/>
                <w:shd w:val="clear" w:fill="FFFFFF"/>
              </w:rPr>
              <w:t>，催化剂每2年更换一次，每次更换量约0.112t，折算年产生量约0.056t/a。</w:t>
            </w:r>
            <w:r>
              <w:rPr>
                <w:rFonts w:hint="default" w:ascii="Times New Roman" w:hAnsi="Times New Roman" w:eastAsia="宋体" w:cs="Times New Roman"/>
                <w:color w:val="auto"/>
                <w:sz w:val="24"/>
                <w:lang w:val="en-US" w:eastAsia="zh-CN"/>
              </w:rPr>
              <w:t>本项目共设置2台活性炭吸附/脱附+催化燃烧装置</w:t>
            </w:r>
            <w:r>
              <w:rPr>
                <w:rFonts w:hint="default" w:ascii="Times New Roman" w:hAnsi="Times New Roman" w:cs="Times New Roman"/>
                <w:color w:val="auto"/>
                <w:sz w:val="24"/>
                <w:lang w:val="en-US" w:eastAsia="zh-CN"/>
              </w:rPr>
              <w:t>废催化剂</w:t>
            </w:r>
            <w:r>
              <w:rPr>
                <w:rFonts w:hint="default" w:ascii="Times New Roman" w:hAnsi="Times New Roman" w:eastAsia="宋体" w:cs="Times New Roman"/>
                <w:color w:val="auto"/>
                <w:sz w:val="24"/>
                <w:lang w:val="en-US" w:eastAsia="zh-CN"/>
              </w:rPr>
              <w:t>产生量为</w:t>
            </w:r>
            <w:r>
              <w:rPr>
                <w:rFonts w:hint="default" w:ascii="Times New Roman" w:hAnsi="Times New Roman" w:cs="Times New Roman"/>
                <w:color w:val="auto"/>
                <w:sz w:val="24"/>
                <w:lang w:val="en-US" w:eastAsia="zh-CN"/>
              </w:rPr>
              <w:t>0.112</w:t>
            </w:r>
            <w:r>
              <w:rPr>
                <w:rFonts w:hint="default" w:ascii="Times New Roman" w:hAnsi="Times New Roman" w:eastAsia="宋体" w:cs="Times New Roman"/>
                <w:color w:val="auto"/>
                <w:sz w:val="24"/>
                <w:lang w:val="en-US" w:eastAsia="zh-CN"/>
              </w:rPr>
              <w:t>t/a。</w:t>
            </w:r>
            <w:r>
              <w:rPr>
                <w:rFonts w:hint="default" w:ascii="Times New Roman" w:hAnsi="Times New Roman" w:eastAsia="宋体" w:cs="Times New Roman"/>
                <w:i w:val="0"/>
                <w:iCs w:val="0"/>
                <w:caps w:val="0"/>
                <w:color w:val="0F1115"/>
                <w:spacing w:val="0"/>
                <w:sz w:val="24"/>
                <w:szCs w:val="24"/>
                <w:shd w:val="clear" w:fill="FFFFFF"/>
              </w:rPr>
              <w:t>根据《国家危险废物名录》（2025年版），废催化剂属于“HW46含镍废物”，废物代码为900-037-46。废催化剂采用闭口密封罐或内衬防漏袋的编织袋封装，暂存于危废贮存点，定期委托有资质单位处置。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②废活性炭</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有机废气采用活性炭吸附/脱附+催化燃烧装置处理。活性炭吸附单元在长期运行过程中会因吸附容量下降而需定期更换。根据《吸附法工业有机废气治理工程技术规范》（HJ2026-2013）相关要求：当吸附有机废气量超过吸附容量的</w:t>
            </w:r>
            <w:r>
              <w:rPr>
                <w:rFonts w:hint="default" w:ascii="Times New Roman" w:hAnsi="Times New Roman" w:cs="Times New Roman"/>
                <w:color w:val="auto"/>
                <w:sz w:val="24"/>
                <w:lang w:val="en-US" w:eastAsia="zh-CN"/>
              </w:rPr>
              <w:t>60%</w:t>
            </w:r>
            <w:r>
              <w:rPr>
                <w:rFonts w:hint="default" w:ascii="Times New Roman" w:hAnsi="Times New Roman" w:eastAsia="宋体" w:cs="Times New Roman"/>
                <w:color w:val="auto"/>
                <w:sz w:val="24"/>
                <w:lang w:val="en-US" w:eastAsia="zh-CN"/>
              </w:rPr>
              <w:t>时，必须更换活性炭。根据设备厂家提供资料，企业活性炭箱装填蜂窝活性炭约1.0</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，选择碘值不低于800mg/g的活性炭，活性炭密度以550kg/</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计算，单次装填量约0.55t。活性炭经多次吸附-脱附循环后吸附容量下降，计划每年更换一次，年更换量为0.55t，本项目共设置2台活性炭吸附/脱附+催化燃烧装置</w:t>
            </w:r>
            <w:r>
              <w:rPr>
                <w:rFonts w:hint="default" w:ascii="Times New Roman" w:hAnsi="Times New Roman" w:cs="Times New Roman"/>
                <w:color w:val="auto"/>
                <w:sz w:val="24"/>
                <w:lang w:val="en-US" w:eastAsia="zh-CN"/>
              </w:rPr>
              <w:t>，废</w:t>
            </w:r>
            <w:r>
              <w:rPr>
                <w:rFonts w:hint="default" w:ascii="Times New Roman" w:hAnsi="Times New Roman" w:eastAsia="宋体" w:cs="Times New Roman"/>
                <w:color w:val="auto"/>
                <w:sz w:val="24"/>
                <w:lang w:val="en-US" w:eastAsia="zh-CN"/>
              </w:rPr>
              <w:t>活性炭产生量为1.1t/a。根据《国家危险废物名录》（2025年版），废活性炭属于“HW49其他废物”，废物代码为900-039-49。废活性炭从吸附装置取出后应立即采用闭口PP桶或内衬防漏袋的编织袋密封包装，减少VOCs逸散，包装后及时转移至危废贮存点暂存，定期委托有资质单位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③废弃含油抹布、劳保用品</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项目设备保养及检修过程中会产生废弃含油抹布、劳保用品，产生量约0.01t/a。根据《国家危险废物名录》（2025年版），废弃含油抹布、劳保用品属于“HW49其他废物”，废物代码为900-041-49，但列入《国家危险废物名录》附录“危险废物豁免管理清单”，全过程不按危险废物管理。废弃含油抹布、劳保用品采用闭口PE塑料袋密封包装，不得混入生活垃圾，暂存于危废贮存点，定期交由有资质的单位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④废机油及废润滑油</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项目各生产设备机械检修期间会产生废机油、废润滑油等，产生量约0.3t/a。根据《国家危险废物名录》（2025年版），废机油属于“HW08废矿物油与含矿物油废物”，废物代码为900-214-08。废机油采用200L闭口钢桶或HDPE闭口桶盛装（充装量不得超过容器容积的3/4），底部设防泄漏托盘，暂存于危废贮存点，定期委托有资质单位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⑤废机油桶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废机油桶产生量约为0.03t/a。根据《国家危险废物名录》（2025年版），废机油桶属于“HW08废矿物油与含矿物油废物”，废物代码为900-249-08。废机油桶加盖密封，堆叠稳定，暂存于危废贮存点，定期委托有资质单位处置。</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⑥废包装桶（树脂、固化剂、促进剂包装桶）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采用的不饱和聚酯树脂、固化剂、促进剂为桶装包装。根据建设单位提供资料，废包装桶的产生量约为3.0t/a。根据《关于用于原始用途的含有或直接沾染危险废物的包装物是否属于危险废物问题的复函》（环函〔2014〕126号）的规定：</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完好无损、可直接用于原始用途的包装桶，由原厂家回收后不按固体废物管理，但须建立回收及回用台账，临时堆放期间按危化品包装物进行管理；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破损、无法用于原始用途的包装桶，须按危险废物进行管理，废物类别为HW49（900-041-49），暂存于危废贮存点，委托有资质单位处置。</w:t>
            </w:r>
          </w:p>
          <w:p>
            <w:pPr>
              <w:keepNext w:val="0"/>
              <w:keepLines w:val="0"/>
              <w:pageBreakBefore w:val="0"/>
              <w:widowControl w:val="0"/>
              <w:kinsoku/>
              <w:wordWrap/>
              <w:overflowPunct/>
              <w:topLinePunct w:val="0"/>
              <w:autoSpaceDE/>
              <w:autoSpaceDN/>
              <w:bidi w:val="0"/>
              <w:adjustRightInd w:val="0"/>
              <w:snapToGrid w:val="0"/>
              <w:spacing w:line="372"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4.2固体废物产生及处置情况汇总</w:t>
            </w:r>
          </w:p>
          <w:p>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imes New Roman" w:hAnsi="Times New Roman" w:eastAsia="宋体" w:cs="Times New Roman"/>
                <w:b/>
                <w:bCs/>
                <w:color w:val="auto"/>
                <w:sz w:val="24"/>
                <w:vertAlign w:val="baseline"/>
                <w:lang w:val="en-US" w:eastAsia="zh-CN"/>
              </w:rPr>
            </w:pPr>
            <w:r>
              <w:rPr>
                <w:rFonts w:hint="default" w:ascii="Times New Roman" w:hAnsi="Times New Roman" w:eastAsia="宋体" w:cs="Times New Roman"/>
                <w:b/>
                <w:bCs/>
                <w:color w:val="auto"/>
                <w:sz w:val="24"/>
                <w:lang w:val="en-US" w:eastAsia="zh-CN"/>
              </w:rPr>
              <w:t>表4-1</w:t>
            </w:r>
            <w:r>
              <w:rPr>
                <w:rFonts w:hint="default" w:ascii="Times New Roman" w:hAnsi="Times New Roman" w:cs="Times New Roman"/>
                <w:b/>
                <w:bCs/>
                <w:color w:val="auto"/>
                <w:sz w:val="24"/>
                <w:lang w:val="en-US" w:eastAsia="zh-CN"/>
              </w:rPr>
              <w:t xml:space="preserve">7       </w:t>
            </w:r>
            <w:r>
              <w:rPr>
                <w:rFonts w:hint="default" w:ascii="Times New Roman" w:hAnsi="Times New Roman" w:eastAsia="宋体" w:cs="Times New Roman"/>
                <w:b/>
                <w:bCs/>
                <w:color w:val="auto"/>
                <w:sz w:val="24"/>
                <w:lang w:val="en-US" w:eastAsia="zh-CN"/>
              </w:rPr>
              <w:t>项目运营期固体废物产生及处置情况一览表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1367"/>
              <w:gridCol w:w="1140"/>
              <w:gridCol w:w="1309"/>
              <w:gridCol w:w="1044"/>
              <w:gridCol w:w="947"/>
              <w:gridCol w:w="184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序号</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固废种类</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产生环节</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废物代码</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产生量（t/a）</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属性</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处置措施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生活垃圾</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员工生活</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SW61 900-002-S61</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2.25（二期新增）</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生活垃圾</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厂内统一收集后由环卫部门定期清运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废包装材料</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原料拆包、产品包装</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SW17 900-005-S17</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1.5</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一般工业固废</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集中收集后外售废品回收站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3</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不合格产品</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检验工序</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SW17 900-003-S17</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30</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一般工业固废</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外售相关回收单位综合利用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4</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边角料</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切割修整</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SW17 900-003-S17</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55</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一般工业固废</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外售综合利用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5</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除尘灰</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袋式除尘器</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SW59 900-099-S59</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39.204</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一般工业固废</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交由</w:t>
                  </w:r>
                  <w:r>
                    <w:rPr>
                      <w:rFonts w:hint="eastAsia" w:cs="Times New Roman"/>
                      <w:color w:val="auto"/>
                      <w:sz w:val="18"/>
                      <w:szCs w:val="18"/>
                      <w:lang w:val="en-US" w:eastAsia="zh-CN"/>
                    </w:rPr>
                    <w:t>一般工业固废</w:t>
                  </w:r>
                  <w:r>
                    <w:rPr>
                      <w:rFonts w:hint="default" w:ascii="Times New Roman" w:hAnsi="Times New Roman" w:cs="Times New Roman"/>
                      <w:color w:val="auto"/>
                      <w:sz w:val="18"/>
                      <w:szCs w:val="18"/>
                      <w:lang w:val="en-US" w:eastAsia="zh-CN"/>
                    </w:rPr>
                    <w:t>处置单位进行处置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6</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废滤袋</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袋式除尘器</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SW59 900-009-S59</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0.05</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一般工业固废</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交由</w:t>
                  </w:r>
                  <w:r>
                    <w:rPr>
                      <w:rFonts w:hint="eastAsia" w:cs="Times New Roman"/>
                      <w:color w:val="auto"/>
                      <w:sz w:val="18"/>
                      <w:szCs w:val="18"/>
                      <w:lang w:val="en-US" w:eastAsia="zh-CN"/>
                    </w:rPr>
                    <w:t>一般工业固废</w:t>
                  </w:r>
                  <w:r>
                    <w:rPr>
                      <w:rFonts w:hint="default" w:ascii="Times New Roman" w:hAnsi="Times New Roman" w:cs="Times New Roman"/>
                      <w:color w:val="auto"/>
                      <w:sz w:val="18"/>
                      <w:szCs w:val="18"/>
                      <w:lang w:val="en-US" w:eastAsia="zh-CN"/>
                    </w:rPr>
                    <w:t>处置单位进行处置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7</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沉淀池污泥</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试压废水沉淀</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SW07 900-099-S07</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1.0</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一般工业固废</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交由</w:t>
                  </w:r>
                  <w:r>
                    <w:rPr>
                      <w:rFonts w:hint="eastAsia" w:cs="Times New Roman"/>
                      <w:color w:val="auto"/>
                      <w:sz w:val="18"/>
                      <w:szCs w:val="18"/>
                      <w:lang w:val="en-US" w:eastAsia="zh-CN"/>
                    </w:rPr>
                    <w:t>一般工业固废</w:t>
                  </w:r>
                  <w:r>
                    <w:rPr>
                      <w:rFonts w:hint="default" w:ascii="Times New Roman" w:hAnsi="Times New Roman" w:cs="Times New Roman"/>
                      <w:color w:val="auto"/>
                      <w:sz w:val="18"/>
                      <w:szCs w:val="18"/>
                      <w:lang w:val="en-US" w:eastAsia="zh-CN"/>
                    </w:rPr>
                    <w:t>处置单位进行处置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vertAlign w:val="baseline"/>
                      <w:lang w:val="en-US" w:eastAsia="zh-CN"/>
                    </w:rPr>
                    <w:t>8</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废催化剂</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废气治理（催化燃烧）</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HW46 900-037-46</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0.112</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密封罐封装，委托有资质单位处置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vertAlign w:val="baseline"/>
                      <w:lang w:val="en-US" w:eastAsia="zh-CN"/>
                    </w:rPr>
                    <w:t>9</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废活性炭</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废气治理（活性炭吸附）</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HW49 900-039-49</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1.1</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闭口容器密封包装，委托有资质单位处置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vertAlign w:val="baseline"/>
                      <w:lang w:val="en-US" w:eastAsia="zh-CN"/>
                    </w:rPr>
                    <w:t>10</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废弃含油抹布、劳保用品</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设备维护</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HW49 900-041-49</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0.01</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危险废物（豁免）</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密封包装，委托有资质单位处置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vertAlign w:val="baseline"/>
                      <w:lang w:val="en-US" w:eastAsia="zh-CN"/>
                    </w:rPr>
                    <w:t>11</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废机油</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设备维护</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HW08 900-214-08</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0.3</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闭口钢桶盛装，委托有资质单位处置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vertAlign w:val="baseline"/>
                      <w:lang w:val="en-US" w:eastAsia="zh-CN"/>
                    </w:rPr>
                    <w:t>12</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废机油桶</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设备维护</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HW08 900-249-08</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0.03</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加盖密封，委托有资质单位处置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7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vertAlign w:val="baseline"/>
                      <w:lang w:val="en-US" w:eastAsia="zh-CN"/>
                    </w:rPr>
                    <w:t>13</w:t>
                  </w:r>
                </w:p>
              </w:tc>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废包装桶（树脂/固化剂/促进剂）</w:t>
                  </w:r>
                </w:p>
              </w:tc>
              <w:tc>
                <w:tcPr>
                  <w:tcW w:w="70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原料包装</w:t>
                  </w:r>
                </w:p>
              </w:tc>
              <w:tc>
                <w:tcPr>
                  <w:tcW w:w="8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HW49 900-041-49</w:t>
                  </w:r>
                </w:p>
              </w:tc>
              <w:tc>
                <w:tcPr>
                  <w:tcW w:w="64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1.0</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危险废物/可回收</w:t>
                  </w:r>
                </w:p>
              </w:tc>
              <w:tc>
                <w:tcPr>
                  <w:tcW w:w="11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完好无损的由原厂家回收；破损的按危废委托处置</w:t>
                  </w:r>
                </w:p>
              </w:tc>
            </w:tr>
          </w:tbl>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表4-1</w:t>
            </w:r>
            <w:r>
              <w:rPr>
                <w:rFonts w:hint="default" w:ascii="Times New Roman" w:hAnsi="Times New Roman" w:cs="Times New Roman"/>
                <w:b/>
                <w:bCs/>
                <w:color w:val="auto"/>
                <w:sz w:val="24"/>
                <w:lang w:val="en-US" w:eastAsia="zh-CN"/>
              </w:rPr>
              <w:t xml:space="preserve">8              </w:t>
            </w:r>
            <w:r>
              <w:rPr>
                <w:rFonts w:hint="default" w:ascii="Times New Roman" w:hAnsi="Times New Roman" w:eastAsia="宋体" w:cs="Times New Roman"/>
                <w:b/>
                <w:bCs/>
                <w:color w:val="auto"/>
                <w:sz w:val="24"/>
                <w:lang w:val="en-US" w:eastAsia="zh-CN"/>
              </w:rPr>
              <w:t>危险废物汇总表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14"/>
              <w:gridCol w:w="769"/>
              <w:gridCol w:w="1129"/>
              <w:gridCol w:w="817"/>
              <w:gridCol w:w="629"/>
              <w:gridCol w:w="415"/>
              <w:gridCol w:w="861"/>
              <w:gridCol w:w="660"/>
              <w:gridCol w:w="459"/>
              <w:gridCol w:w="493"/>
              <w:gridCol w:w="14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序号</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危险废物名称</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危险废物类别/代码</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产生量（t/a）</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产生工序/装置</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形态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主要成分</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有害成分</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产废周期</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危险特性</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污染防治措施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废催化剂</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HW46 900-037-46</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0.112</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活性炭吸附/脱附+催化燃烧</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固态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贵金属（铂、钯）</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重金属</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2年</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T</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闭口密封罐封装；暂存于危废贮存点，分区存放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废活性炭</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HW49 900-039-49</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1.1</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活性炭吸附/脱附+催化燃烧</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固态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有机物</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有机物</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1年</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T</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内衬防漏袋编织袋或闭口PP桶密封包装，取出后立即封装；分区存放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3</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废弃含油抹布、劳保用品</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HW49 900-041-49</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0.01</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设备维护</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固态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废油</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废油</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1年</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闭口PE塑料袋密封包装（豁免）；分区存放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4</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废机油</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HW08 900-214-08</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0.3</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设备维护</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液态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废矿物油</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废矿物油</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1年</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T/I</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200L闭口钢桶或HDPE闭口桶盛装，充装量≤3/4，底部设防泄漏托盘；分区存放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5</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废机油桶</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HW08 900-249-08</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0.03</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设备维护</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固态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废油</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废油</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1年</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T/I</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加盖密封，堆叠稳定；分区存放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25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6</w:t>
                  </w:r>
                </w:p>
              </w:tc>
              <w:tc>
                <w:tcPr>
                  <w:tcW w:w="4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废包装桶</w:t>
                  </w:r>
                </w:p>
              </w:tc>
              <w:tc>
                <w:tcPr>
                  <w:tcW w:w="69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HW49 900-041-49</w:t>
                  </w:r>
                </w:p>
              </w:tc>
              <w:tc>
                <w:tcPr>
                  <w:tcW w:w="5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3.0</w:t>
                  </w:r>
                </w:p>
              </w:tc>
              <w:tc>
                <w:tcPr>
                  <w:tcW w:w="3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原料包装</w:t>
                  </w:r>
                </w:p>
              </w:tc>
              <w:tc>
                <w:tcPr>
                  <w:tcW w:w="25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固态</w:t>
                  </w:r>
                </w:p>
              </w:tc>
              <w:tc>
                <w:tcPr>
                  <w:tcW w:w="531"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树脂、固化剂</w:t>
                  </w:r>
                </w:p>
              </w:tc>
              <w:tc>
                <w:tcPr>
                  <w:tcW w:w="407"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树脂、固化剂</w:t>
                  </w:r>
                </w:p>
              </w:tc>
              <w:tc>
                <w:tcPr>
                  <w:tcW w:w="28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1年</w:t>
                  </w:r>
                </w:p>
              </w:tc>
              <w:tc>
                <w:tcPr>
                  <w:tcW w:w="3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T</w:t>
                  </w:r>
                </w:p>
              </w:tc>
              <w:tc>
                <w:tcPr>
                  <w:tcW w:w="8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完好无损的由原厂家回收；破损的加盖密封后按危废管理；分区存放</w:t>
                  </w:r>
                </w:p>
              </w:tc>
            </w:tr>
          </w:tbl>
          <w:p>
            <w:pPr>
              <w:keepNext w:val="0"/>
              <w:keepLines w:val="0"/>
              <w:pageBreakBefore w:val="0"/>
              <w:widowControl w:val="0"/>
              <w:kinsoku/>
              <w:wordWrap/>
              <w:overflowPunct/>
              <w:topLinePunct w:val="0"/>
              <w:autoSpaceDE/>
              <w:autoSpaceDN/>
              <w:bidi w:val="0"/>
              <w:adjustRightInd w:val="0"/>
              <w:snapToGrid w:val="0"/>
              <w:spacing w:line="372"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4.3固体废物环境影响分析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本项目固体废物采取分类收集、分区暂存、分别处置的方式：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一般工业固体废物：废包装材料、不合格产品、边角料外售综合利用；除尘灰、废滤袋、沉淀池污泥</w:t>
            </w:r>
            <w:r>
              <w:rPr>
                <w:rFonts w:hint="default" w:ascii="Times New Roman" w:hAnsi="Times New Roman" w:cs="Times New Roman"/>
                <w:color w:val="auto"/>
                <w:sz w:val="24"/>
                <w:lang w:val="en-US" w:eastAsia="zh-CN"/>
              </w:rPr>
              <w:t>交由</w:t>
            </w:r>
            <w:r>
              <w:rPr>
                <w:rFonts w:hint="eastAsia" w:cs="Times New Roman"/>
                <w:color w:val="auto"/>
                <w:sz w:val="24"/>
                <w:lang w:val="en-US" w:eastAsia="zh-CN"/>
              </w:rPr>
              <w:t>一般工业固废</w:t>
            </w:r>
            <w:r>
              <w:rPr>
                <w:rFonts w:hint="default" w:ascii="Times New Roman" w:hAnsi="Times New Roman" w:cs="Times New Roman"/>
                <w:color w:val="auto"/>
                <w:sz w:val="24"/>
                <w:lang w:val="en-US" w:eastAsia="zh-CN"/>
              </w:rPr>
              <w:t>处置单位进行</w:t>
            </w:r>
            <w:r>
              <w:rPr>
                <w:rFonts w:hint="default" w:ascii="Times New Roman" w:hAnsi="Times New Roman" w:eastAsia="宋体" w:cs="Times New Roman"/>
                <w:color w:val="auto"/>
                <w:sz w:val="24"/>
                <w:lang w:val="en-US" w:eastAsia="zh-CN"/>
              </w:rPr>
              <w:t>处置。各类一般工业固体废物均得到合理处置，不外排。</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危险废物：各类危险废物分类分区暂存于危废贮存点，定期委托有资质单位处置。危废贮存点按照《危险废物贮存污染控制标准》（GB18597-2023）要求建设和管理，采取防风、防雨、防晒、防渗漏等“四防”措施，地面进行重点防渗处理（渗透系数≤10</w:t>
            </w:r>
            <w:r>
              <w:rPr>
                <w:rFonts w:hint="default" w:ascii="Times New Roman" w:hAnsi="Times New Roman" w:cs="Times New Roman"/>
                <w:color w:val="auto"/>
                <w:sz w:val="24"/>
                <w:vertAlign w:val="superscript"/>
                <w:lang w:val="en-US" w:eastAsia="zh-CN"/>
              </w:rPr>
              <w:t>-10</w:t>
            </w:r>
            <w:r>
              <w:rPr>
                <w:rFonts w:hint="default" w:ascii="Times New Roman" w:hAnsi="Times New Roman" w:eastAsia="宋体" w:cs="Times New Roman"/>
                <w:color w:val="auto"/>
                <w:sz w:val="24"/>
                <w:lang w:val="en-US" w:eastAsia="zh-CN"/>
              </w:rPr>
              <w:t>cm/s），不同类别的危险废物分区存放并设置明显的标识牌。</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生活垃圾：分类收集后由环卫部门定期清运。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综上所述，本项目固体废物的处置遵循了分类原则、回收利用原则、减量化原则、无害化原则及分散与集中相结合的原则，将不同类型的固体废物进行分类收集、分类处理，产生的各种固体废物均得到了合理处置，并做好固废的日常管理工作，不会对周围环境造成二次污染。因此，本项目产生的固体废物对项目所在区域环境影响不大。</w:t>
            </w:r>
          </w:p>
          <w:p>
            <w:pPr>
              <w:keepNext w:val="0"/>
              <w:keepLines w:val="0"/>
              <w:pageBreakBefore w:val="0"/>
              <w:widowControl w:val="0"/>
              <w:kinsoku/>
              <w:wordWrap/>
              <w:overflowPunct/>
              <w:topLinePunct w:val="0"/>
              <w:autoSpaceDE/>
              <w:autoSpaceDN/>
              <w:bidi w:val="0"/>
              <w:adjustRightInd w:val="0"/>
              <w:snapToGrid w:val="0"/>
              <w:spacing w:line="372"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4.4一般工业固体废物管理要求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本项目产生的一般工业固体废物按照《一般工业固体废物贮存和填埋污染控制标准》（GB18599-2020）中相应要求进行管理。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w:t>
            </w:r>
            <w:r>
              <w:rPr>
                <w:rFonts w:hint="eastAsia" w:cs="Times New Roman"/>
                <w:color w:val="auto"/>
                <w:sz w:val="24"/>
                <w:lang w:val="en-US" w:eastAsia="zh-CN"/>
              </w:rPr>
              <w:t>一般工业固废</w:t>
            </w:r>
            <w:r>
              <w:rPr>
                <w:rFonts w:hint="default" w:ascii="Times New Roman" w:hAnsi="Times New Roman" w:eastAsia="宋体" w:cs="Times New Roman"/>
                <w:color w:val="auto"/>
                <w:sz w:val="24"/>
                <w:lang w:val="en-US" w:eastAsia="zh-CN"/>
              </w:rPr>
              <w:t>贮存场所要求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①采用库房、包装工具（罐、桶、包装袋等）贮存一般工业固体废物的，贮存过程应满足相应防渗漏、防雨淋、防扬尘等环境保护要求；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②贮存场地基础应按一般工业固体废物类别分级防渗：第II类一般工业固体废物贮存场地防渗技术需等效黏土防渗层Mb≥1.5m，K≤1×10⁻⁷cm/s；第I类一般工业固体废物贮存场地可适当降低防渗要求；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③不同种类的一般工业固体废物应分类存放，设置明显的标识牌。</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（2）委托贮存/利用/处置环节污染防控技术要求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对于委托其他单位运输、利用、处置的一般工业固体废物，应落实《中华人民共和国固体废物污染环境防治法》等法律法规要求，对受托方的主体资格和技术能力进行核实，依法签订书面合同，在合同中约定污染防治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（3）台账管理要求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排污许可证申请与核发技术规范工业固体废物（试行）》（HJ1200-2021）要求，排污单位应建立环境管理台账制度，本项目运营期应根据《一般工业固体废物管理台账制定指南（试行）》建立台账记录制度，主要要求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①一般工业固体废物管理台账实施分级管理，文件中附表1至附表3为必填信息，主要记录固体废物的基础信息及流向信息，所有产废单位均应当填写；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②附表4至附表7为选填信息，主要用于记录固体废物在产废单位内部的贮存、利用、处置等信息，填写时应确保固体废物的来源信息、流向信息完整准确；根据固体废物产生周期，可按日或按班次、批次填写；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③产废单位填写台账记录表时，应当根据自身固体废物产生情况，从附表8中选择对应的固体废物种类和代码，并根据固体废物种类确定固体废物的具体名称；</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④台账记录表各表单的负责人对记录信息的真实性、完整性和规范性负责；</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⑤产废单位应当设立专人负责台账的管理与归档，一般工业固体废物管理台账保存期限不少于5年。</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4.5危险废物贮存依托可行性分析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本项目危险废物贮存依托一期工程已建的危废贮存点（位于1#厂房东北角，面积约12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）。以下从贮存能力、设施条件、现有问题及整改措施、管理要求等方面分析依托可行性。</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4.5.1贮存能力可行性分析</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表4-1</w:t>
            </w:r>
            <w:r>
              <w:rPr>
                <w:rFonts w:hint="default" w:ascii="Times New Roman" w:hAnsi="Times New Roman" w:cs="Times New Roman"/>
                <w:b/>
                <w:bCs/>
                <w:color w:val="auto"/>
                <w:sz w:val="24"/>
                <w:lang w:val="en-US" w:eastAsia="zh-CN"/>
              </w:rPr>
              <w:t xml:space="preserve">9             </w:t>
            </w:r>
            <w:r>
              <w:rPr>
                <w:rFonts w:hint="default" w:ascii="Times New Roman" w:hAnsi="Times New Roman" w:eastAsia="宋体" w:cs="Times New Roman"/>
                <w:b/>
                <w:bCs/>
                <w:color w:val="auto"/>
                <w:sz w:val="24"/>
                <w:lang w:val="en-US" w:eastAsia="zh-CN"/>
              </w:rPr>
              <w:t>危废贮存点贮存能力核算一览表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229"/>
              <w:gridCol w:w="1192"/>
              <w:gridCol w:w="1255"/>
              <w:gridCol w:w="970"/>
              <w:gridCol w:w="947"/>
              <w:gridCol w:w="114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危险废物名称</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废物类别/代码</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现有工程产生量（t/a）</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本项目新增产生量（t/a）</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全厂产生量（t/a）</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贮存方式</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所需贮存面积（</w:t>
                  </w:r>
                  <w:r>
                    <w:rPr>
                      <w:rFonts w:hint="default" w:ascii="Times New Roman" w:hAnsi="Times New Roman" w:cs="Times New Roman"/>
                      <w:color w:val="auto"/>
                      <w:sz w:val="18"/>
                      <w:szCs w:val="18"/>
                      <w:lang w:val="en-US" w:eastAsia="zh-CN"/>
                    </w:rPr>
                    <w:t>m</w:t>
                  </w:r>
                  <w:r>
                    <w:rPr>
                      <w:rFonts w:hint="default" w:ascii="Times New Roman" w:hAnsi="Times New Roman" w:cs="Times New Roman"/>
                      <w:color w:val="auto"/>
                      <w:sz w:val="18"/>
                      <w:szCs w:val="18"/>
                      <w:vertAlign w:val="superscript"/>
                      <w:lang w:val="en-US" w:eastAsia="zh-CN"/>
                    </w:rPr>
                    <w:t>2</w:t>
                  </w:r>
                  <w:r>
                    <w:rPr>
                      <w:rFonts w:hint="default" w:ascii="Times New Roman" w:hAnsi="Times New Roman" w:eastAsia="宋体" w:cs="Times New Roman"/>
                      <w:color w:val="auto"/>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废活性炭</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HW49 900-039-49</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0.5</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1.1</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1.6</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密闭容器/编织袋</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废催化剂</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HW46 900-037-46</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0.112</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0.112</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密封罐</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废机油</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HW08 900-214-08</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0.003</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0.3</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0.303</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闭口钢桶</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废液压油</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HW08 900-214-08</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0.003</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0.003</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闭口钢桶</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废机油桶</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HW08 900-249-08</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0.03</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0.03</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加盖密封</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废弃含油抹布、劳保用品</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HW49 900-041-49</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0.01</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0.01</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密封塑料袋</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废包装桶（树脂/固化剂/促进剂）</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HW49 900-041-49</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0</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3.0</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cs="Times New Roman"/>
                      <w:color w:val="auto"/>
                      <w:sz w:val="18"/>
                      <w:szCs w:val="18"/>
                      <w:lang w:val="en-US" w:eastAsia="zh-CN"/>
                    </w:rPr>
                    <w:t>3.0</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加盖密封/原厂回收</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4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合计</w:t>
                  </w:r>
                </w:p>
              </w:tc>
              <w:tc>
                <w:tcPr>
                  <w:tcW w:w="75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73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77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59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58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w:t>
                  </w:r>
                </w:p>
              </w:tc>
              <w:tc>
                <w:tcPr>
                  <w:tcW w:w="70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约10.5</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现有危废贮存点面积12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，全厂危险废物所需贮存面积约10.5</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，可满足全厂危废暂存需求。危废做到及时转移处置，不在贮存点内长时间暂存（暂存时间不超过1年），贮存能力充足。</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4.5.2现有危废贮存点存在问题</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根据《危险废物贮存污染控制标准》（GB18597-2023）相关要求，对照现有危废贮存点现场情况，存在以下问题：</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 xml:space="preserve">20           </w:t>
            </w:r>
            <w:r>
              <w:rPr>
                <w:rFonts w:hint="default" w:ascii="Times New Roman" w:hAnsi="Times New Roman" w:eastAsia="宋体" w:cs="Times New Roman"/>
                <w:b/>
                <w:bCs/>
                <w:color w:val="auto"/>
                <w:sz w:val="24"/>
                <w:lang w:val="en-US" w:eastAsia="zh-CN"/>
              </w:rPr>
              <w:t>现有危废贮存点存在问题一览表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30"/>
              <w:gridCol w:w="3619"/>
              <w:gridCol w:w="1871"/>
              <w:gridCol w:w="21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序号</w:t>
                  </w:r>
                </w:p>
              </w:tc>
              <w:tc>
                <w:tcPr>
                  <w:tcW w:w="223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标准要求（GB18597-2023）</w:t>
                  </w:r>
                </w:p>
              </w:tc>
              <w:tc>
                <w:tcPr>
                  <w:tcW w:w="1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现有危废贮存点存在问题</w:t>
                  </w:r>
                </w:p>
              </w:tc>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整改要求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w:t>
                  </w:r>
                </w:p>
              </w:tc>
              <w:tc>
                <w:tcPr>
                  <w:tcW w:w="223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第4.6条：不同贮存分区之间应采取隔离措施。隔离措施可根据危险废物特性采用过道、隔板或隔墙等方式</w:t>
                  </w:r>
                </w:p>
              </w:tc>
              <w:tc>
                <w:tcPr>
                  <w:tcW w:w="1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未严格按危废类别分区存放，废活性炭、废机油等不同类别危废混放</w:t>
                  </w:r>
                </w:p>
              </w:tc>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按危废类别划分固定存放区域，采用过道或隔板进行物理隔离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w:t>
                  </w:r>
                </w:p>
              </w:tc>
              <w:tc>
                <w:tcPr>
                  <w:tcW w:w="223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第4.7条：贮存设施或贮存分区内地面、墙面裙脚、堵截泄漏的围堰、接触危险废物的隔板和墙体等应采用坚固的材料建造，表面无裂缝</w:t>
                  </w:r>
                </w:p>
              </w:tc>
              <w:tc>
                <w:tcPr>
                  <w:tcW w:w="1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分区未明确划分，标识标牌设置不够规范，未达到分区管理要求</w:t>
                  </w:r>
                </w:p>
              </w:tc>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完善各分区标识，设置明显的分区界线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3</w:t>
                  </w:r>
                </w:p>
              </w:tc>
              <w:tc>
                <w:tcPr>
                  <w:tcW w:w="223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第8.1条：危险废物识别标志的设置应符合HJ1276-2022的规定</w:t>
                  </w:r>
                </w:p>
              </w:tc>
              <w:tc>
                <w:tcPr>
                  <w:tcW w:w="1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部分区域标识标牌不够规范，未按要求设置分区标志及警示标志</w:t>
                  </w:r>
                </w:p>
              </w:tc>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按照HJ1276-2022规范设置危险废物识别标志、分区标志及警示标志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65"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w:t>
                  </w:r>
                </w:p>
              </w:tc>
              <w:tc>
                <w:tcPr>
                  <w:tcW w:w="223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第5.1条：贮存设施应满足防风、防雨、防晒、防渗漏的“四防”要求</w:t>
                  </w:r>
                </w:p>
              </w:tc>
              <w:tc>
                <w:tcPr>
                  <w:tcW w:w="115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基本满足“四防”要求，但需结合分区整改进一步完善</w:t>
                  </w:r>
                </w:p>
              </w:tc>
              <w:tc>
                <w:tcPr>
                  <w:tcW w:w="1346"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结合分区调整，完善各分区的“四防”措施</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一期工程危废贮存点面积12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，基本满足现有危废暂存需求，但未严格按危废类别分区存放，部分区域标识标牌不够规范，与《危险废物贮存污染控制标准》（GB18597-2023）中关于贮存分区及标识管理的相关要求存在差距。</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4.5.3整改措施</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本次二期工程对现有危废贮存点进行规范化整改，具体整改措施如下：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①分区规范化</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按要求划分废活性炭区、废催化剂区、废机油区、废包装桶区等各危废存放区域，不同分区之间采用过道或隔板进行物理隔离，避免不同类别危废混放。各分区地面、墙面裙脚等采用坚固材料建造，表面无裂缝。</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②标识标牌规范化</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按照《危险废物识别标志设置技术规范》（HJ1276-2022）要求，在危废贮存点外设置危险废物贮存设施标志；在各分区醒目位置设置危险废物分区标志；在每个危险废物包装容器上粘贴危险废物标签。标志应包含废物名称、废物类别/代码、主要成分、有害成分、危险特性、产生/收集单位等信息。</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③“四防”及防渗措施完善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严格落实防风、防雨、防晒、防渗漏“四防”要求。危废贮存点地面及墙裙采取重点防渗措施（铺设2mm厚高密度聚乙烯材料，渗透系数≤10</w:t>
            </w:r>
            <w:r>
              <w:rPr>
                <w:rFonts w:hint="default" w:ascii="Times New Roman" w:hAnsi="Times New Roman" w:cs="Times New Roman"/>
                <w:color w:val="auto"/>
                <w:sz w:val="24"/>
                <w:vertAlign w:val="superscript"/>
                <w:lang w:val="en-US" w:eastAsia="zh-CN"/>
              </w:rPr>
              <w:t>-10</w:t>
            </w:r>
            <w:r>
              <w:rPr>
                <w:rFonts w:hint="default" w:ascii="Times New Roman" w:hAnsi="Times New Roman" w:eastAsia="宋体" w:cs="Times New Roman"/>
                <w:color w:val="auto"/>
                <w:sz w:val="24"/>
                <w:lang w:val="en-US" w:eastAsia="zh-CN"/>
              </w:rPr>
              <w:t>cm/s），设置导排沟和收集池，防止液体泄漏造成环境污染。</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④台账及管理制度规范化</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规范危废台账管理，建立危险废物管理台账，详细记录危废名称、来源、数量、入库时间、存放位置、出库时间及接收单位等信息，台账保存期限不少于10年。危废贮存点现场张贴操作规范，作为日常检查和竣工环保验收的重要内容。</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⑤应急物资配备</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危废贮存点配备吸附棉、沙土、灭火器等应急物资，并编制危险废物专项应急预案或现场处置方案。</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4.5.4设施条件符合性分析</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在落实上述整改措施后，危废贮存点各项条件与标准要求对照分析如下：</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vertAlign w:val="baseline"/>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 xml:space="preserve">21         </w:t>
            </w:r>
            <w:r>
              <w:rPr>
                <w:rFonts w:hint="default" w:ascii="Times New Roman" w:hAnsi="Times New Roman" w:eastAsia="宋体" w:cs="Times New Roman"/>
                <w:b/>
                <w:bCs/>
                <w:color w:val="auto"/>
                <w:sz w:val="24"/>
                <w:lang w:val="en-US" w:eastAsia="zh-CN"/>
              </w:rPr>
              <w:t xml:space="preserve"> 整改后危废贮存点条件符合性分析</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056"/>
              <w:gridCol w:w="3360"/>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标准要求</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整改后设施条件</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选址满足生态环境保护法律法规、规划和“三线一单”要求</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位于尉犁工业园区主园区，用地性质为工业用地</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不在生态保护红线区域、永久基本农田等特殊保护区域内</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不涉及上述敏感区域</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采取防风、防雨、防晒、防渗漏“四防”措施</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室内贮存，具备完善的“四防”设施</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地面与裙脚采取防渗措施（渗透系数≤10⁻¹⁰cm/s）</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铺设2mm厚高密度聚乙烯材料，保证无渗漏缝</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不同贮存分区之间采取隔离措施</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采用过道或隔板进行分区隔离</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设置液体泄漏堵截设施</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设置导排沟、收集池及防泄漏托盘</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50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设置危险废物识别标志</w:t>
                  </w:r>
                </w:p>
              </w:tc>
              <w:tc>
                <w:tcPr>
                  <w:tcW w:w="2073"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按要求设置贮存设施标志、分区标志及标签</w:t>
                  </w:r>
                </w:p>
              </w:tc>
              <w:tc>
                <w:tcPr>
                  <w:tcW w:w="424"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18"/>
                      <w:szCs w:val="18"/>
                      <w:vertAlign w:val="baseline"/>
                      <w:lang w:val="en-US" w:eastAsia="zh-CN"/>
                    </w:rPr>
                  </w:pPr>
                  <w:r>
                    <w:rPr>
                      <w:rFonts w:hint="default" w:ascii="Times New Roman" w:hAnsi="Times New Roman" w:eastAsia="宋体" w:cs="Times New Roman"/>
                      <w:color w:val="auto"/>
                      <w:sz w:val="18"/>
                      <w:szCs w:val="18"/>
                      <w:lang w:val="en-US" w:eastAsia="zh-CN"/>
                    </w:rPr>
                    <w:t>符合</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4.5.5依托可行性结论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综上所述，现有危废贮存点在贮存能力、设施条件、环境管理等方面均能满足本项目的依托需求：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贮存能力：12</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面积可容纳全厂危废暂存，所需面积约10.5</w:t>
            </w:r>
            <w:r>
              <w:rPr>
                <w:rFonts w:hint="default" w:ascii="Times New Roman" w:hAnsi="Times New Roman" w:cs="Times New Roman"/>
                <w:color w:val="auto"/>
                <w:sz w:val="24"/>
                <w:lang w:val="en-US" w:eastAsia="zh-CN"/>
              </w:rPr>
              <w:t>m</w:t>
            </w:r>
            <w:r>
              <w:rPr>
                <w:rFonts w:hint="default" w:ascii="Times New Roman" w:hAnsi="Times New Roman"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，满足要求；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设施条件：现有危废贮存点在落实整改措施后，符合GB18597-2023选址及建设要求，具备完善的防渗、分区、泄漏收集等设施；</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管理要求：整改后管理制度健全，依托《危险废物转移管理办法》及HJ2025相关要求进行全流程管理。</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cs="Times New Roman"/>
                <w:b/>
                <w:bCs/>
                <w:color w:val="auto"/>
                <w:kern w:val="0"/>
                <w:sz w:val="24"/>
                <w:highlight w:val="none"/>
                <w:lang w:val="en-US" w:eastAsia="zh-CN"/>
              </w:rPr>
            </w:pPr>
            <w:r>
              <w:rPr>
                <w:rFonts w:hint="default" w:ascii="Times New Roman" w:hAnsi="Times New Roman" w:cs="Times New Roman"/>
                <w:b/>
                <w:bCs/>
                <w:color w:val="auto"/>
                <w:kern w:val="0"/>
                <w:sz w:val="24"/>
                <w:highlight w:val="none"/>
                <w:lang w:val="en-US" w:eastAsia="zh-CN"/>
              </w:rPr>
              <w:t>5、地下水、</w:t>
            </w:r>
            <w:r>
              <w:rPr>
                <w:rFonts w:hint="default" w:ascii="Times New Roman" w:hAnsi="Times New Roman" w:cs="Times New Roman"/>
                <w:b/>
                <w:bCs/>
                <w:color w:val="auto"/>
                <w:spacing w:val="-10"/>
                <w:sz w:val="24"/>
              </w:rPr>
              <w:t>土壤</w:t>
            </w:r>
            <w:r>
              <w:rPr>
                <w:rFonts w:hint="default" w:ascii="Times New Roman" w:hAnsi="Times New Roman" w:cs="Times New Roman"/>
                <w:b/>
                <w:bCs/>
                <w:color w:val="auto"/>
                <w:kern w:val="0"/>
                <w:sz w:val="24"/>
                <w:highlight w:val="none"/>
                <w:lang w:val="en-US" w:eastAsia="zh-CN"/>
              </w:rPr>
              <w:t>环境影响分析和保护措施</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5.1地下水、土壤污染途径</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lang w:val="en-US" w:eastAsia="zh-CN"/>
              </w:rPr>
              <w:t>根据工程分析，</w:t>
            </w:r>
            <w:r>
              <w:rPr>
                <w:rFonts w:hint="default" w:ascii="Times New Roman" w:hAnsi="Times New Roman" w:eastAsia="宋体" w:cs="Times New Roman"/>
                <w:color w:val="auto"/>
                <w:sz w:val="24"/>
                <w:szCs w:val="32"/>
              </w:rPr>
              <w:t>本项目</w:t>
            </w:r>
            <w:r>
              <w:rPr>
                <w:rFonts w:hint="default" w:ascii="Times New Roman" w:hAnsi="Times New Roman" w:eastAsia="宋体" w:cs="Times New Roman"/>
                <w:color w:val="auto"/>
                <w:sz w:val="24"/>
                <w:szCs w:val="32"/>
                <w:lang w:val="en-US" w:eastAsia="zh-CN"/>
              </w:rPr>
              <w:t>土壤、地下水污染源及影响途径见下表。</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表4-24            项目土壤及地下水污染途径表</w:t>
            </w:r>
          </w:p>
          <w:tbl>
            <w:tblPr>
              <w:tblStyle w:val="3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75"/>
              <w:gridCol w:w="2275"/>
              <w:gridCol w:w="395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7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污染源</w:t>
                  </w:r>
                </w:p>
              </w:tc>
              <w:tc>
                <w:tcPr>
                  <w:tcW w:w="227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污染物类型</w:t>
                  </w:r>
                </w:p>
              </w:tc>
              <w:tc>
                <w:tcPr>
                  <w:tcW w:w="3962"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污染途径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7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生产废气排放</w:t>
                  </w:r>
                </w:p>
              </w:tc>
              <w:tc>
                <w:tcPr>
                  <w:tcW w:w="227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rPr>
                    <w:t>VOCs</w:t>
                  </w:r>
                  <w:r>
                    <w:rPr>
                      <w:rFonts w:hint="default" w:ascii="Times New Roman" w:hAnsi="Times New Roman" w:cs="Times New Roman"/>
                      <w:b w:val="0"/>
                      <w:bCs w:val="0"/>
                      <w:color w:val="auto"/>
                      <w:sz w:val="18"/>
                      <w:szCs w:val="18"/>
                      <w:lang w:eastAsia="zh-CN"/>
                    </w:rPr>
                    <w:t>、</w:t>
                  </w:r>
                  <w:r>
                    <w:rPr>
                      <w:rFonts w:hint="default" w:ascii="Times New Roman" w:hAnsi="Times New Roman" w:cs="Times New Roman"/>
                      <w:b w:val="0"/>
                      <w:bCs w:val="0"/>
                      <w:color w:val="auto"/>
                      <w:sz w:val="18"/>
                      <w:szCs w:val="18"/>
                      <w:lang w:val="en-US" w:eastAsia="zh-CN"/>
                    </w:rPr>
                    <w:t>苯乙烯、臭气浓度颗粒物</w:t>
                  </w:r>
                </w:p>
              </w:tc>
              <w:tc>
                <w:tcPr>
                  <w:tcW w:w="3962"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大气沉降，污染土壤，间接渗入污染地下水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7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危险废物贮存点</w:t>
                  </w:r>
                </w:p>
              </w:tc>
              <w:tc>
                <w:tcPr>
                  <w:tcW w:w="227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有机污染物</w:t>
                  </w:r>
                </w:p>
              </w:tc>
              <w:tc>
                <w:tcPr>
                  <w:tcW w:w="3962"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危废泄漏，地面漫流、垂直入渗污染土壤，间接入渗污染地下水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7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原料库（不饱和聚酯树脂）</w:t>
                  </w:r>
                </w:p>
              </w:tc>
              <w:tc>
                <w:tcPr>
                  <w:tcW w:w="227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有机污染物</w:t>
                  </w:r>
                </w:p>
              </w:tc>
              <w:tc>
                <w:tcPr>
                  <w:tcW w:w="3962"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泄漏，地面漫流、垂直入渗污染土壤，间接入渗污染地下水</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5.2污染防控措施</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22</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cs="Times New Roman"/>
                <w:b/>
                <w:bCs/>
                <w:color w:val="auto"/>
                <w:sz w:val="24"/>
                <w:lang w:val="en-US" w:eastAsia="zh-CN"/>
              </w:rPr>
              <w:t xml:space="preserve">         </w:t>
            </w:r>
            <w:r>
              <w:rPr>
                <w:rFonts w:hint="default" w:ascii="Times New Roman" w:hAnsi="Times New Roman" w:eastAsia="宋体" w:cs="Times New Roman"/>
                <w:b/>
                <w:bCs/>
                <w:color w:val="auto"/>
                <w:sz w:val="24"/>
                <w:lang w:val="en-US" w:eastAsia="zh-CN"/>
              </w:rPr>
              <w:t xml:space="preserve"> 项目土壤及地下水污染防控措施</w:t>
            </w:r>
          </w:p>
          <w:tbl>
            <w:tblPr>
              <w:tblStyle w:val="3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1256"/>
              <w:gridCol w:w="561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03" w:hRule="atLeast"/>
                <w:jc w:val="center"/>
              </w:trPr>
              <w:tc>
                <w:tcPr>
                  <w:tcW w:w="76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污染源</w:t>
                  </w:r>
                </w:p>
              </w:tc>
              <w:tc>
                <w:tcPr>
                  <w:tcW w:w="775"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污染物类型</w:t>
                  </w:r>
                </w:p>
              </w:tc>
              <w:tc>
                <w:tcPr>
                  <w:tcW w:w="3461"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污染防控措施要求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6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生产废气排放</w:t>
                  </w:r>
                </w:p>
              </w:tc>
              <w:tc>
                <w:tcPr>
                  <w:tcW w:w="775"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VOCs、苯乙烯、臭气浓度、颗粒物</w:t>
                  </w:r>
                </w:p>
              </w:tc>
              <w:tc>
                <w:tcPr>
                  <w:tcW w:w="3461"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按要求建设废气处理设施，确保废气污染物达标排放，减少大气沉降对土壤的影响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76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危险废物贮存点</w:t>
                  </w:r>
                </w:p>
              </w:tc>
              <w:tc>
                <w:tcPr>
                  <w:tcW w:w="775"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有机污染物</w:t>
                  </w:r>
                </w:p>
              </w:tc>
              <w:tc>
                <w:tcPr>
                  <w:tcW w:w="3461"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重点防渗区：参照（GB18597-2023）要求，防渗要求采用水泥地坪硬化，并应于基础上设置大于2mm厚的环氧树脂防渗层（防渗层的渗透系数≤10</w:t>
                  </w:r>
                  <w:r>
                    <w:rPr>
                      <w:rFonts w:hint="default" w:ascii="Times New Roman" w:hAnsi="Times New Roman" w:eastAsia="宋体" w:cs="Times New Roman"/>
                      <w:b w:val="0"/>
                      <w:bCs w:val="0"/>
                      <w:color w:val="auto"/>
                      <w:sz w:val="18"/>
                      <w:szCs w:val="18"/>
                      <w:vertAlign w:val="superscript"/>
                      <w:lang w:val="en-US" w:eastAsia="zh-CN"/>
                    </w:rPr>
                    <w:t>-10</w:t>
                  </w:r>
                  <w:r>
                    <w:rPr>
                      <w:rFonts w:hint="default" w:ascii="Times New Roman" w:hAnsi="Times New Roman" w:eastAsia="宋体" w:cs="Times New Roman"/>
                      <w:b w:val="0"/>
                      <w:bCs w:val="0"/>
                      <w:color w:val="auto"/>
                      <w:sz w:val="18"/>
                      <w:szCs w:val="18"/>
                      <w:lang w:val="en-US" w:eastAsia="zh-CN"/>
                    </w:rPr>
                    <w:t>cm/s）</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31" w:hRule="atLeast"/>
                <w:jc w:val="center"/>
              </w:trPr>
              <w:tc>
                <w:tcPr>
                  <w:tcW w:w="76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原料库（不饱和聚酯树脂）、原料贮存</w:t>
                  </w:r>
                </w:p>
              </w:tc>
              <w:tc>
                <w:tcPr>
                  <w:tcW w:w="775"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有机污染物、其他</w:t>
                  </w:r>
                </w:p>
              </w:tc>
              <w:tc>
                <w:tcPr>
                  <w:tcW w:w="3461"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基础必须防渗，确保等效黏土防渗层Mb≥1.5m，防渗层渗透系数小于≤10</w:t>
                  </w:r>
                  <w:r>
                    <w:rPr>
                      <w:rFonts w:hint="default" w:ascii="Times New Roman" w:hAnsi="Times New Roman" w:eastAsia="宋体" w:cs="Times New Roman"/>
                      <w:b w:val="0"/>
                      <w:bCs w:val="0"/>
                      <w:color w:val="auto"/>
                      <w:sz w:val="18"/>
                      <w:szCs w:val="18"/>
                      <w:vertAlign w:val="superscript"/>
                      <w:lang w:val="en-US" w:eastAsia="zh-CN"/>
                    </w:rPr>
                    <w:t>-7</w:t>
                  </w:r>
                  <w:r>
                    <w:rPr>
                      <w:rFonts w:hint="default" w:ascii="Times New Roman" w:hAnsi="Times New Roman" w:eastAsia="宋体" w:cs="Times New Roman"/>
                      <w:b w:val="0"/>
                      <w:bCs w:val="0"/>
                      <w:color w:val="auto"/>
                      <w:sz w:val="18"/>
                      <w:szCs w:val="18"/>
                      <w:lang w:val="en-US" w:eastAsia="zh-CN"/>
                    </w:rPr>
                    <w:t>cm/s</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6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生产、生活区、一般工业固废存放区</w:t>
                  </w:r>
                </w:p>
              </w:tc>
              <w:tc>
                <w:tcPr>
                  <w:tcW w:w="775"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其他</w:t>
                  </w:r>
                </w:p>
              </w:tc>
              <w:tc>
                <w:tcPr>
                  <w:tcW w:w="3461"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参照《一般工业固体废物贮存和填埋污染控制标准》（GB 18599-2020）Ⅱ类场进行设计。一般污染区防渗要求：当天然基础层的渗透系数大于1.0×10</w:t>
                  </w:r>
                  <w:r>
                    <w:rPr>
                      <w:rFonts w:hint="default" w:ascii="Times New Roman" w:hAnsi="Times New Roman" w:eastAsia="宋体" w:cs="Times New Roman"/>
                      <w:b w:val="0"/>
                      <w:bCs w:val="0"/>
                      <w:color w:val="auto"/>
                      <w:sz w:val="18"/>
                      <w:szCs w:val="18"/>
                      <w:vertAlign w:val="superscript"/>
                      <w:lang w:val="en-US" w:eastAsia="zh-CN"/>
                    </w:rPr>
                    <w:t>-7</w:t>
                  </w:r>
                  <w:r>
                    <w:rPr>
                      <w:rFonts w:hint="default" w:ascii="Times New Roman" w:hAnsi="Times New Roman" w:eastAsia="宋体" w:cs="Times New Roman"/>
                      <w:b w:val="0"/>
                      <w:bCs w:val="0"/>
                      <w:color w:val="auto"/>
                      <w:sz w:val="18"/>
                      <w:szCs w:val="18"/>
                      <w:lang w:val="en-US" w:eastAsia="zh-CN"/>
                    </w:rPr>
                    <w:t>cm/s时，应采用天然或人工材料构筑防渗层，防渗层的厚度应相当于渗透系数1.0×10</w:t>
                  </w:r>
                  <w:r>
                    <w:rPr>
                      <w:rFonts w:hint="default" w:ascii="Times New Roman" w:hAnsi="Times New Roman" w:eastAsia="宋体" w:cs="Times New Roman"/>
                      <w:b w:val="0"/>
                      <w:bCs w:val="0"/>
                      <w:color w:val="auto"/>
                      <w:sz w:val="18"/>
                      <w:szCs w:val="18"/>
                      <w:vertAlign w:val="superscript"/>
                      <w:lang w:val="en-US" w:eastAsia="zh-CN"/>
                    </w:rPr>
                    <w:t>-7</w:t>
                  </w:r>
                  <w:r>
                    <w:rPr>
                      <w:rFonts w:hint="default" w:ascii="Times New Roman" w:hAnsi="Times New Roman" w:eastAsia="宋体" w:cs="Times New Roman"/>
                      <w:b w:val="0"/>
                      <w:bCs w:val="0"/>
                      <w:color w:val="auto"/>
                      <w:sz w:val="18"/>
                      <w:szCs w:val="18"/>
                      <w:lang w:val="en-US" w:eastAsia="zh-CN"/>
                    </w:rPr>
                    <w:t>cm/s和厚度1.5m的黏土层的防渗性能。</w:t>
                  </w:r>
                </w:p>
              </w:tc>
            </w:tr>
          </w:tbl>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本项目可造成地下水和土壤污染的单元为</w:t>
            </w:r>
            <w:r>
              <w:rPr>
                <w:rFonts w:hint="default" w:ascii="Times New Roman" w:hAnsi="Times New Roman" w:eastAsia="宋体" w:cs="Times New Roman"/>
                <w:color w:val="auto"/>
                <w:sz w:val="24"/>
                <w:highlight w:val="none"/>
                <w:lang w:val="en-US" w:eastAsia="zh-CN"/>
              </w:rPr>
              <w:t>生产车间</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eastAsia="zh-CN"/>
              </w:rPr>
              <w:t>危险废物贮存点</w:t>
            </w:r>
            <w:r>
              <w:rPr>
                <w:rFonts w:hint="default" w:ascii="Times New Roman" w:hAnsi="Times New Roman" w:eastAsia="宋体" w:cs="Times New Roman"/>
                <w:color w:val="auto"/>
                <w:sz w:val="24"/>
                <w:highlight w:val="none"/>
              </w:rPr>
              <w:t>为防止本项目运行对土壤和地下水造成污染，应在</w:t>
            </w:r>
            <w:r>
              <w:rPr>
                <w:rFonts w:hint="default" w:ascii="Times New Roman" w:hAnsi="Times New Roman" w:eastAsia="宋体" w:cs="Times New Roman"/>
                <w:color w:val="auto"/>
                <w:sz w:val="24"/>
                <w:highlight w:val="none"/>
                <w:lang w:val="en-US" w:eastAsia="zh-CN"/>
              </w:rPr>
              <w:t>生产车间</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eastAsia="zh-CN"/>
              </w:rPr>
              <w:t>危险废物贮存点</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原料仓库区</w:t>
            </w:r>
            <w:r>
              <w:rPr>
                <w:rFonts w:hint="default" w:ascii="Times New Roman" w:hAnsi="Times New Roman" w:eastAsia="宋体" w:cs="Times New Roman"/>
                <w:color w:val="auto"/>
                <w:sz w:val="24"/>
                <w:highlight w:val="none"/>
              </w:rPr>
              <w:t>域等其他可能发生污染物泄漏的区域采取防治措施，阻止污染物渗入土壤中，进而污染地下水。</w:t>
            </w:r>
          </w:p>
          <w:p>
            <w:pPr>
              <w:pStyle w:val="1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jc w:val="left"/>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1</w:t>
            </w:r>
            <w:r>
              <w:rPr>
                <w:rFonts w:hint="default" w:ascii="Times New Roman" w:hAnsi="Times New Roman"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源头控制</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本项目加强原料使用管理，不饱和聚酯树脂的存贮及使用应严格按照操作规程，防止使用过程中的</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跑、冒、滴、漏</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w:t>
            </w:r>
          </w:p>
          <w:p>
            <w:pPr>
              <w:pStyle w:val="1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jc w:val="left"/>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2</w:t>
            </w:r>
            <w:r>
              <w:rPr>
                <w:rFonts w:hint="default" w:ascii="Times New Roman" w:hAnsi="Times New Roman"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末端控制</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为了保护地下水环境，采取措施从源头上控制对地下水的污染。</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1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①</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严格按照国家相关规范要求，工艺装置和固废储存及处理构筑物均采取对应的防渗或防腐措施，防止和降低污染物的跑、冒、滴、漏，将污染物泄</w:t>
            </w:r>
            <w:r>
              <w:rPr>
                <w:rFonts w:hint="default" w:ascii="Times New Roman" w:hAnsi="Times New Roman" w:eastAsia="宋体" w:cs="Times New Roman"/>
                <w:color w:val="auto"/>
                <w:sz w:val="24"/>
                <w:highlight w:val="none"/>
                <w:lang w:val="en-US" w:eastAsia="zh-CN"/>
              </w:rPr>
              <w:t>漏</w:t>
            </w:r>
            <w:r>
              <w:rPr>
                <w:rFonts w:hint="default" w:ascii="Times New Roman" w:hAnsi="Times New Roman" w:eastAsia="宋体" w:cs="Times New Roman"/>
                <w:color w:val="auto"/>
                <w:sz w:val="24"/>
                <w:highlight w:val="none"/>
              </w:rPr>
              <w:t>的环境风险事故降低到最低程度。地面防渗措施满足《环境影响评价技术导则 地下水环境》（HJ610-2016）和《危险废物贮存污染控制标准》（GB18597-20</w:t>
            </w:r>
            <w:r>
              <w:rPr>
                <w:rFonts w:hint="default" w:ascii="Times New Roman" w:hAnsi="Times New Roman" w:cs="Times New Roman"/>
                <w:color w:val="auto"/>
                <w:sz w:val="24"/>
                <w:highlight w:val="none"/>
                <w:lang w:val="en-US" w:eastAsia="zh-CN"/>
              </w:rPr>
              <w:t>23</w:t>
            </w:r>
            <w:r>
              <w:rPr>
                <w:rFonts w:hint="default" w:ascii="Times New Roman" w:hAnsi="Times New Roman" w:eastAsia="宋体" w:cs="Times New Roman"/>
                <w:color w:val="auto"/>
                <w:sz w:val="24"/>
                <w:highlight w:val="none"/>
              </w:rPr>
              <w:t>）规定的防渗要求；</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2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②</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危险废物使用符合规范的容器收集暂存，源头避免了危废贮存渗滤液的产生，同时避免危险废物与地面的直接接触。</w:t>
            </w:r>
          </w:p>
          <w:p>
            <w:pPr>
              <w:pStyle w:val="19"/>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jc w:val="left"/>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3</w:t>
            </w:r>
            <w:r>
              <w:rPr>
                <w:rFonts w:hint="default" w:ascii="Times New Roman" w:hAnsi="Times New Roman"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rPr>
              <w:t>防渗要求</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本项目针对可能发生土壤和地下水影响的区域，采取“分区防治”的策略。根据《环境影响评价技术导则 地下水环境》（HJ610-2016）及《环境影响评价技术导则 土壤环境（试行）》（HJ964-2018）中相关要求，本项目地下水、土壤污染分区防控措施见下表4-26。</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23</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cs="Times New Roman"/>
                <w:b/>
                <w:bCs/>
                <w:color w:val="auto"/>
                <w:sz w:val="24"/>
                <w:lang w:val="en-US" w:eastAsia="zh-CN"/>
              </w:rPr>
              <w:t xml:space="preserve">         </w:t>
            </w:r>
            <w:r>
              <w:rPr>
                <w:rFonts w:hint="default" w:ascii="Times New Roman" w:hAnsi="Times New Roman" w:eastAsia="宋体" w:cs="Times New Roman"/>
                <w:b/>
                <w:bCs/>
                <w:color w:val="auto"/>
                <w:sz w:val="24"/>
                <w:lang w:val="en-US" w:eastAsia="zh-CN"/>
              </w:rPr>
              <w:t xml:space="preserve">   项目分区防控措施</w:t>
            </w:r>
          </w:p>
          <w:tbl>
            <w:tblPr>
              <w:tblStyle w:val="35"/>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705"/>
              <w:gridCol w:w="422"/>
              <w:gridCol w:w="5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5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防渗单元</w:t>
                  </w:r>
                </w:p>
              </w:tc>
              <w:tc>
                <w:tcPr>
                  <w:tcW w:w="260"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防渗分区</w:t>
                  </w:r>
                </w:p>
              </w:tc>
              <w:tc>
                <w:tcPr>
                  <w:tcW w:w="3686"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防渗技术要求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40" w:hRule="atLeast"/>
              </w:trPr>
              <w:tc>
                <w:tcPr>
                  <w:tcW w:w="105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生产、生活区、一般工业固废存放区、原料库、消防水池</w:t>
                  </w:r>
                </w:p>
              </w:tc>
              <w:tc>
                <w:tcPr>
                  <w:tcW w:w="260"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一般防渗区</w:t>
                  </w:r>
                </w:p>
              </w:tc>
              <w:tc>
                <w:tcPr>
                  <w:tcW w:w="3686"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等效粘土防渗层Mb≥1.5m，K≤1×10</w:t>
                  </w:r>
                  <w:r>
                    <w:rPr>
                      <w:rFonts w:hint="default" w:ascii="Times New Roman" w:hAnsi="Times New Roman" w:eastAsia="宋体" w:cs="Times New Roman"/>
                      <w:b w:val="0"/>
                      <w:bCs w:val="0"/>
                      <w:color w:val="auto"/>
                      <w:sz w:val="18"/>
                      <w:szCs w:val="18"/>
                      <w:vertAlign w:val="superscript"/>
                      <w:lang w:val="en-US" w:eastAsia="zh-CN"/>
                    </w:rPr>
                    <w:t>-7</w:t>
                  </w:r>
                  <w:r>
                    <w:rPr>
                      <w:rFonts w:hint="default" w:ascii="Times New Roman" w:hAnsi="Times New Roman" w:eastAsia="宋体" w:cs="Times New Roman"/>
                      <w:b w:val="0"/>
                      <w:bCs w:val="0"/>
                      <w:color w:val="auto"/>
                      <w:sz w:val="18"/>
                      <w:szCs w:val="18"/>
                      <w:lang w:val="en-US" w:eastAsia="zh-CN"/>
                    </w:rPr>
                    <w:t>cm/s</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52"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危险废物贮存点</w:t>
                  </w:r>
                </w:p>
              </w:tc>
              <w:tc>
                <w:tcPr>
                  <w:tcW w:w="260"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重点防渗区</w:t>
                  </w:r>
                </w:p>
              </w:tc>
              <w:tc>
                <w:tcPr>
                  <w:tcW w:w="3686" w:type="pct"/>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基础必须防渗，防渗层为至少1m厚黏土层（渗透系数≤10-7cm/s），或2mm厚高密度聚乙烯，或至少采用水泥地坪硬化，并应于基础上设置大于2mm厚的环氧树脂防渗层（防渗层的渗透系数≤10</w:t>
                  </w:r>
                  <w:r>
                    <w:rPr>
                      <w:rFonts w:hint="default" w:ascii="Times New Roman" w:hAnsi="Times New Roman" w:eastAsia="宋体" w:cs="Times New Roman"/>
                      <w:b w:val="0"/>
                      <w:bCs w:val="0"/>
                      <w:color w:val="auto"/>
                      <w:sz w:val="18"/>
                      <w:szCs w:val="18"/>
                      <w:vertAlign w:val="superscript"/>
                      <w:lang w:val="en-US" w:eastAsia="zh-CN"/>
                    </w:rPr>
                    <w:t>-10</w:t>
                  </w:r>
                  <w:r>
                    <w:rPr>
                      <w:rFonts w:hint="default" w:ascii="Times New Roman" w:hAnsi="Times New Roman" w:eastAsia="宋体" w:cs="Times New Roman"/>
                      <w:b w:val="0"/>
                      <w:bCs w:val="0"/>
                      <w:color w:val="auto"/>
                      <w:sz w:val="18"/>
                      <w:szCs w:val="18"/>
                      <w:lang w:val="en-US" w:eastAsia="zh-CN"/>
                    </w:rPr>
                    <w:t>cm/s）</w:t>
                  </w:r>
                </w:p>
              </w:tc>
            </w:tr>
          </w:tbl>
          <w:p>
            <w:pPr>
              <w:spacing w:line="360" w:lineRule="auto"/>
              <w:ind w:firstLine="480" w:firstLineChars="200"/>
              <w:rPr>
                <w:rFonts w:hint="default" w:ascii="Times New Roman" w:hAnsi="Times New Roman" w:cs="Times New Roman"/>
                <w:color w:val="auto"/>
                <w:sz w:val="24"/>
              </w:rPr>
            </w:pPr>
            <w:r>
              <w:rPr>
                <w:rFonts w:hint="default" w:ascii="Times New Roman" w:hAnsi="Times New Roman" w:eastAsia="宋体" w:cs="Times New Roman"/>
                <w:color w:val="auto"/>
                <w:sz w:val="24"/>
                <w:szCs w:val="24"/>
                <w:lang w:val="en-US" w:eastAsia="zh-CN"/>
              </w:rPr>
              <w:t>综上，本项目针对可能发生土壤和地下水影响的区域，采取</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分区防治</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的策略</w:t>
            </w:r>
            <w:r>
              <w:rPr>
                <w:rFonts w:hint="default" w:ascii="Times New Roman" w:hAnsi="Times New Roman" w:cs="Times New Roman"/>
                <w:color w:val="auto"/>
                <w:sz w:val="24"/>
                <w:szCs w:val="24"/>
                <w:lang w:val="en-US" w:eastAsia="zh-CN"/>
              </w:rPr>
              <w:t>，在</w:t>
            </w:r>
            <w:r>
              <w:rPr>
                <w:rFonts w:hint="default" w:ascii="Times New Roman" w:hAnsi="Times New Roman" w:eastAsia="宋体" w:cs="Times New Roman"/>
                <w:color w:val="auto"/>
                <w:sz w:val="24"/>
                <w:szCs w:val="24"/>
                <w:lang w:val="en-US" w:eastAsia="zh-CN"/>
              </w:rPr>
              <w:t>满足</w:t>
            </w:r>
            <w:r>
              <w:rPr>
                <w:rFonts w:hint="default" w:ascii="Times New Roman" w:hAnsi="Times New Roman" w:eastAsia="宋体" w:cs="Times New Roman"/>
                <w:color w:val="auto"/>
                <w:sz w:val="24"/>
                <w:szCs w:val="24"/>
              </w:rPr>
              <w:t>《环境影响评价技术导则 地下水环境》</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HJ 610-2016</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及《</w:t>
            </w:r>
            <w:r>
              <w:rPr>
                <w:rFonts w:hint="default" w:ascii="Times New Roman" w:hAnsi="Times New Roman" w:eastAsia="宋体" w:cs="Times New Roman"/>
                <w:color w:val="auto"/>
                <w:sz w:val="24"/>
                <w:szCs w:val="24"/>
                <w:lang w:eastAsia="zh-CN"/>
              </w:rPr>
              <w:t>环境影响评价技术导则 土壤环境（试行）</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HJ 964-2018</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中相关要求</w:t>
            </w:r>
            <w:r>
              <w:rPr>
                <w:rFonts w:hint="default" w:ascii="Times New Roman" w:hAnsi="Times New Roman" w:eastAsia="宋体" w:cs="Times New Roman"/>
                <w:color w:val="auto"/>
                <w:sz w:val="24"/>
                <w:szCs w:val="24"/>
                <w:lang w:val="en-US" w:eastAsia="zh-CN"/>
              </w:rPr>
              <w:t>后</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可以减少对</w:t>
            </w:r>
            <w:r>
              <w:rPr>
                <w:rFonts w:hint="default" w:ascii="Times New Roman" w:hAnsi="Times New Roman" w:eastAsia="宋体" w:cs="Times New Roman"/>
                <w:color w:val="auto"/>
                <w:sz w:val="24"/>
                <w:szCs w:val="24"/>
                <w:lang w:eastAsia="zh-CN"/>
              </w:rPr>
              <w:t>土壤及地下水</w:t>
            </w:r>
            <w:r>
              <w:rPr>
                <w:rFonts w:hint="default" w:ascii="Times New Roman" w:hAnsi="Times New Roman" w:eastAsia="宋体" w:cs="Times New Roman"/>
                <w:color w:val="auto"/>
                <w:sz w:val="24"/>
                <w:szCs w:val="24"/>
                <w:lang w:val="en-US" w:eastAsia="zh-CN"/>
              </w:rPr>
              <w:t>的影响</w:t>
            </w:r>
            <w:r>
              <w:rPr>
                <w:rFonts w:hint="default" w:ascii="Times New Roman" w:hAnsi="Times New Roman" w:cs="Times New Roman"/>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lang w:val="en-US" w:eastAsia="zh-CN"/>
              </w:rPr>
            </w:pPr>
            <w:r>
              <w:rPr>
                <w:rFonts w:hint="default" w:ascii="Times New Roman" w:hAnsi="Times New Roman" w:cs="Times New Roman"/>
                <w:b/>
                <w:bCs/>
                <w:color w:val="auto"/>
                <w:sz w:val="24"/>
                <w:lang w:val="en-US" w:eastAsia="zh-CN"/>
              </w:rPr>
              <w:t>6</w:t>
            </w:r>
            <w:r>
              <w:rPr>
                <w:rFonts w:hint="default" w:ascii="Times New Roman" w:hAnsi="Times New Roman" w:eastAsia="宋体" w:cs="Times New Roman"/>
                <w:b/>
                <w:bCs/>
                <w:color w:val="auto"/>
                <w:sz w:val="24"/>
                <w:lang w:val="en-US" w:eastAsia="zh-CN"/>
              </w:rPr>
              <w:t>、环境风险评价</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（1）环境风险物质识别</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根据《建设项目环境风险评价技术导则》（HJ169-2018）附录B，本项目涉及的风险物质及</w:t>
            </w:r>
            <w:r>
              <w:rPr>
                <w:rFonts w:hint="default" w:ascii="Times New Roman" w:hAnsi="Times New Roman" w:eastAsia="宋体" w:cs="Times New Roman"/>
                <w:color w:val="auto"/>
                <w:sz w:val="24"/>
                <w:szCs w:val="24"/>
              </w:rPr>
              <w:t>Q值计算</w:t>
            </w:r>
            <w:r>
              <w:rPr>
                <w:rFonts w:hint="default" w:ascii="Times New Roman" w:hAnsi="Times New Roman" w:eastAsia="宋体" w:cs="Times New Roman"/>
                <w:color w:val="auto"/>
                <w:kern w:val="2"/>
                <w:sz w:val="24"/>
                <w:szCs w:val="24"/>
                <w:lang w:val="en-US" w:eastAsia="zh-CN" w:bidi="ar-SA"/>
              </w:rPr>
              <w:t>见下表。</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24</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cs="Times New Roman"/>
                <w:b/>
                <w:bCs/>
                <w:color w:val="auto"/>
                <w:sz w:val="24"/>
                <w:lang w:val="en-US" w:eastAsia="zh-CN"/>
              </w:rPr>
              <w:t xml:space="preserve">       </w:t>
            </w:r>
            <w:r>
              <w:rPr>
                <w:rFonts w:hint="default" w:ascii="Times New Roman" w:hAnsi="Times New Roman" w:eastAsia="宋体" w:cs="Times New Roman"/>
                <w:b/>
                <w:bCs/>
                <w:color w:val="auto"/>
                <w:sz w:val="24"/>
                <w:lang w:val="en-US" w:eastAsia="zh-CN"/>
              </w:rPr>
              <w:t>项目Q值确定表</w:t>
            </w:r>
          </w:p>
          <w:tbl>
            <w:tblPr>
              <w:tblStyle w:val="3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1943"/>
              <w:gridCol w:w="1225"/>
              <w:gridCol w:w="1432"/>
              <w:gridCol w:w="1151"/>
              <w:gridCol w:w="1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序号</w:t>
                  </w:r>
                </w:p>
              </w:tc>
              <w:tc>
                <w:tcPr>
                  <w:tcW w:w="194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物料名称</w:t>
                  </w:r>
                </w:p>
              </w:tc>
              <w:tc>
                <w:tcPr>
                  <w:tcW w:w="1226"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CAS号</w:t>
                  </w:r>
                </w:p>
              </w:tc>
              <w:tc>
                <w:tcPr>
                  <w:tcW w:w="1435"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扩建后</w:t>
                  </w:r>
                  <w:r>
                    <w:rPr>
                      <w:rFonts w:hint="default" w:ascii="Times New Roman" w:hAnsi="Times New Roman" w:eastAsia="宋体" w:cs="Times New Roman"/>
                      <w:b w:val="0"/>
                      <w:bCs w:val="0"/>
                      <w:color w:val="auto"/>
                      <w:sz w:val="18"/>
                      <w:szCs w:val="18"/>
                      <w:lang w:val="en-US" w:eastAsia="zh-CN"/>
                    </w:rPr>
                    <w:t>厂区最大存在总量qn/t</w:t>
                  </w:r>
                </w:p>
              </w:tc>
              <w:tc>
                <w:tcPr>
                  <w:tcW w:w="1153"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临界量Qn/t</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该种危险物质Q值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w:t>
                  </w:r>
                </w:p>
              </w:tc>
              <w:tc>
                <w:tcPr>
                  <w:tcW w:w="194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不饱和聚酯树脂（苯乙烯）</w:t>
                  </w:r>
                </w:p>
              </w:tc>
              <w:tc>
                <w:tcPr>
                  <w:tcW w:w="1226"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100-42-5</w:t>
                  </w:r>
                </w:p>
              </w:tc>
              <w:tc>
                <w:tcPr>
                  <w:tcW w:w="1435"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9</w:t>
                  </w:r>
                </w:p>
              </w:tc>
              <w:tc>
                <w:tcPr>
                  <w:tcW w:w="1153"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10</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0.9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2</w:t>
                  </w:r>
                </w:p>
              </w:tc>
              <w:tc>
                <w:tcPr>
                  <w:tcW w:w="194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废机油</w:t>
                  </w:r>
                </w:p>
              </w:tc>
              <w:tc>
                <w:tcPr>
                  <w:tcW w:w="1226"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w:t>
                  </w:r>
                </w:p>
              </w:tc>
              <w:tc>
                <w:tcPr>
                  <w:tcW w:w="1435"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0.3</w:t>
                  </w:r>
                </w:p>
              </w:tc>
              <w:tc>
                <w:tcPr>
                  <w:tcW w:w="1153"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2500</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0.00012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3</w:t>
                  </w:r>
                </w:p>
              </w:tc>
              <w:tc>
                <w:tcPr>
                  <w:tcW w:w="194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废活性炭</w:t>
                  </w:r>
                </w:p>
              </w:tc>
              <w:tc>
                <w:tcPr>
                  <w:tcW w:w="1226"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w:t>
                  </w:r>
                </w:p>
              </w:tc>
              <w:tc>
                <w:tcPr>
                  <w:tcW w:w="1435"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1.1</w:t>
                  </w:r>
                </w:p>
              </w:tc>
              <w:tc>
                <w:tcPr>
                  <w:tcW w:w="1153"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100</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0.0055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4</w:t>
                  </w:r>
                </w:p>
              </w:tc>
              <w:tc>
                <w:tcPr>
                  <w:tcW w:w="194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固化剂（过氧化甲乙酮）</w:t>
                  </w:r>
                </w:p>
              </w:tc>
              <w:tc>
                <w:tcPr>
                  <w:tcW w:w="1226"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w:t>
                  </w:r>
                </w:p>
              </w:tc>
              <w:tc>
                <w:tcPr>
                  <w:tcW w:w="1435"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2</w:t>
                  </w:r>
                </w:p>
              </w:tc>
              <w:tc>
                <w:tcPr>
                  <w:tcW w:w="1153"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50</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0.04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w:t>
                  </w:r>
                </w:p>
              </w:tc>
              <w:tc>
                <w:tcPr>
                  <w:tcW w:w="1948"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促进剂（异辛酸钴）</w:t>
                  </w:r>
                </w:p>
              </w:tc>
              <w:tc>
                <w:tcPr>
                  <w:tcW w:w="1226"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w:t>
                  </w:r>
                </w:p>
              </w:tc>
              <w:tc>
                <w:tcPr>
                  <w:tcW w:w="1435"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w:t>
                  </w:r>
                </w:p>
              </w:tc>
              <w:tc>
                <w:tcPr>
                  <w:tcW w:w="1153"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50</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0.02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30" w:type="dxa"/>
                  <w:gridSpan w:val="5"/>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w:t>
                  </w:r>
                </w:p>
              </w:tc>
              <w:tc>
                <w:tcPr>
                  <w:tcW w:w="1689" w:type="dxa"/>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cs="Times New Roman"/>
                      <w:b w:val="0"/>
                      <w:bCs w:val="0"/>
                      <w:color w:val="auto"/>
                      <w:sz w:val="18"/>
                      <w:szCs w:val="18"/>
                      <w:lang w:val="en-US" w:eastAsia="zh-CN"/>
                    </w:rPr>
                    <w:t>0.96562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19" w:type="dxa"/>
                  <w:gridSpan w:val="6"/>
                  <w:tcBorders>
                    <w:tl2br w:val="nil"/>
                    <w:tr2bl w:val="nil"/>
                  </w:tcBorders>
                  <w:noWrap w:val="0"/>
                  <w:vAlign w:val="center"/>
                </w:tcPr>
                <w:p>
                  <w:pPr>
                    <w:keepNext w:val="0"/>
                    <w:keepLines w:val="0"/>
                    <w:pageBreakBefore w:val="0"/>
                    <w:widowControl w:val="0"/>
                    <w:suppressLineNumbers w:val="0"/>
                    <w:tabs>
                      <w:tab w:val="left" w:pos="2790"/>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注：根据不饱和聚酯树脂的MSDS可知，本项目不饱和聚酯树脂中的苯乙烯含量为40%~50%，本项目取最大值50%，不饱和聚酯树脂</w:t>
                  </w:r>
                  <w:r>
                    <w:rPr>
                      <w:rFonts w:hint="default" w:ascii="Times New Roman" w:hAnsi="Times New Roman" w:cs="Times New Roman"/>
                      <w:b w:val="0"/>
                      <w:bCs w:val="0"/>
                      <w:color w:val="auto"/>
                      <w:sz w:val="18"/>
                      <w:szCs w:val="18"/>
                      <w:lang w:val="en-US" w:eastAsia="zh-CN"/>
                    </w:rPr>
                    <w:t>扩建后</w:t>
                  </w:r>
                  <w:r>
                    <w:rPr>
                      <w:rFonts w:hint="default" w:ascii="Times New Roman" w:hAnsi="Times New Roman" w:eastAsia="宋体" w:cs="Times New Roman"/>
                      <w:b w:val="0"/>
                      <w:bCs w:val="0"/>
                      <w:color w:val="auto"/>
                      <w:sz w:val="18"/>
                      <w:szCs w:val="18"/>
                      <w:lang w:val="en-US" w:eastAsia="zh-CN"/>
                    </w:rPr>
                    <w:t>厂区最大暂存量为</w:t>
                  </w:r>
                  <w:r>
                    <w:rPr>
                      <w:rFonts w:hint="default" w:ascii="Times New Roman" w:hAnsi="Times New Roman" w:cs="Times New Roman"/>
                      <w:b w:val="0"/>
                      <w:bCs w:val="0"/>
                      <w:color w:val="auto"/>
                      <w:sz w:val="18"/>
                      <w:szCs w:val="18"/>
                      <w:lang w:val="en-US" w:eastAsia="zh-CN"/>
                    </w:rPr>
                    <w:t>18</w:t>
                  </w:r>
                  <w:r>
                    <w:rPr>
                      <w:rFonts w:hint="default" w:ascii="Times New Roman" w:hAnsi="Times New Roman" w:eastAsia="宋体" w:cs="Times New Roman"/>
                      <w:b w:val="0"/>
                      <w:bCs w:val="0"/>
                      <w:color w:val="auto"/>
                      <w:sz w:val="18"/>
                      <w:szCs w:val="18"/>
                      <w:lang w:val="en-US" w:eastAsia="zh-CN"/>
                    </w:rPr>
                    <w:t>t，则苯乙烯最大贮存量为</w:t>
                  </w:r>
                  <w:r>
                    <w:rPr>
                      <w:rFonts w:hint="default" w:ascii="Times New Roman" w:hAnsi="Times New Roman" w:cs="Times New Roman"/>
                      <w:b w:val="0"/>
                      <w:bCs w:val="0"/>
                      <w:color w:val="auto"/>
                      <w:sz w:val="18"/>
                      <w:szCs w:val="18"/>
                      <w:lang w:val="en-US" w:eastAsia="zh-CN"/>
                    </w:rPr>
                    <w:t>9</w:t>
                  </w:r>
                  <w:r>
                    <w:rPr>
                      <w:rFonts w:hint="default" w:ascii="Times New Roman" w:hAnsi="Times New Roman" w:eastAsia="宋体" w:cs="Times New Roman"/>
                      <w:b w:val="0"/>
                      <w:bCs w:val="0"/>
                      <w:color w:val="auto"/>
                      <w:sz w:val="18"/>
                      <w:szCs w:val="18"/>
                      <w:lang w:val="en-US" w:eastAsia="zh-CN"/>
                    </w:rPr>
                    <w:t>t。固化剂及促进剂临界量参照HJ169-2018表B.2“健康危险急性毒性物质（类别2）”取50t。</w:t>
                  </w:r>
                </w:p>
              </w:tc>
            </w:tr>
          </w:tbl>
          <w:p>
            <w:pPr>
              <w:keepNext w:val="0"/>
              <w:keepLines w:val="0"/>
              <w:pageBreakBefore w:val="0"/>
              <w:widowControl w:val="0"/>
              <w:suppressLineNumbers w:val="0"/>
              <w:kinsoku/>
              <w:wordWrap/>
              <w:overflowPunct/>
              <w:topLinePunct w:val="0"/>
              <w:autoSpaceDE/>
              <w:autoSpaceDN/>
              <w:bidi w:val="0"/>
              <w:adjustRightInd w:val="0"/>
              <w:snapToGrid/>
              <w:spacing w:before="157" w:beforeLines="5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由计算结果可知，项目Q＜1，该项目环境风险潜势为Ⅰ，仅开展简单分析。</w:t>
            </w:r>
          </w:p>
          <w:p>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本项目主要危险物质环境风险识别如下。</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w:t>
            </w:r>
            <w:r>
              <w:rPr>
                <w:rFonts w:hint="default" w:ascii="Times New Roman" w:hAnsi="Times New Roman" w:cs="Times New Roman"/>
                <w:b/>
                <w:bCs/>
                <w:color w:val="auto"/>
                <w:sz w:val="24"/>
                <w:lang w:val="en-US" w:eastAsia="zh-CN"/>
              </w:rPr>
              <w:t>25</w:t>
            </w:r>
            <w:r>
              <w:rPr>
                <w:rFonts w:hint="default" w:ascii="Times New Roman" w:hAnsi="Times New Roman" w:eastAsia="宋体" w:cs="Times New Roman"/>
                <w:b/>
                <w:bCs/>
                <w:color w:val="auto"/>
                <w:sz w:val="24"/>
                <w:lang w:val="en-US" w:eastAsia="zh-CN"/>
              </w:rPr>
              <w:t xml:space="preserve">  环境风险识别表</w:t>
            </w:r>
          </w:p>
          <w:tbl>
            <w:tblPr>
              <w:tblStyle w:val="35"/>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285"/>
              <w:gridCol w:w="438"/>
              <w:gridCol w:w="441"/>
              <w:gridCol w:w="1451"/>
              <w:gridCol w:w="589"/>
              <w:gridCol w:w="3099"/>
              <w:gridCol w:w="18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c>
                <w:tcPr>
                  <w:tcW w:w="176"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序号</w:t>
                  </w:r>
                </w:p>
              </w:tc>
              <w:tc>
                <w:tcPr>
                  <w:tcW w:w="270"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危险单元</w:t>
                  </w:r>
                </w:p>
              </w:tc>
              <w:tc>
                <w:tcPr>
                  <w:tcW w:w="272"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风险源</w:t>
                  </w:r>
                </w:p>
              </w:tc>
              <w:tc>
                <w:tcPr>
                  <w:tcW w:w="895"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主要危险物质</w:t>
                  </w:r>
                </w:p>
              </w:tc>
              <w:tc>
                <w:tcPr>
                  <w:tcW w:w="363"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环境风险类型</w:t>
                  </w:r>
                </w:p>
              </w:tc>
              <w:tc>
                <w:tcPr>
                  <w:tcW w:w="1911"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环境影响途径</w:t>
                  </w:r>
                </w:p>
              </w:tc>
              <w:tc>
                <w:tcPr>
                  <w:tcW w:w="1110"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可能受影响的环境敏感目标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67" w:hRule="atLeast"/>
              </w:trPr>
              <w:tc>
                <w:tcPr>
                  <w:tcW w:w="176" w:type="pct"/>
                  <w:vMerge w:val="restar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lang w:eastAsia="zh-CN"/>
                    </w:rPr>
                  </w:pPr>
                  <w:r>
                    <w:rPr>
                      <w:rFonts w:hint="default" w:ascii="Times New Roman" w:hAnsi="Times New Roman" w:cs="Times New Roman"/>
                      <w:b w:val="0"/>
                      <w:bCs w:val="0"/>
                      <w:snapToGrid w:val="0"/>
                      <w:color w:val="auto"/>
                      <w:spacing w:val="-11"/>
                      <w:sz w:val="18"/>
                      <w:szCs w:val="18"/>
                      <w:lang w:val="en-US" w:eastAsia="zh-CN"/>
                    </w:rPr>
                    <w:t>1</w:t>
                  </w:r>
                </w:p>
              </w:tc>
              <w:tc>
                <w:tcPr>
                  <w:tcW w:w="270" w:type="pct"/>
                  <w:vMerge w:val="restar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lang w:val="en-US" w:eastAsia="zh-CN"/>
                    </w:rPr>
                    <w:t>原料贮存</w:t>
                  </w:r>
                </w:p>
              </w:tc>
              <w:tc>
                <w:tcPr>
                  <w:tcW w:w="272" w:type="pct"/>
                  <w:vMerge w:val="restar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lang w:val="en-US" w:eastAsia="zh-CN"/>
                    </w:rPr>
                  </w:pPr>
                  <w:r>
                    <w:rPr>
                      <w:rFonts w:hint="default" w:ascii="Times New Roman" w:hAnsi="Times New Roman" w:eastAsia="宋体" w:cs="Times New Roman"/>
                      <w:b w:val="0"/>
                      <w:bCs w:val="0"/>
                      <w:snapToGrid w:val="0"/>
                      <w:color w:val="auto"/>
                      <w:spacing w:val="-11"/>
                      <w:sz w:val="18"/>
                      <w:szCs w:val="18"/>
                      <w:lang w:val="en-US" w:eastAsia="zh-CN"/>
                    </w:rPr>
                    <w:t>原料库</w:t>
                  </w:r>
                </w:p>
              </w:tc>
              <w:tc>
                <w:tcPr>
                  <w:tcW w:w="895" w:type="pct"/>
                  <w:vMerge w:val="restart"/>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lang w:val="en-US" w:eastAsia="zh-CN"/>
                    </w:rPr>
                  </w:pPr>
                  <w:r>
                    <w:rPr>
                      <w:rFonts w:hint="default" w:ascii="Times New Roman" w:hAnsi="Times New Roman" w:cs="Times New Roman"/>
                      <w:b w:val="0"/>
                      <w:bCs w:val="0"/>
                      <w:color w:val="auto"/>
                      <w:sz w:val="18"/>
                      <w:szCs w:val="18"/>
                      <w:lang w:val="en-US" w:eastAsia="zh-CN"/>
                    </w:rPr>
                    <w:t>不饱和聚酯树脂、固化剂、促进剂、聚氯乙烯粉</w:t>
                  </w:r>
                </w:p>
              </w:tc>
              <w:tc>
                <w:tcPr>
                  <w:tcW w:w="363"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泄漏</w:t>
                  </w:r>
                </w:p>
              </w:tc>
              <w:tc>
                <w:tcPr>
                  <w:tcW w:w="1911"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土壤、地下水</w:t>
                  </w:r>
                </w:p>
              </w:tc>
              <w:tc>
                <w:tcPr>
                  <w:tcW w:w="1110"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泄漏处及地下水下游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267" w:hRule="atLeast"/>
              </w:trPr>
              <w:tc>
                <w:tcPr>
                  <w:tcW w:w="176" w:type="pct"/>
                  <w:vMerge w:val="continue"/>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cs="Times New Roman"/>
                      <w:b w:val="0"/>
                      <w:bCs w:val="0"/>
                      <w:color w:val="auto"/>
                      <w:sz w:val="18"/>
                      <w:szCs w:val="18"/>
                    </w:rPr>
                  </w:pPr>
                </w:p>
              </w:tc>
              <w:tc>
                <w:tcPr>
                  <w:tcW w:w="270" w:type="pct"/>
                  <w:vMerge w:val="continue"/>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cs="Times New Roman"/>
                      <w:b w:val="0"/>
                      <w:bCs w:val="0"/>
                      <w:color w:val="auto"/>
                      <w:sz w:val="18"/>
                      <w:szCs w:val="18"/>
                    </w:rPr>
                  </w:pPr>
                </w:p>
              </w:tc>
              <w:tc>
                <w:tcPr>
                  <w:tcW w:w="272" w:type="pct"/>
                  <w:vMerge w:val="continue"/>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cs="Times New Roman"/>
                      <w:b w:val="0"/>
                      <w:bCs w:val="0"/>
                      <w:color w:val="auto"/>
                      <w:sz w:val="18"/>
                      <w:szCs w:val="18"/>
                    </w:rPr>
                  </w:pPr>
                </w:p>
              </w:tc>
              <w:tc>
                <w:tcPr>
                  <w:tcW w:w="895" w:type="pct"/>
                  <w:vMerge w:val="continue"/>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cs="Times New Roman"/>
                      <w:b w:val="0"/>
                      <w:bCs w:val="0"/>
                      <w:color w:val="auto"/>
                      <w:sz w:val="18"/>
                      <w:szCs w:val="18"/>
                    </w:rPr>
                  </w:pPr>
                </w:p>
              </w:tc>
              <w:tc>
                <w:tcPr>
                  <w:tcW w:w="363"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lang w:val="en-US" w:eastAsia="zh-CN"/>
                    </w:rPr>
                  </w:pPr>
                  <w:r>
                    <w:rPr>
                      <w:rFonts w:hint="default" w:ascii="Times New Roman" w:hAnsi="Times New Roman" w:cs="Times New Roman"/>
                      <w:b w:val="0"/>
                      <w:bCs w:val="0"/>
                      <w:snapToGrid w:val="0"/>
                      <w:color w:val="auto"/>
                      <w:spacing w:val="-11"/>
                      <w:sz w:val="18"/>
                      <w:szCs w:val="18"/>
                      <w:lang w:val="en-US" w:eastAsia="zh-CN"/>
                    </w:rPr>
                    <w:t>火灾</w:t>
                  </w:r>
                </w:p>
              </w:tc>
              <w:tc>
                <w:tcPr>
                  <w:tcW w:w="1911"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lang w:val="en-US"/>
                    </w:rPr>
                  </w:pPr>
                  <w:r>
                    <w:rPr>
                      <w:rFonts w:hint="default" w:ascii="Times New Roman" w:hAnsi="Times New Roman" w:eastAsia="宋体" w:cs="Times New Roman"/>
                      <w:b w:val="0"/>
                      <w:bCs w:val="0"/>
                      <w:snapToGrid w:val="0"/>
                      <w:color w:val="auto"/>
                      <w:spacing w:val="-11"/>
                      <w:sz w:val="18"/>
                      <w:szCs w:val="18"/>
                      <w:lang w:val="en-US" w:eastAsia="zh-CN"/>
                    </w:rPr>
                    <w:t>火灾次生/伴生污染物将对大气造成污染污染周围大气</w:t>
                  </w:r>
                  <w:r>
                    <w:rPr>
                      <w:rFonts w:hint="default" w:ascii="Times New Roman" w:hAnsi="Times New Roman" w:cs="Times New Roman"/>
                      <w:b w:val="0"/>
                      <w:bCs w:val="0"/>
                      <w:snapToGrid w:val="0"/>
                      <w:color w:val="auto"/>
                      <w:spacing w:val="-11"/>
                      <w:sz w:val="18"/>
                      <w:szCs w:val="18"/>
                      <w:lang w:val="en-US" w:eastAsia="zh-CN"/>
                    </w:rPr>
                    <w:t>，及消防废水污染土壤、地下水。</w:t>
                  </w:r>
                </w:p>
              </w:tc>
              <w:tc>
                <w:tcPr>
                  <w:tcW w:w="1110"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lang w:val="en-US" w:eastAsia="zh-CN"/>
                    </w:rPr>
                  </w:pPr>
                  <w:r>
                    <w:rPr>
                      <w:rFonts w:hint="default" w:ascii="Times New Roman" w:hAnsi="Times New Roman" w:eastAsia="宋体" w:cs="Times New Roman"/>
                      <w:b w:val="0"/>
                      <w:bCs w:val="0"/>
                      <w:snapToGrid w:val="0"/>
                      <w:color w:val="auto"/>
                      <w:spacing w:val="-11"/>
                      <w:sz w:val="18"/>
                      <w:szCs w:val="18"/>
                    </w:rPr>
                    <w:t>周边村庄、居民</w:t>
                  </w:r>
                  <w:r>
                    <w:rPr>
                      <w:rFonts w:hint="default" w:ascii="Times New Roman" w:hAnsi="Times New Roman" w:eastAsia="宋体" w:cs="Times New Roman"/>
                      <w:b w:val="0"/>
                      <w:bCs w:val="0"/>
                      <w:snapToGrid w:val="0"/>
                      <w:color w:val="auto"/>
                      <w:spacing w:val="-11"/>
                      <w:sz w:val="18"/>
                      <w:szCs w:val="18"/>
                      <w:lang w:eastAsia="zh-CN"/>
                    </w:rPr>
                    <w:t>、</w:t>
                  </w:r>
                  <w:r>
                    <w:rPr>
                      <w:rFonts w:hint="default" w:ascii="Times New Roman" w:hAnsi="Times New Roman" w:eastAsia="宋体" w:cs="Times New Roman"/>
                      <w:b w:val="0"/>
                      <w:bCs w:val="0"/>
                      <w:snapToGrid w:val="0"/>
                      <w:color w:val="auto"/>
                      <w:spacing w:val="-11"/>
                      <w:sz w:val="18"/>
                      <w:szCs w:val="18"/>
                      <w:lang w:val="en-US" w:eastAsia="zh-CN"/>
                    </w:rPr>
                    <w:t>消防废水外溢处及地下水</w:t>
                  </w:r>
                  <w:r>
                    <w:rPr>
                      <w:rFonts w:hint="default" w:ascii="Times New Roman" w:hAnsi="Times New Roman" w:cs="Times New Roman"/>
                      <w:b w:val="0"/>
                      <w:bCs w:val="0"/>
                      <w:snapToGrid w:val="0"/>
                      <w:color w:val="auto"/>
                      <w:spacing w:val="-11"/>
                      <w:sz w:val="18"/>
                      <w:szCs w:val="18"/>
                      <w:lang w:val="en-US" w:eastAsia="zh-CN"/>
                    </w:rPr>
                    <w:t>下游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c>
                <w:tcPr>
                  <w:tcW w:w="176"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right="0"/>
                    <w:jc w:val="center"/>
                    <w:rPr>
                      <w:rFonts w:hint="default" w:ascii="Times New Roman" w:hAnsi="Times New Roman" w:eastAsia="宋体" w:cs="Times New Roman"/>
                      <w:b w:val="0"/>
                      <w:bCs w:val="0"/>
                      <w:snapToGrid w:val="0"/>
                      <w:color w:val="auto"/>
                      <w:spacing w:val="-11"/>
                      <w:sz w:val="18"/>
                      <w:szCs w:val="18"/>
                      <w:lang w:eastAsia="zh-CN"/>
                    </w:rPr>
                  </w:pPr>
                  <w:r>
                    <w:rPr>
                      <w:rFonts w:hint="default" w:ascii="Times New Roman" w:hAnsi="Times New Roman" w:cs="Times New Roman"/>
                      <w:b w:val="0"/>
                      <w:bCs w:val="0"/>
                      <w:snapToGrid w:val="0"/>
                      <w:color w:val="auto"/>
                      <w:spacing w:val="-11"/>
                      <w:sz w:val="18"/>
                      <w:szCs w:val="18"/>
                      <w:lang w:val="en-US" w:eastAsia="zh-CN"/>
                    </w:rPr>
                    <w:t>2</w:t>
                  </w:r>
                </w:p>
              </w:tc>
              <w:tc>
                <w:tcPr>
                  <w:tcW w:w="270"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lang w:val="en-US" w:eastAsia="zh-CN"/>
                    </w:rPr>
                    <w:t>危废贮存</w:t>
                  </w:r>
                </w:p>
              </w:tc>
              <w:tc>
                <w:tcPr>
                  <w:tcW w:w="272"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lang w:val="en-US" w:eastAsia="zh-CN"/>
                    </w:rPr>
                    <w:t>危废</w:t>
                  </w:r>
                </w:p>
              </w:tc>
              <w:tc>
                <w:tcPr>
                  <w:tcW w:w="895" w:type="pct"/>
                  <w:tcBorders>
                    <w:tl2br w:val="nil"/>
                    <w:tr2bl w:val="nil"/>
                  </w:tcBorders>
                  <w:noWrap w:val="0"/>
                  <w:vAlign w:val="center"/>
                </w:tcPr>
                <w:p>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宋体" w:cs="Times New Roman"/>
                      <w:b w:val="0"/>
                      <w:bCs w:val="0"/>
                      <w:color w:val="auto"/>
                      <w:sz w:val="18"/>
                      <w:szCs w:val="18"/>
                      <w:lang w:val="en-US" w:eastAsia="zh-CN"/>
                    </w:rPr>
                    <w:t>废活性炭</w:t>
                  </w:r>
                  <w:r>
                    <w:rPr>
                      <w:rFonts w:hint="default" w:ascii="Times New Roman" w:hAnsi="Times New Roman" w:cs="Times New Roman"/>
                      <w:b w:val="0"/>
                      <w:bCs w:val="0"/>
                      <w:color w:val="auto"/>
                      <w:sz w:val="18"/>
                      <w:szCs w:val="18"/>
                      <w:lang w:val="en-US" w:eastAsia="zh-CN"/>
                    </w:rPr>
                    <w:t>、废机油</w:t>
                  </w:r>
                </w:p>
              </w:tc>
              <w:tc>
                <w:tcPr>
                  <w:tcW w:w="363"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泄漏</w:t>
                  </w:r>
                </w:p>
              </w:tc>
              <w:tc>
                <w:tcPr>
                  <w:tcW w:w="1911"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土壤、地下水</w:t>
                  </w:r>
                </w:p>
              </w:tc>
              <w:tc>
                <w:tcPr>
                  <w:tcW w:w="1110" w:type="pct"/>
                  <w:tcBorders>
                    <w:tl2br w:val="nil"/>
                    <w:tr2bl w:val="nil"/>
                  </w:tcBorders>
                  <w:noWrap w:val="0"/>
                  <w:vAlign w:val="center"/>
                </w:tcPr>
                <w:p>
                  <w:pPr>
                    <w:keepNext w:val="0"/>
                    <w:keepLines w:val="0"/>
                    <w:suppressLineNumbers w:val="0"/>
                    <w:autoSpaceDE w:val="0"/>
                    <w:autoSpaceDN w:val="0"/>
                    <w:snapToGrid w:val="0"/>
                    <w:spacing w:before="0" w:beforeAutospacing="0" w:after="0" w:afterAutospacing="0"/>
                    <w:ind w:left="0" w:leftChars="0" w:right="0" w:rightChars="0"/>
                    <w:jc w:val="center"/>
                    <w:rPr>
                      <w:rFonts w:hint="default" w:ascii="Times New Roman" w:hAnsi="Times New Roman" w:eastAsia="宋体" w:cs="Times New Roman"/>
                      <w:b w:val="0"/>
                      <w:bCs w:val="0"/>
                      <w:snapToGrid w:val="0"/>
                      <w:color w:val="auto"/>
                      <w:spacing w:val="-11"/>
                      <w:sz w:val="18"/>
                      <w:szCs w:val="18"/>
                    </w:rPr>
                  </w:pPr>
                  <w:r>
                    <w:rPr>
                      <w:rFonts w:hint="default" w:ascii="Times New Roman" w:hAnsi="Times New Roman" w:eastAsia="宋体" w:cs="Times New Roman"/>
                      <w:b w:val="0"/>
                      <w:bCs w:val="0"/>
                      <w:snapToGrid w:val="0"/>
                      <w:color w:val="auto"/>
                      <w:spacing w:val="-11"/>
                      <w:sz w:val="18"/>
                      <w:szCs w:val="18"/>
                    </w:rPr>
                    <w:t>泄漏处及地下水下游</w:t>
                  </w:r>
                </w:p>
              </w:tc>
            </w:tr>
          </w:tbl>
          <w:p>
            <w:pPr>
              <w:pStyle w:val="19"/>
              <w:keepNext w:val="0"/>
              <w:keepLines w:val="0"/>
              <w:numPr>
                <w:ilvl w:val="0"/>
                <w:numId w:val="0"/>
              </w:numPr>
              <w:suppressLineNumbers w:val="0"/>
              <w:spacing w:before="0" w:beforeAutospacing="0" w:after="0" w:afterAutospacing="0" w:line="360" w:lineRule="auto"/>
              <w:ind w:left="420" w:leftChars="0" w:right="0" w:rightChars="0"/>
              <w:rPr>
                <w:rFonts w:hint="default" w:ascii="Times New Roman" w:hAnsi="Times New Roman" w:eastAsia="宋体" w:cs="Times New Roman"/>
                <w:color w:val="auto"/>
                <w:lang w:val="en-US" w:eastAsia="zh-CN"/>
              </w:rPr>
            </w:pPr>
            <w:r>
              <w:rPr>
                <w:rFonts w:hint="default" w:ascii="Times New Roman" w:hAnsi="Times New Roman" w:cs="Times New Roman"/>
                <w:b/>
                <w:bCs/>
                <w:color w:val="auto"/>
                <w:sz w:val="24"/>
                <w:lang w:val="en-US" w:eastAsia="zh-CN"/>
              </w:rPr>
              <w:t>6.1</w:t>
            </w:r>
            <w:r>
              <w:rPr>
                <w:rFonts w:hint="default" w:ascii="Times New Roman" w:hAnsi="Times New Roman" w:eastAsia="宋体" w:cs="Times New Roman"/>
                <w:b/>
                <w:bCs/>
                <w:color w:val="auto"/>
                <w:sz w:val="24"/>
              </w:rPr>
              <w:t>环境风险防范措施及应急要求</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为保障安全，减少事故的发生，并降低事故对环境的影响，建设单位根据有关法规及管理要求，建立了系统完善的事故风险防范与应急措施的计划和实施。在项目建设过程中采取的事故防范与应急措施具体如下：</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lang w:val="en-US" w:eastAsia="zh-CN"/>
              </w:rPr>
              <w:t>机构设置</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设置专职人员，负责公司日常安全和环保管理工作，对公司安全、环保设施、应急措施进行管理，负责组织应急预案编制、演练工作。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制定公司的各项安全生产管理制度、严格的生产操作规程和完善事故应急计划及相应的应急处理手段和措施，同时加强安全教育，以</w:t>
            </w:r>
            <w:r>
              <w:rPr>
                <w:rFonts w:hint="default" w:ascii="Times New Roman" w:hAnsi="Times New Roman" w:cs="Times New Roman"/>
                <w:color w:val="auto"/>
                <w:sz w:val="24"/>
                <w:szCs w:val="24"/>
                <w:lang w:val="en-US" w:eastAsia="zh-CN"/>
              </w:rPr>
              <w:t>增强</w:t>
            </w:r>
            <w:r>
              <w:rPr>
                <w:rFonts w:hint="default" w:ascii="Times New Roman" w:hAnsi="Times New Roman" w:eastAsia="宋体" w:cs="Times New Roman"/>
                <w:color w:val="auto"/>
                <w:sz w:val="24"/>
                <w:szCs w:val="24"/>
                <w:lang w:val="en-US" w:eastAsia="zh-CN"/>
              </w:rPr>
              <w:t>职工的安全意识和安全防范能力。</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lang w:val="en-US" w:eastAsia="zh-CN"/>
              </w:rPr>
              <w:t>工艺设计风险防范措施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优化电气设计，结合整个生产要求，全面</w:t>
            </w:r>
            <w:r>
              <w:rPr>
                <w:rFonts w:hint="default" w:ascii="Times New Roman" w:hAnsi="Times New Roman" w:cs="Times New Roman"/>
                <w:color w:val="auto"/>
                <w:kern w:val="2"/>
                <w:sz w:val="24"/>
                <w:szCs w:val="24"/>
                <w:lang w:val="en-US" w:eastAsia="zh-CN" w:bidi="ar-SA"/>
              </w:rPr>
              <w:t>考虑</w:t>
            </w:r>
            <w:r>
              <w:rPr>
                <w:rFonts w:hint="default" w:ascii="Times New Roman" w:hAnsi="Times New Roman" w:eastAsia="宋体" w:cs="Times New Roman"/>
                <w:color w:val="auto"/>
                <w:kern w:val="2"/>
                <w:sz w:val="24"/>
                <w:szCs w:val="24"/>
                <w:lang w:val="en-US" w:eastAsia="zh-CN" w:bidi="ar-SA"/>
              </w:rPr>
              <w:t>各种安全风险，优化电气线路设计，尽量减少电气设备之间的线路交叉，有针对性地采取有效措施，防止出现短路故障或者火灾爆炸事故</w:t>
            </w:r>
            <w:r>
              <w:rPr>
                <w:rFonts w:hint="default" w:ascii="Times New Roman" w:hAnsi="Times New Roman" w:eastAsia="宋体" w:cs="Times New Roman"/>
                <w:color w:val="auto"/>
                <w:sz w:val="24"/>
                <w:szCs w:val="24"/>
                <w:lang w:val="en-US" w:eastAsia="zh-CN"/>
              </w:rPr>
              <w:t>。</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sz w:val="24"/>
                <w:szCs w:val="24"/>
                <w:lang w:val="en-US" w:eastAsia="zh-CN"/>
              </w:rPr>
              <w:t>仓储设施风险防范措施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lang w:eastAsia="zh-CN"/>
              </w:rPr>
            </w:pPr>
            <w:r>
              <w:rPr>
                <w:rFonts w:hint="default" w:ascii="Times New Roman" w:hAnsi="Times New Roman" w:eastAsia="宋体" w:cs="Times New Roman"/>
                <w:color w:val="auto"/>
                <w:sz w:val="24"/>
                <w:szCs w:val="24"/>
              </w:rPr>
              <w:t>项目所有原辅料，能按照相关的安全要求分区、分类、隔离、隔开、分离储存</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确保通风、温度、湿度、防日晒等仓储条件良好</w:t>
            </w:r>
            <w:r>
              <w:rPr>
                <w:rFonts w:hint="default" w:ascii="Times New Roman" w:hAnsi="Times New Roman" w:eastAsia="宋体" w:cs="Times New Roman"/>
                <w:color w:val="auto"/>
                <w:sz w:val="24"/>
                <w:szCs w:val="24"/>
                <w:lang w:eastAsia="zh-CN"/>
              </w:rPr>
              <w:t>。</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固废贮存</w:t>
            </w:r>
            <w:r>
              <w:rPr>
                <w:rFonts w:hint="default" w:ascii="Times New Roman" w:hAnsi="Times New Roman" w:eastAsia="宋体" w:cs="Times New Roman"/>
                <w:color w:val="auto"/>
                <w:sz w:val="24"/>
                <w:szCs w:val="24"/>
              </w:rPr>
              <w:t>风险防范措施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eastAsia" w:cs="Times New Roman"/>
                <w:color w:val="auto"/>
                <w:sz w:val="24"/>
                <w:szCs w:val="24"/>
                <w:lang w:eastAsia="zh-CN"/>
              </w:rPr>
              <w:t>一般工业固废</w:t>
            </w:r>
            <w:r>
              <w:rPr>
                <w:rFonts w:hint="default" w:ascii="Times New Roman" w:hAnsi="Times New Roman" w:eastAsia="宋体" w:cs="Times New Roman"/>
                <w:color w:val="auto"/>
                <w:sz w:val="24"/>
                <w:szCs w:val="24"/>
              </w:rPr>
              <w:t>堆场风险防范措施</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不同种类性质的固体废物分区贮存，并设置固废识别标志。暂存场地配备灭火器及其他应急物资，有效预防突发环境污染事故。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危险固废</w:t>
            </w:r>
            <w:r>
              <w:rPr>
                <w:rFonts w:hint="default" w:ascii="Times New Roman" w:hAnsi="Times New Roman" w:cs="Times New Roman"/>
                <w:color w:val="auto"/>
                <w:sz w:val="24"/>
                <w:szCs w:val="24"/>
                <w:highlight w:val="none"/>
                <w:lang w:val="en-US" w:eastAsia="zh-CN"/>
              </w:rPr>
              <w:t>贮存点</w:t>
            </w:r>
            <w:r>
              <w:rPr>
                <w:rFonts w:hint="default" w:ascii="Times New Roman" w:hAnsi="Times New Roman" w:eastAsia="宋体" w:cs="Times New Roman"/>
                <w:color w:val="auto"/>
                <w:sz w:val="24"/>
                <w:szCs w:val="24"/>
              </w:rPr>
              <w:t>风险防范措施</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危废</w:t>
            </w:r>
            <w:r>
              <w:rPr>
                <w:rFonts w:hint="default" w:ascii="Times New Roman" w:hAnsi="Times New Roman" w:cs="Times New Roman"/>
                <w:color w:val="auto"/>
                <w:sz w:val="24"/>
                <w:szCs w:val="24"/>
                <w:lang w:val="en-US" w:eastAsia="zh-CN"/>
              </w:rPr>
              <w:t>贮存点</w:t>
            </w:r>
            <w:r>
              <w:rPr>
                <w:rFonts w:hint="default" w:ascii="Times New Roman" w:hAnsi="Times New Roman" w:eastAsia="宋体" w:cs="Times New Roman"/>
                <w:color w:val="auto"/>
                <w:sz w:val="24"/>
                <w:szCs w:val="24"/>
              </w:rPr>
              <w:t>按照</w:t>
            </w:r>
            <w:r>
              <w:rPr>
                <w:rFonts w:hint="default" w:ascii="Times New Roman" w:hAnsi="Times New Roman" w:cs="Times New Roman"/>
                <w:color w:val="auto"/>
                <w:spacing w:val="0"/>
                <w:w w:val="100"/>
                <w:position w:val="0"/>
                <w:sz w:val="24"/>
                <w:szCs w:val="24"/>
                <w:lang w:val="en-US" w:eastAsia="zh-CN"/>
              </w:rPr>
              <w:t>《危险废物贮存污染控制标准》（GB18597-2023）</w:t>
            </w:r>
            <w:r>
              <w:rPr>
                <w:rFonts w:hint="default" w:ascii="Times New Roman" w:hAnsi="Times New Roman" w:eastAsia="宋体" w:cs="Times New Roman"/>
                <w:color w:val="auto"/>
                <w:sz w:val="24"/>
                <w:szCs w:val="24"/>
              </w:rPr>
              <w:t>要求规范化建设，满足防风防雨防扬散等要求，地面硬</w:t>
            </w:r>
            <w:r>
              <w:rPr>
                <w:rFonts w:hint="default" w:ascii="Times New Roman" w:hAnsi="Times New Roman" w:eastAsia="宋体" w:cs="Times New Roman"/>
                <w:color w:val="auto"/>
                <w:sz w:val="24"/>
                <w:szCs w:val="24"/>
                <w:lang w:eastAsia="zh-CN"/>
              </w:rPr>
              <w:t>化，满足防腐防渗要求。</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 xml:space="preserve">消防及火灾报警风险防范措施 </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企业设置灭火器、消防栓等消防设施，安排专人定期巡检，及时消除火灾安全隐患。</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泄漏事故防范应急措施</w:t>
            </w:r>
          </w:p>
          <w:p>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①对涉及环境风险物质的生产设备、容器，</w:t>
            </w:r>
            <w:r>
              <w:rPr>
                <w:rFonts w:hint="default" w:ascii="Times New Roman" w:hAnsi="Times New Roman" w:eastAsia="宋体" w:cs="Times New Roman"/>
                <w:color w:val="auto"/>
                <w:sz w:val="24"/>
                <w:szCs w:val="24"/>
                <w:shd w:val="clear" w:color="auto" w:fill="FFFFFF"/>
              </w:rPr>
              <w:t>按照设备管理要求，定期对设备进行维修保养和</w:t>
            </w:r>
            <w:r>
              <w:rPr>
                <w:rFonts w:hint="default" w:ascii="Times New Roman" w:hAnsi="Times New Roman" w:eastAsia="宋体" w:cs="Times New Roman"/>
                <w:color w:val="auto"/>
                <w:kern w:val="0"/>
                <w:sz w:val="24"/>
                <w:szCs w:val="24"/>
              </w:rPr>
              <w:t>检测，易损部件根据设计要求及时更换；</w:t>
            </w:r>
            <w:r>
              <w:rPr>
                <w:rFonts w:hint="default" w:ascii="Times New Roman" w:hAnsi="Times New Roman" w:eastAsia="宋体" w:cs="Times New Roman"/>
                <w:color w:val="auto"/>
                <w:sz w:val="24"/>
                <w:szCs w:val="24"/>
              </w:rPr>
              <w:t>确保其状态良好，降低泄漏的概率；</w:t>
            </w:r>
          </w:p>
          <w:p>
            <w:pPr>
              <w:keepNext w:val="0"/>
              <w:keepLines w:val="0"/>
              <w:suppressLineNumbers w:val="0"/>
              <w:snapToGrid w:val="0"/>
              <w:spacing w:before="0" w:beforeAutospacing="0" w:after="0" w:afterAutospacing="0" w:line="360" w:lineRule="auto"/>
              <w:ind w:left="0" w:right="0"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②编制突发环境风险事件应急预案，制定</w:t>
            </w:r>
            <w:r>
              <w:rPr>
                <w:rFonts w:hint="default" w:ascii="Times New Roman" w:hAnsi="Times New Roman" w:cs="Times New Roman"/>
                <w:color w:val="auto"/>
                <w:sz w:val="24"/>
                <w:szCs w:val="24"/>
                <w:lang w:eastAsia="zh-CN"/>
              </w:rPr>
              <w:t>针对</w:t>
            </w:r>
            <w:r>
              <w:rPr>
                <w:rFonts w:hint="default" w:ascii="Times New Roman" w:hAnsi="Times New Roman" w:eastAsia="宋体" w:cs="Times New Roman"/>
                <w:color w:val="auto"/>
                <w:sz w:val="24"/>
                <w:szCs w:val="24"/>
              </w:rPr>
              <w:t>泄漏事件的现场处置方案，并定期组织培训和演练；配备相应的应急设施和物资，以便于环境风险事件发生时能够有效组织力量进行环境风险应急。</w:t>
            </w:r>
          </w:p>
          <w:p>
            <w:pPr>
              <w:snapToGrid w:val="0"/>
              <w:spacing w:line="360" w:lineRule="auto"/>
              <w:ind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③针对不饱和聚酯树脂、固化剂等易燃液体，火灾次生消防废水可能携带苯乙烯、过氧化物等有毒有害物质进入外环境。厂区周边无地表水体，事故废水主要影响途径为：地面漫流，下渗污染土壤及地下水；排入园区下水管网，对污水处理厂生化系统造成冲击。为防止事故废水对外环境造成污染，厂区已建设事故水池（消防废水池），有效容积400m3。事故水池位于厂区低处，便于消防废水自流进入；雨水排放口设置切换阀，事故状态下封堵外排路径，将消防废水及泄漏液切换至事故水池，不得直接排入雨水管网。事故水池日常为空置状态，并采取防渗、防腐蚀措施。</w:t>
            </w:r>
          </w:p>
          <w:p>
            <w:pPr>
              <w:keepNext w:val="0"/>
              <w:keepLines w:val="0"/>
              <w:numPr>
                <w:ilvl w:val="0"/>
                <w:numId w:val="6"/>
              </w:numPr>
              <w:suppressLineNumbers w:val="0"/>
              <w:spacing w:before="0" w:beforeAutospacing="0" w:after="0" w:afterAutospacing="0" w:line="360" w:lineRule="auto"/>
              <w:ind w:right="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环境风险应急预案</w:t>
            </w:r>
          </w:p>
          <w:p>
            <w:pPr>
              <w:keepNext w:val="0"/>
              <w:keepLines w:val="0"/>
              <w:suppressLineNumbers w:val="0"/>
              <w:snapToGrid w:val="0"/>
              <w:spacing w:before="0" w:beforeAutospacing="0" w:after="0" w:afterAutospacing="0" w:line="360" w:lineRule="auto"/>
              <w:ind w:left="0" w:right="0" w:firstLine="48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环保部《突发环境事件应急管理办法》（环境保护部令第34号）、《企事业单位突发环境事件应急预案备案管理办法（试行）》（环发〔2015〕4号）、环保部《关于进一步加强环境影响评价管理防范环境风险的通知》（环发〔2012〕77号）等的规定和要求，编制（或委托相关技术单位编制）突发环境事件应急预案，并向企业所在地</w:t>
            </w:r>
            <w:r>
              <w:rPr>
                <w:rFonts w:hint="default" w:ascii="Times New Roman" w:hAnsi="Times New Roman" w:cs="Times New Roman"/>
                <w:color w:val="auto"/>
                <w:sz w:val="24"/>
                <w:szCs w:val="24"/>
                <w:lang w:val="en-US" w:eastAsia="zh-CN"/>
              </w:rPr>
              <w:t>生态环境</w:t>
            </w:r>
            <w:r>
              <w:rPr>
                <w:rFonts w:hint="default" w:ascii="Times New Roman" w:hAnsi="Times New Roman" w:eastAsia="宋体" w:cs="Times New Roman"/>
                <w:color w:val="auto"/>
                <w:sz w:val="24"/>
                <w:szCs w:val="24"/>
              </w:rPr>
              <w:t>部门备案，同时注意编制的应急预案应与沿线各区域、各相关企业应急系统衔接。建设单位的突发环境事件应急预案的编制、评估、备案和实施等，应按《企事业单位突发环境事件应急预案备案管理办法（试行）》（环发〔2015〕4号）等相关规定执行。</w:t>
            </w:r>
            <w:r>
              <w:rPr>
                <w:rFonts w:hint="default" w:ascii="Times New Roman" w:hAnsi="Times New Roman" w:cs="Times New Roman"/>
                <w:color w:val="auto"/>
                <w:sz w:val="24"/>
                <w:szCs w:val="24"/>
                <w:lang w:val="en-US" w:eastAsia="zh-CN"/>
              </w:rPr>
              <w:t>同时按照应急预案要求定期</w:t>
            </w:r>
            <w:r>
              <w:rPr>
                <w:rFonts w:hint="default" w:ascii="Times New Roman" w:hAnsi="Times New Roman" w:eastAsia="宋体" w:cs="Times New Roman"/>
                <w:color w:val="auto"/>
                <w:sz w:val="24"/>
                <w:szCs w:val="24"/>
              </w:rPr>
              <w:t>开展环境应急预案培训和演练，</w:t>
            </w:r>
            <w:r>
              <w:rPr>
                <w:rFonts w:hint="default" w:ascii="Times New Roman" w:hAnsi="Times New Roman" w:cs="Times New Roman"/>
                <w:color w:val="auto"/>
                <w:sz w:val="24"/>
                <w:szCs w:val="24"/>
                <w:lang w:val="en-US" w:eastAsia="zh-CN"/>
              </w:rPr>
              <w:t>并</w:t>
            </w:r>
            <w:r>
              <w:rPr>
                <w:rFonts w:hint="default" w:ascii="Times New Roman" w:hAnsi="Times New Roman" w:eastAsia="宋体" w:cs="Times New Roman"/>
                <w:color w:val="auto"/>
                <w:sz w:val="24"/>
                <w:szCs w:val="24"/>
              </w:rPr>
              <w:t>按规定对预案进行评估修订。</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8</w:t>
            </w:r>
            <w:r>
              <w:rPr>
                <w:rFonts w:hint="default" w:ascii="Times New Roman" w:hAnsi="Times New Roman" w:cs="Times New Roman"/>
                <w:color w:val="auto"/>
                <w:sz w:val="24"/>
                <w:lang w:eastAsia="zh-CN"/>
              </w:rPr>
              <w:t>）</w:t>
            </w:r>
            <w:r>
              <w:rPr>
                <w:rFonts w:hint="default" w:ascii="Times New Roman" w:hAnsi="Times New Roman" w:eastAsia="宋体" w:cs="Times New Roman"/>
                <w:color w:val="auto"/>
                <w:sz w:val="24"/>
              </w:rPr>
              <w:t>液态易燃物料储存库房风险防范措施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不饱和聚酯树脂（含苯乙烯30%~40%，闪点约33℃）、固化剂（过氧化甲乙酮，有机过氧化物）、促进剂（异辛酸钴，含溶剂油）均属于易燃液体，其储存库房应采取以下防渗、防溢流、防火工程措施及管理要求。</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1）防渗措施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原料库（不饱和聚酯树脂）地面及墙裙（高度不低于1.0m）应进行一般防渗+防腐处理：等效黏土防渗层Mb≥1.5m，渗透系数K≤1×10⁻⁷cm/s，且面层应采用环氧树脂自流平（厚度≥2mm）或耐酸瓷板+环氧胶泥勾缝等耐化学腐蚀材料，防止苯乙烯对混凝土的溶蚀渗透。</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②固化剂库房、促进剂库房的防渗等级应与原料库一致，按照一般防渗区要求建设。</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2）防溢流措施</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①独立分区围堰：不饱和聚酯树脂库房、固化剂库房、促进剂库房应各自设置独立的围堰区，围堰有效容积应不小于对应库房内最大单桶容积的110%（标准包装桶按200L计，有效容积≥0.22m</w:t>
            </w:r>
            <w:r>
              <w:rPr>
                <w:rFonts w:hint="default" w:ascii="Times New Roman" w:hAnsi="Times New Roman" w:cs="Times New Roman"/>
                <w:color w:val="auto"/>
                <w:sz w:val="24"/>
                <w:lang w:eastAsia="zh-CN"/>
              </w:rPr>
              <w:t>3</w:t>
            </w:r>
            <w:r>
              <w:rPr>
                <w:rFonts w:hint="default" w:ascii="Times New Roman" w:hAnsi="Times New Roman" w:eastAsia="宋体" w:cs="Times New Roman"/>
                <w:color w:val="auto"/>
                <w:sz w:val="24"/>
              </w:rPr>
              <w:t>）。围堰高度应根据围堰区面积计算确定，建议不低于150mm。</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②防渗托盘：在围堰区内，每个液态物料包装桶下方应增设独立防渗托盘，作为二级防泄漏保护。</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③导流与收集：围堰内地面应坡向集液坑或导流沟（坡度≥2‰），泄漏液应能自流至集液坑，便于集中收集处理。集液坑容积计入围堰有效容积。</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3）防火措施及建筑要求</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独立防火分区：固化剂库房与促进剂库房应分设在独立的防火分区内，两者之间应采用耐火极限不低于3.00h的防火墙进行分隔，不得仅以距离间隔或普通隔墙替代。不饱和聚酯树脂库房应与上述两库房保持一定距离，并设置防火墙分隔。</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②储存量限制：固化剂库房内过氧化甲乙酮最大存放量不宜超过2t（本项目日常存储量2t已接近上限），超过时应分间存放。促进剂库房日常存储量为1t，应控制在设计存储限额内。</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③防爆电气：原料库、固化剂库房、促进剂库房内的照明、通风风机、可燃气体报警装置等电气设备应选用防爆型（防爆等级不低于Ex d IIB T4），并设置防静电接地及跨接措施。库房内所有金属设备、管道、货架均应可靠接地，接地电阻应≤4Ω。</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④可燃气体报警：各库房应设置固定式可燃气体报警装置，报警控制器应设在24h有人值守的值班室，并与事故通风系统联动。苯乙烯报警浓度应设定在爆炸下限（LEL）的25%以下（苯乙烯LEL为1.1%，即报警设定值≤2750ppm）。</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⑤机械通风：各库房应设置机械排风系统，正常换气次数≥6次/h，事故排风（报警联动启动）换气次数≥12次/h。因苯乙烯、溶剂汽油蒸气密度均大于空气，排风口应靠近地面设置（距地面高度不超过0.3m），进风口设在库房上部。通风系统应采用防爆型风机，排风管道应采用不燃材料制作。</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⑥消防设施：各库房应配置干粉灭火器或二氧化碳灭火器（严禁使用酸碱灭火器、泡沫灭火器，因有机过氧化物遇水或泡沫可能发生剧烈反应或分解爆炸）。灭火器配置级别及数量按GB 50140计算确定（建议每50m²配置不少于2具5kg干粉灭火器，且每个库房不少于4具）。</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⑦禁混存警示：固化剂（过氧化甲乙酮，属有机过氧化物，强氧化性）与促进剂（异辛酸钴，含有机溶剂，还原性）严禁混存，两者之间应有实体防火墙分隔，并在库房门口设置醒目的“禁止混存”警示标识。</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4）管理要求</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①限量领用：各生产班组应按当班需求量领用树脂、固化剂、促进剂，车间内临时存放量不得超过一个班次用量，且应存放在专用防渗托盘上。</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②空桶管理：使用完毕的树脂桶、固化剂桶、促进剂桶应立即加盖密封，转移至危废贮存点指定区域暂存，不得在原料库内长期堆放。</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③运输过程管理：从库房到生产车间的物料运输应使用专用手推车或叉车，桶装物料在运输过程中应固定牢靠，防止碰撞倾倒。运输通道应保持畅通，地面无油污、无积水。</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④泄漏应急物资：原料库、固化剂库房、促进剂库房门口应配备应急物资柜，内置吸附棉、沙土、防爆铲、防化手套、护目镜、防毒面具等应急物资，并定期检查更换。</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⑤标识管理：各库房外应设置符合GB 15630及GB 13690要求的危险化学品安全标志，包括：易燃液体标志、危险品标志、禁止烟火标志、安全操作规程牌等。库房内各分区应设置对应物料名称的标识牌。</w:t>
            </w:r>
          </w:p>
          <w:p>
            <w:pPr>
              <w:pStyle w:val="19"/>
              <w:keepNext w:val="0"/>
              <w:keepLines w:val="0"/>
              <w:numPr>
                <w:ilvl w:val="0"/>
                <w:numId w:val="0"/>
              </w:numPr>
              <w:suppressLineNumbers w:val="0"/>
              <w:spacing w:before="0" w:beforeAutospacing="0" w:after="0" w:afterAutospacing="0" w:line="360" w:lineRule="auto"/>
              <w:ind w:left="420" w:leftChars="0" w:right="0" w:rightChars="0"/>
              <w:rPr>
                <w:rFonts w:hint="default" w:ascii="Times New Roman" w:hAnsi="Times New Roman" w:eastAsia="宋体" w:cs="Times New Roman"/>
                <w:b/>
                <w:bCs/>
                <w:color w:val="auto"/>
                <w:sz w:val="24"/>
              </w:rPr>
            </w:pPr>
            <w:r>
              <w:rPr>
                <w:rFonts w:hint="default" w:ascii="Times New Roman" w:hAnsi="Times New Roman" w:cs="Times New Roman"/>
                <w:b/>
                <w:bCs/>
                <w:color w:val="auto"/>
                <w:sz w:val="24"/>
                <w:lang w:val="en-US" w:eastAsia="zh-CN"/>
              </w:rPr>
              <w:t>6.2</w:t>
            </w:r>
            <w:r>
              <w:rPr>
                <w:rFonts w:hint="default" w:ascii="Times New Roman" w:hAnsi="Times New Roman" w:eastAsia="宋体" w:cs="Times New Roman"/>
                <w:b/>
                <w:bCs/>
                <w:color w:val="auto"/>
                <w:sz w:val="24"/>
              </w:rPr>
              <w:t>分析结论</w:t>
            </w:r>
          </w:p>
          <w:p>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由于环境风险具有突发性和短暂性及危害较大等特点，必须采取相应有效预防措施加以防范，加强控制和管理，杜绝、减轻和避免环境风险。本项目通过</w:t>
            </w:r>
            <w:r>
              <w:rPr>
                <w:rFonts w:hint="default" w:ascii="Times New Roman" w:hAnsi="Times New Roman" w:eastAsia="宋体" w:cs="Times New Roman"/>
                <w:color w:val="auto"/>
                <w:sz w:val="24"/>
                <w:szCs w:val="24"/>
              </w:rPr>
              <w:t>编制突发环境风险事件应急预案，制定</w:t>
            </w:r>
            <w:r>
              <w:rPr>
                <w:rFonts w:hint="default" w:ascii="Times New Roman" w:hAnsi="Times New Roman" w:cs="Times New Roman"/>
                <w:color w:val="auto"/>
                <w:sz w:val="24"/>
                <w:szCs w:val="24"/>
                <w:lang w:eastAsia="zh-CN"/>
              </w:rPr>
              <w:t>针对</w:t>
            </w:r>
            <w:r>
              <w:rPr>
                <w:rFonts w:hint="default" w:ascii="Times New Roman" w:hAnsi="Times New Roman" w:eastAsia="宋体" w:cs="Times New Roman"/>
                <w:color w:val="auto"/>
                <w:sz w:val="24"/>
                <w:szCs w:val="24"/>
              </w:rPr>
              <w:t>泄漏事件的现场处置方案</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rPr>
              <w:t>加强环境管理，可以把本项目存在的环境风险降低至可接受的程度。项目在落实本评价提出的各项风险防范和应急措施的前提下，本项目环境风险影响可接受</w:t>
            </w:r>
            <w:r>
              <w:rPr>
                <w:rFonts w:hint="default" w:ascii="Times New Roman" w:hAnsi="Times New Roman" w:eastAsia="宋体" w:cs="Times New Roman"/>
                <w:color w:val="auto"/>
                <w:sz w:val="24"/>
                <w:lang w:eastAsia="zh-CN"/>
              </w:rPr>
              <w:t>。</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vertAlign w:val="baseline"/>
                <w:lang w:val="en-US" w:eastAsia="zh-CN"/>
              </w:rPr>
            </w:pPr>
            <w:r>
              <w:rPr>
                <w:rFonts w:hint="default" w:ascii="Times New Roman" w:hAnsi="Times New Roman" w:eastAsia="宋体" w:cs="Times New Roman"/>
                <w:b/>
                <w:bCs/>
                <w:color w:val="auto"/>
                <w:sz w:val="24"/>
                <w:lang w:val="en-US" w:eastAsia="zh-CN"/>
              </w:rPr>
              <w:t>表4-2</w:t>
            </w:r>
            <w:r>
              <w:rPr>
                <w:rFonts w:hint="default" w:ascii="Times New Roman" w:hAnsi="Times New Roman" w:cs="Times New Roman"/>
                <w:b/>
                <w:bCs/>
                <w:color w:val="auto"/>
                <w:sz w:val="24"/>
                <w:lang w:val="en-US" w:eastAsia="zh-CN"/>
              </w:rPr>
              <w:t>6</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cs="Times New Roman"/>
                <w:b/>
                <w:bCs/>
                <w:color w:val="auto"/>
                <w:sz w:val="24"/>
                <w:lang w:val="en-US" w:eastAsia="zh-CN"/>
              </w:rPr>
              <w:t xml:space="preserve">      </w:t>
            </w:r>
            <w:r>
              <w:rPr>
                <w:rFonts w:hint="default" w:ascii="Times New Roman" w:hAnsi="Times New Roman" w:eastAsia="宋体" w:cs="Times New Roman"/>
                <w:b/>
                <w:bCs/>
                <w:color w:val="auto"/>
                <w:sz w:val="24"/>
                <w:lang w:val="en-US" w:eastAsia="zh-CN"/>
              </w:rPr>
              <w:t>建设项目环境风险简单分析内容表</w:t>
            </w:r>
          </w:p>
          <w:tbl>
            <w:tblPr>
              <w:tblStyle w:val="36"/>
              <w:tblW w:w="5000" w:type="pct"/>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73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6"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建设项目名称</w:t>
                  </w:r>
                </w:p>
              </w:tc>
              <w:tc>
                <w:tcPr>
                  <w:tcW w:w="45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eastAsia" w:ascii="Times New Roman" w:hAnsi="Times New Roman" w:cs="Times New Roman"/>
                      <w:b w:val="0"/>
                      <w:bCs w:val="0"/>
                      <w:i w:val="0"/>
                      <w:iCs w:val="0"/>
                      <w:caps w:val="0"/>
                      <w:color w:val="0F1115"/>
                      <w:spacing w:val="0"/>
                      <w:kern w:val="0"/>
                      <w:sz w:val="18"/>
                      <w:szCs w:val="18"/>
                      <w:lang w:val="en-US" w:eastAsia="zh-CN" w:bidi="ar"/>
                    </w:rPr>
                    <w:t>巴州中意新材料有限公司新材料生产线项目2号厂房项目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6"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建设地点</w:t>
                  </w:r>
                </w:p>
              </w:tc>
              <w:tc>
                <w:tcPr>
                  <w:tcW w:w="45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新疆维吾尔自治区巴音郭楞蒙古自治州尉犁县工业园区，尉犁县东环路以西、创业路以东、敬业路以南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6"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地理坐标</w:t>
                  </w:r>
                </w:p>
              </w:tc>
              <w:tc>
                <w:tcPr>
                  <w:tcW w:w="45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东经：86°17′22.229″，北纬：41°21′49.843″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6"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主要危险物质及分布</w:t>
                  </w:r>
                </w:p>
              </w:tc>
              <w:tc>
                <w:tcPr>
                  <w:tcW w:w="45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主要危险物质：不饱和聚酯树脂（含苯乙烯）、固化剂（过氧化甲乙酮）、促进剂（异辛酸钴）、废机油、废活性炭</w:t>
                  </w:r>
                  <w:r>
                    <w:rPr>
                      <w:rFonts w:hint="default" w:ascii="Times New Roman" w:hAnsi="Times New Roman" w:cs="Times New Roman"/>
                      <w:b w:val="0"/>
                      <w:bCs w:val="0"/>
                      <w:i w:val="0"/>
                      <w:iCs w:val="0"/>
                      <w:caps w:val="0"/>
                      <w:color w:val="0F1115"/>
                      <w:spacing w:val="0"/>
                      <w:kern w:val="0"/>
                      <w:sz w:val="18"/>
                      <w:szCs w:val="18"/>
                      <w:lang w:val="en-US" w:eastAsia="zh-CN" w:bidi="ar"/>
                    </w:rPr>
                    <w:t>、</w:t>
                  </w:r>
                  <w:r>
                    <w:rPr>
                      <w:rFonts w:hint="default" w:ascii="Times New Roman" w:hAnsi="Times New Roman" w:cs="Times New Roman"/>
                      <w:b w:val="0"/>
                      <w:bCs w:val="0"/>
                      <w:color w:val="auto"/>
                      <w:sz w:val="18"/>
                      <w:szCs w:val="18"/>
                      <w:lang w:val="en-US" w:eastAsia="zh-CN"/>
                    </w:rPr>
                    <w:t>聚氯乙烯粉</w:t>
                  </w: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分布情况：</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①不饱和聚酯树脂、固化剂、促进剂——原料库、固化剂库房；</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②废机油——危废贮存点废机油区；</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③废活性炭——危废贮存点废活性炭区。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6"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环境影响途径及危害后果</w:t>
                  </w:r>
                </w:p>
              </w:tc>
              <w:tc>
                <w:tcPr>
                  <w:tcW w:w="45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（1）泄漏环境影响</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不饱和聚酯树脂、固化剂、促进剂等液体物料或废机油包装桶破损发生泄漏，漫溢至车间外或库房外，污染流经的土壤，并渗透至地下污染地下水；泄漏物料若进入园区雨水管网，将对下游水体造成污染。</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（2）火灾次生/伴生环境影响</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不饱和聚酯树脂（苯乙烯含量30%~50%，闪点33℃，易燃）、固化剂（过氧化甲乙酮，温度高于100℃时即发生爆炸）等易燃液体遇明火发生火灾，燃烧产生的CO、苯乙烯、VOCs等有毒有害烟气污染周边大气环境，影响附近村庄及居民；消防废水携带苯乙烯、过氧化物、钴离子等有毒有害物质，若未有效收集，将进入雨水管网，污染地表水体及土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76"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风险防范措施要求</w:t>
                  </w:r>
                </w:p>
              </w:tc>
              <w:tc>
                <w:tcPr>
                  <w:tcW w:w="4523"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b w:val="0"/>
                      <w:bCs w:val="0"/>
                      <w:color w:val="auto"/>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（1）环境风险管理目标</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采用最低合理可行措施（ALARP）对环境风险进行有效的预防、监控、响应，确保环境风险可防可控。</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（2）环境风险防范措施</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①环境风险监控：风险物质分类存放，增加值班制度，定期巡检，确保使用过程中的安全性。原料库、固化剂库房设置可燃气体报警装置。</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②事故废水防控：厂区设置事故水池（事故应急池）</w:t>
                  </w:r>
                  <w:r>
                    <w:rPr>
                      <w:rFonts w:hint="default" w:ascii="Times New Roman" w:hAnsi="Times New Roman"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b w:val="0"/>
                      <w:bCs w:val="0"/>
                      <w:i w:val="0"/>
                      <w:iCs w:val="0"/>
                      <w:caps w:val="0"/>
                      <w:color w:val="0F1115"/>
                      <w:spacing w:val="0"/>
                      <w:kern w:val="0"/>
                      <w:sz w:val="18"/>
                      <w:szCs w:val="18"/>
                      <w:lang w:val="en-US" w:eastAsia="zh-CN" w:bidi="ar"/>
                    </w:rPr>
                    <w:t>用于收集消防废水和泄漏液，事故水池采取防渗、防腐蚀措施，日常空置。雨水排放口设置切换阀，事故状态下封堵外排路径，将消防废水及泄漏液切换至事故水池，不得直接排入雨水管网。</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③物料贮存风险防范：原料库、固化剂库房设置围堰或防渗托盘，地面硬化防渗；固化剂与促进剂分区、分库存放，禁止混存；库房设置可燃气体报警装置。</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④危废贮存风险防范：危废贮存点按照《危险废物贮存污染控制标准》（GB18597-2023）要求规范化建设，满足防风、防雨、防晒、防扬散、防渗漏等要求；不同类别危险废物分区存放，废机油底部设防泄漏托盘；危废贮存点配备吸附棉、沙土、灭火器等应急物资。</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⑤废气治理设施风险防范：安排专人负责环保设备的日常维护和管理，定期检查设备运行状况；废气处理设备停止运行或出现故障时，对应生产工序必须同步停止生产；活性炭定期脱附再生或更换，催化剂定期检查更换，布袋除尘器滤袋定期检查更换。</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⑥消防及火灾报警：厂区配置灭火器、消防栓等消防设施，安排专人定期巡检，及时消除火灾安全隐患。</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⑦环境风险防控系统衔接：厂内环境风险防控系统应纳入园区/区域环境风险防控体系，明确风险防控设施、管理的衔接要求，实现厂内与园区/区域环境风险防控设施及管理有效联动，有效防控环境风险。</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（3）环境应急措施</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根据环境应急工作需求确定和落实相关保障措施，包括经费保障、制度保障、应急物资装备保障、应急队伍保障、通信与信息保障等。</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（4）应急预案要求</w:t>
                  </w:r>
                  <w:r>
                    <w:rPr>
                      <w:rFonts w:hint="default" w:ascii="Times New Roman" w:hAnsi="Times New Roman" w:eastAsia="宋体" w:cs="Times New Roman"/>
                      <w:b w:val="0"/>
                      <w:bCs w:val="0"/>
                      <w:i w:val="0"/>
                      <w:iCs w:val="0"/>
                      <w:caps w:val="0"/>
                      <w:color w:val="0F1115"/>
                      <w:spacing w:val="0"/>
                      <w:kern w:val="0"/>
                      <w:sz w:val="18"/>
                      <w:szCs w:val="18"/>
                      <w:lang w:val="en-US" w:eastAsia="zh-CN" w:bidi="ar"/>
                    </w:rPr>
                    <w:br w:type="textWrapping"/>
                  </w:r>
                  <w:r>
                    <w:rPr>
                      <w:rFonts w:hint="default" w:ascii="Times New Roman" w:hAnsi="Times New Roman" w:eastAsia="宋体" w:cs="Times New Roman"/>
                      <w:b w:val="0"/>
                      <w:bCs w:val="0"/>
                      <w:i w:val="0"/>
                      <w:iCs w:val="0"/>
                      <w:caps w:val="0"/>
                      <w:color w:val="0F1115"/>
                      <w:spacing w:val="0"/>
                      <w:kern w:val="0"/>
                      <w:sz w:val="18"/>
                      <w:szCs w:val="18"/>
                      <w:lang w:val="en-US" w:eastAsia="zh-CN" w:bidi="ar"/>
                    </w:rPr>
                    <w:t>编制突发环境事件应急预案，并报生态环境部门备案；开展环境应急预案培训和演练，按规定对预案进行评估修订。</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eastAsia="宋体" w:cs="Times New Roman"/>
                <w:b/>
                <w:color w:val="auto"/>
                <w:sz w:val="24"/>
                <w:lang w:val="en-US" w:eastAsia="zh-CN"/>
              </w:rPr>
            </w:pPr>
            <w:r>
              <w:rPr>
                <w:rFonts w:hint="default" w:ascii="Times New Roman" w:hAnsi="Times New Roman" w:cs="Times New Roman"/>
                <w:b/>
                <w:color w:val="auto"/>
                <w:sz w:val="24"/>
                <w:lang w:val="en-US" w:eastAsia="zh-CN"/>
              </w:rPr>
              <w:t>7、</w:t>
            </w:r>
            <w:r>
              <w:rPr>
                <w:rFonts w:hint="default" w:ascii="Times New Roman" w:hAnsi="Times New Roman" w:cs="Times New Roman"/>
                <w:b/>
                <w:color w:val="auto"/>
                <w:sz w:val="24"/>
              </w:rPr>
              <w:t>环保投资</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8"/>
              </w:rPr>
            </w:pPr>
            <w:r>
              <w:rPr>
                <w:rFonts w:hint="default" w:ascii="Times New Roman" w:hAnsi="Times New Roman" w:eastAsia="宋体" w:cs="Times New Roman"/>
                <w:color w:val="auto"/>
                <w:kern w:val="0"/>
                <w:sz w:val="24"/>
                <w:szCs w:val="28"/>
              </w:rPr>
              <w:t>本工程总投资550万元，其中环保措施投资估算合计</w:t>
            </w:r>
            <w:r>
              <w:rPr>
                <w:rFonts w:hint="default" w:ascii="Times New Roman" w:hAnsi="Times New Roman" w:eastAsia="宋体" w:cs="Times New Roman"/>
                <w:color w:val="auto"/>
                <w:kern w:val="0"/>
                <w:sz w:val="24"/>
                <w:szCs w:val="28"/>
                <w:lang w:val="en-US" w:eastAsia="zh-CN"/>
              </w:rPr>
              <w:t>48</w:t>
            </w:r>
            <w:r>
              <w:rPr>
                <w:rFonts w:hint="default" w:ascii="Times New Roman" w:hAnsi="Times New Roman" w:eastAsia="宋体" w:cs="Times New Roman"/>
                <w:color w:val="auto"/>
                <w:kern w:val="0"/>
                <w:sz w:val="24"/>
                <w:szCs w:val="28"/>
              </w:rPr>
              <w:t>万元，约占总投资的</w:t>
            </w:r>
            <w:r>
              <w:rPr>
                <w:rFonts w:hint="default" w:ascii="Times New Roman" w:hAnsi="Times New Roman" w:eastAsia="宋体" w:cs="Times New Roman"/>
                <w:color w:val="auto"/>
                <w:kern w:val="0"/>
                <w:sz w:val="24"/>
                <w:szCs w:val="28"/>
                <w:lang w:val="en-US" w:eastAsia="zh-CN"/>
              </w:rPr>
              <w:t>8.73</w:t>
            </w:r>
            <w:r>
              <w:rPr>
                <w:rFonts w:hint="default" w:ascii="Times New Roman" w:hAnsi="Times New Roman" w:eastAsia="宋体" w:cs="Times New Roman"/>
                <w:color w:val="auto"/>
                <w:kern w:val="0"/>
                <w:sz w:val="24"/>
                <w:szCs w:val="28"/>
              </w:rPr>
              <w:t>%。具体见表4-2</w:t>
            </w:r>
            <w:r>
              <w:rPr>
                <w:rFonts w:hint="default" w:ascii="Times New Roman" w:hAnsi="Times New Roman" w:cs="Times New Roman"/>
                <w:color w:val="auto"/>
                <w:kern w:val="0"/>
                <w:sz w:val="24"/>
                <w:szCs w:val="28"/>
                <w:lang w:val="en-US" w:eastAsia="zh-CN"/>
              </w:rPr>
              <w:t>7</w:t>
            </w:r>
            <w:r>
              <w:rPr>
                <w:rFonts w:hint="default" w:ascii="Times New Roman" w:hAnsi="Times New Roman" w:eastAsia="宋体" w:cs="Times New Roman"/>
                <w:color w:val="auto"/>
                <w:kern w:val="0"/>
                <w:sz w:val="24"/>
                <w:szCs w:val="28"/>
              </w:rPr>
              <w:t>。</w:t>
            </w:r>
          </w:p>
          <w:p>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2" w:firstLineChars="200"/>
              <w:textAlignment w:val="auto"/>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表4-2</w:t>
            </w:r>
            <w:r>
              <w:rPr>
                <w:rFonts w:hint="default" w:ascii="Times New Roman" w:hAnsi="Times New Roman" w:cs="Times New Roman"/>
                <w:b/>
                <w:bCs/>
                <w:color w:val="auto"/>
                <w:sz w:val="24"/>
                <w:lang w:val="en-US" w:eastAsia="zh-CN"/>
              </w:rPr>
              <w:t xml:space="preserve">7     </w:t>
            </w:r>
            <w:r>
              <w:rPr>
                <w:rFonts w:hint="default" w:ascii="Times New Roman" w:hAnsi="Times New Roman" w:eastAsia="宋体" w:cs="Times New Roman"/>
                <w:b/>
                <w:bCs/>
                <w:color w:val="auto"/>
                <w:sz w:val="24"/>
                <w:lang w:val="en-US" w:eastAsia="zh-CN"/>
              </w:rPr>
              <w:t xml:space="preserve"> 环保措施投资估算一览表</w:t>
            </w:r>
          </w:p>
          <w:tbl>
            <w:tblPr>
              <w:tblStyle w:val="36"/>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575"/>
              <w:gridCol w:w="1354"/>
              <w:gridCol w:w="4997"/>
              <w:gridCol w:w="57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时段</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分类</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污染源</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环保设施</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投资（万元）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施工期</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废气</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施工扬尘</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洒水抑尘、车辆减速慢行、施工围挡</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废水</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施工废水</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临时沉淀池</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噪声</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施工设备噪声</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临时围障、降低车速</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固废</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建筑垃圾</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集中收集，定时清运</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集中收集，定时送生活垃圾填埋场</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6961" w:type="dxa"/>
                  <w:gridSpan w:val="3"/>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施工期小计</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运营期</w:t>
                  </w:r>
                </w:p>
              </w:tc>
              <w:tc>
                <w:tcPr>
                  <w:tcW w:w="57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废气</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混合树脂缠绕固化废气</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集气罩+</w:t>
                  </w:r>
                  <w:r>
                    <w:rPr>
                      <w:rFonts w:hint="eastAsia" w:ascii="Times New Roman" w:hAnsi="Times New Roman" w:eastAsia="宋体" w:cs="Times New Roman"/>
                      <w:b w:val="0"/>
                      <w:bCs w:val="0"/>
                      <w:kern w:val="0"/>
                      <w:sz w:val="18"/>
                      <w:szCs w:val="18"/>
                      <w:lang w:val="en-US" w:eastAsia="zh-CN" w:bidi="ar"/>
                    </w:rPr>
                    <w:t>1套</w:t>
                  </w:r>
                  <w:r>
                    <w:rPr>
                      <w:rFonts w:hint="default" w:ascii="Times New Roman" w:hAnsi="Times New Roman" w:eastAsia="宋体" w:cs="Times New Roman"/>
                      <w:b w:val="0"/>
                      <w:bCs w:val="0"/>
                      <w:kern w:val="0"/>
                      <w:sz w:val="18"/>
                      <w:szCs w:val="18"/>
                      <w:lang w:val="en-US" w:eastAsia="zh-CN" w:bidi="ar"/>
                    </w:rPr>
                    <w:t>活性炭吸附/脱附+催化燃烧+15m排气筒（DA001）</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切割修整废气</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集气罩+</w:t>
                  </w:r>
                  <w:r>
                    <w:rPr>
                      <w:rFonts w:hint="eastAsia" w:cs="Times New Roman"/>
                      <w:b w:val="0"/>
                      <w:bCs w:val="0"/>
                      <w:kern w:val="0"/>
                      <w:sz w:val="18"/>
                      <w:szCs w:val="18"/>
                      <w:lang w:val="en-US" w:eastAsia="zh-CN" w:bidi="ar"/>
                    </w:rPr>
                    <w:t>1套</w:t>
                  </w:r>
                  <w:r>
                    <w:rPr>
                      <w:rFonts w:hint="default" w:ascii="Times New Roman" w:hAnsi="Times New Roman" w:eastAsia="宋体" w:cs="Times New Roman"/>
                      <w:b w:val="0"/>
                      <w:bCs w:val="0"/>
                      <w:kern w:val="0"/>
                      <w:sz w:val="18"/>
                      <w:szCs w:val="18"/>
                      <w:lang w:val="en-US" w:eastAsia="zh-CN" w:bidi="ar"/>
                    </w:rPr>
                    <w:t>袋式除尘器1台+15m排气筒（DA002）</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PE管/HDPE波纹管/PVC管挤出废气</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集气罩+</w:t>
                  </w:r>
                  <w:r>
                    <w:rPr>
                      <w:rFonts w:hint="eastAsia" w:cs="Times New Roman"/>
                      <w:b w:val="0"/>
                      <w:bCs w:val="0"/>
                      <w:kern w:val="0"/>
                      <w:sz w:val="18"/>
                      <w:szCs w:val="18"/>
                      <w:lang w:val="en-US" w:eastAsia="zh-CN" w:bidi="ar"/>
                    </w:rPr>
                    <w:t>1套</w:t>
                  </w:r>
                  <w:r>
                    <w:rPr>
                      <w:rFonts w:hint="default" w:ascii="Times New Roman" w:hAnsi="Times New Roman" w:eastAsia="宋体" w:cs="Times New Roman"/>
                      <w:b w:val="0"/>
                      <w:bCs w:val="0"/>
                      <w:kern w:val="0"/>
                      <w:sz w:val="18"/>
                      <w:szCs w:val="18"/>
                      <w:lang w:val="en-US" w:eastAsia="zh-CN" w:bidi="ar"/>
                    </w:rPr>
                    <w:t>活性炭吸附/脱附+催化燃烧+15m排气筒（DA003）</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PVC管混料粉尘</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投料口集气罩+袋式除尘器+15m排气筒（DA004）</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eastAsia="zh-CN"/>
                    </w:rPr>
                  </w:pPr>
                  <w:r>
                    <w:rPr>
                      <w:rFonts w:hint="default" w:ascii="Times New Roman" w:hAnsi="Times New Roman" w:eastAsia="宋体" w:cs="Times New Roman"/>
                      <w:b w:val="0"/>
                      <w:bCs w:val="0"/>
                      <w:i w:val="0"/>
                      <w:iCs w:val="0"/>
                      <w:caps w:val="0"/>
                      <w:color w:val="0F1115"/>
                      <w:spacing w:val="0"/>
                      <w:sz w:val="18"/>
                      <w:szCs w:val="18"/>
                      <w:vertAlign w:val="baseline"/>
                      <w:lang w:val="en-US" w:eastAsia="zh-CN"/>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废水</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生活污水</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依托一期隔油池（≥2</w:t>
                  </w:r>
                  <w:r>
                    <w:rPr>
                      <w:rFonts w:hint="default" w:ascii="Times New Roman" w:hAnsi="Times New Roman" w:cs="Times New Roman"/>
                      <w:b w:val="0"/>
                      <w:bCs w:val="0"/>
                      <w:kern w:val="0"/>
                      <w:sz w:val="18"/>
                      <w:szCs w:val="18"/>
                      <w:lang w:val="en-US" w:eastAsia="zh-CN" w:bidi="ar"/>
                    </w:rPr>
                    <w:t>m3</w:t>
                  </w:r>
                  <w:r>
                    <w:rPr>
                      <w:rFonts w:hint="default" w:ascii="Times New Roman" w:hAnsi="Times New Roman" w:eastAsia="宋体" w:cs="Times New Roman"/>
                      <w:b w:val="0"/>
                      <w:bCs w:val="0"/>
                      <w:kern w:val="0"/>
                      <w:sz w:val="18"/>
                      <w:szCs w:val="18"/>
                      <w:lang w:val="en-US" w:eastAsia="zh-CN" w:bidi="ar"/>
                    </w:rPr>
                    <w:t>）+化粪池，排入市政管网</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0（依托一期）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试压废水</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三级沉淀池1座（30</w:t>
                  </w:r>
                  <w:r>
                    <w:rPr>
                      <w:rFonts w:hint="default" w:ascii="Times New Roman" w:hAnsi="Times New Roman" w:cs="Times New Roman"/>
                      <w:b w:val="0"/>
                      <w:bCs w:val="0"/>
                      <w:kern w:val="0"/>
                      <w:sz w:val="18"/>
                      <w:szCs w:val="18"/>
                      <w:lang w:val="en-US" w:eastAsia="zh-CN" w:bidi="ar"/>
                    </w:rPr>
                    <w:t>m</w:t>
                  </w:r>
                  <w:r>
                    <w:rPr>
                      <w:rFonts w:hint="eastAsia" w:cs="Times New Roman"/>
                      <w:b w:val="0"/>
                      <w:bCs w:val="0"/>
                      <w:kern w:val="0"/>
                      <w:sz w:val="18"/>
                      <w:szCs w:val="18"/>
                      <w:vertAlign w:val="superscript"/>
                      <w:lang w:val="en-US" w:eastAsia="zh-CN" w:bidi="ar"/>
                    </w:rPr>
                    <w:t>3</w:t>
                  </w:r>
                  <w:r>
                    <w:rPr>
                      <w:rFonts w:hint="default" w:ascii="Times New Roman" w:hAnsi="Times New Roman" w:eastAsia="宋体" w:cs="Times New Roman"/>
                      <w:b w:val="0"/>
                      <w:bCs w:val="0"/>
                      <w:kern w:val="0"/>
                      <w:sz w:val="18"/>
                      <w:szCs w:val="18"/>
                      <w:lang w:val="en-US" w:eastAsia="zh-CN" w:bidi="ar"/>
                    </w:rPr>
                    <w:t>），防渗防腐</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噪声</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设备噪声</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选用低噪声设备，设备置于室内，并采取基础减振措施，定期保养</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固废</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一般工业固废</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eastAsia" w:cs="Times New Roman"/>
                      <w:b w:val="0"/>
                      <w:bCs w:val="0"/>
                      <w:kern w:val="0"/>
                      <w:sz w:val="18"/>
                      <w:szCs w:val="18"/>
                      <w:lang w:val="en-US" w:eastAsia="zh-CN" w:bidi="ar"/>
                    </w:rPr>
                    <w:t>一般工业固废</w:t>
                  </w:r>
                  <w:r>
                    <w:rPr>
                      <w:rFonts w:hint="default" w:ascii="Times New Roman" w:hAnsi="Times New Roman" w:eastAsia="宋体" w:cs="Times New Roman"/>
                      <w:b w:val="0"/>
                      <w:bCs w:val="0"/>
                      <w:kern w:val="0"/>
                      <w:sz w:val="18"/>
                      <w:szCs w:val="18"/>
                      <w:lang w:val="en-US" w:eastAsia="zh-CN" w:bidi="ar"/>
                    </w:rPr>
                    <w:t>储存区（依托一期），分类分区存放</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0（依托一期）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危险废物</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危废贮存点整改（分区划线、标识标牌规范化、防渗完善）</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分类收集、避雨存放，委托环卫部门定期清运处理</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环境风险</w:t>
                  </w: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事故废水</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eastAsia" w:cs="Times New Roman"/>
                      <w:b w:val="0"/>
                      <w:bCs w:val="0"/>
                      <w:kern w:val="0"/>
                      <w:sz w:val="18"/>
                      <w:szCs w:val="18"/>
                      <w:lang w:val="en-US" w:eastAsia="zh-CN" w:bidi="ar"/>
                    </w:rPr>
                    <w:t>依托现有</w:t>
                  </w:r>
                  <w:r>
                    <w:rPr>
                      <w:rFonts w:hint="default" w:ascii="Times New Roman" w:hAnsi="Times New Roman" w:eastAsia="宋体" w:cs="Times New Roman"/>
                      <w:b w:val="0"/>
                      <w:bCs w:val="0"/>
                      <w:kern w:val="0"/>
                      <w:sz w:val="18"/>
                      <w:szCs w:val="18"/>
                      <w:highlight w:val="yellow"/>
                      <w:lang w:val="en-US" w:eastAsia="zh-CN" w:bidi="ar"/>
                    </w:rPr>
                    <w:t>事故应急池（消防水池）</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rPr>
                  </w:pPr>
                  <w:r>
                    <w:rPr>
                      <w:rFonts w:hint="default" w:ascii="Times New Roman" w:hAnsi="Times New Roman" w:eastAsia="宋体" w:cs="Times New Roman"/>
                      <w:b w:val="0"/>
                      <w:bCs w:val="0"/>
                      <w:kern w:val="0"/>
                      <w:sz w:val="18"/>
                      <w:szCs w:val="18"/>
                      <w:lang w:val="en-US" w:eastAsia="zh-CN" w:bidi="ar"/>
                    </w:rPr>
                    <w:t>依托现有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火灾风险</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灭火器、消防栓等消防设备</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泄漏风险</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防泄漏托盘、吸附棉、沙土等应急物资</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可燃气体报警</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原料库、固化剂库房设置可燃气体报警装置</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应急预案</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突发环境事件应急预案编制、评审及备案</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1359"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应急演练</w:t>
                  </w:r>
                </w:p>
              </w:tc>
              <w:tc>
                <w:tcPr>
                  <w:tcW w:w="502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定期开展应急演练及培训</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602"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57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p>
              </w:tc>
              <w:tc>
                <w:tcPr>
                  <w:tcW w:w="6385" w:type="dxa"/>
                  <w:gridSpan w:val="2"/>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运营期小计</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rPr>
                  </w:pPr>
                  <w:r>
                    <w:rPr>
                      <w:rFonts w:hint="default" w:ascii="Times New Roman" w:hAnsi="Times New Roman" w:eastAsia="宋体" w:cs="Times New Roman"/>
                      <w:b w:val="0"/>
                      <w:bCs w:val="0"/>
                      <w:kern w:val="0"/>
                      <w:sz w:val="18"/>
                      <w:szCs w:val="18"/>
                      <w:lang w:val="en-US" w:eastAsia="zh-CN" w:bidi="ar"/>
                    </w:rPr>
                    <w:t>42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7563" w:type="dxa"/>
                  <w:gridSpan w:val="4"/>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rPr>
                  </w:pPr>
                  <w:r>
                    <w:rPr>
                      <w:rFonts w:hint="default" w:ascii="Times New Roman" w:hAnsi="Times New Roman" w:eastAsia="宋体" w:cs="Times New Roman"/>
                      <w:b w:val="0"/>
                      <w:bCs w:val="0"/>
                      <w:kern w:val="0"/>
                      <w:sz w:val="18"/>
                      <w:szCs w:val="18"/>
                      <w:lang w:val="en-US" w:eastAsia="zh-CN" w:bidi="ar"/>
                    </w:rPr>
                    <w:t>合计</w:t>
                  </w:r>
                </w:p>
              </w:tc>
              <w:tc>
                <w:tcPr>
                  <w:tcW w:w="57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sz w:val="18"/>
                      <w:szCs w:val="18"/>
                      <w:vertAlign w:val="baseline"/>
                      <w:lang w:val="en-US"/>
                    </w:rPr>
                  </w:pPr>
                  <w:r>
                    <w:rPr>
                      <w:rFonts w:hint="default" w:ascii="Times New Roman" w:hAnsi="Times New Roman" w:eastAsia="宋体" w:cs="Times New Roman"/>
                      <w:b w:val="0"/>
                      <w:bCs w:val="0"/>
                      <w:kern w:val="0"/>
                      <w:sz w:val="18"/>
                      <w:szCs w:val="18"/>
                      <w:lang w:val="en-US" w:eastAsia="zh-CN" w:bidi="ar"/>
                    </w:rPr>
                    <w:t>48</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cs="Times New Roman"/>
                <w:b/>
                <w:color w:val="auto"/>
                <w:sz w:val="24"/>
                <w:szCs w:val="24"/>
                <w:lang w:val="en-US" w:eastAsia="zh-CN"/>
              </w:rPr>
            </w:pPr>
            <w:r>
              <w:rPr>
                <w:rFonts w:hint="default" w:ascii="Times New Roman" w:hAnsi="Times New Roman" w:cs="Times New Roman"/>
                <w:b/>
                <w:bCs/>
                <w:color w:val="auto"/>
                <w:sz w:val="24"/>
                <w:szCs w:val="24"/>
                <w:lang w:val="en-US" w:eastAsia="zh-CN"/>
              </w:rPr>
              <w:t>8、</w:t>
            </w:r>
            <w:r>
              <w:rPr>
                <w:rFonts w:hint="default" w:ascii="Times New Roman" w:hAnsi="Times New Roman" w:cs="Times New Roman"/>
                <w:b/>
                <w:color w:val="auto"/>
                <w:sz w:val="24"/>
                <w:szCs w:val="24"/>
              </w:rPr>
              <w:t>排污口规范化</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（1）按照国家相关的规定，应如实向环境管理部门申报排污口数量、位置及所排放的主要污染物或产生公害的种类、数量、浓度、排放去向等情况。</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（2）本项目的废水排放口处设立明显的排口标志及装备污水流量计；</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（3）对于固体废弃物，应当设置暂时贮存或堆放场所，堆放场地或贮存设施必须有防雨水淋洗冲刷、防流失、防渗漏等措施，贮存（堆放）处进路口应设置标志牌。</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4）本项目的工程设计在污染物排放口（源）设置监测用的采样口，采样口的设计应符合《污染源监测技术规范》要求并便于采样监测。同时必须按《环境保护图形标志—排放口（源）》（GB15562.1-1995）规定的图形，在各气、水、声排污口（源）挂牌标识，做到各排污口（源）的环保标志明显，便于企业管理和公众监督。</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按照《环境保护图形标志排放口（源）》（GBl5562.1—1995）中有关规定，在本工程的</w:t>
            </w:r>
            <w:r>
              <w:rPr>
                <w:rFonts w:hint="default" w:ascii="Times New Roman" w:hAnsi="Times New Roman" w:cs="Times New Roman"/>
                <w:color w:val="auto"/>
                <w:spacing w:val="0"/>
                <w:kern w:val="0"/>
                <w:sz w:val="24"/>
                <w:szCs w:val="24"/>
                <w:lang w:val="en-US" w:eastAsia="zh-CN"/>
              </w:rPr>
              <w:t>“</w:t>
            </w:r>
            <w:r>
              <w:rPr>
                <w:rFonts w:hint="default" w:ascii="Times New Roman" w:hAnsi="Times New Roman" w:eastAsia="宋体" w:cs="Times New Roman"/>
                <w:color w:val="auto"/>
                <w:spacing w:val="0"/>
                <w:kern w:val="0"/>
                <w:sz w:val="24"/>
                <w:szCs w:val="24"/>
                <w:lang w:val="en-US" w:eastAsia="zh-CN"/>
              </w:rPr>
              <w:t>三废</w:t>
            </w:r>
            <w:r>
              <w:rPr>
                <w:rFonts w:hint="default" w:ascii="Times New Roman" w:hAnsi="Times New Roman" w:cs="Times New Roman"/>
                <w:color w:val="auto"/>
                <w:spacing w:val="0"/>
                <w:kern w:val="0"/>
                <w:sz w:val="24"/>
                <w:szCs w:val="24"/>
                <w:lang w:val="en-US" w:eastAsia="zh-CN"/>
              </w:rPr>
              <w:t>”</w:t>
            </w:r>
            <w:r>
              <w:rPr>
                <w:rFonts w:hint="default" w:ascii="Times New Roman" w:hAnsi="Times New Roman" w:eastAsia="宋体" w:cs="Times New Roman"/>
                <w:color w:val="auto"/>
                <w:spacing w:val="0"/>
                <w:kern w:val="0"/>
                <w:sz w:val="24"/>
                <w:szCs w:val="24"/>
                <w:lang w:val="en-US" w:eastAsia="zh-CN"/>
              </w:rPr>
              <w:t>及噪声等污染排放点设置明显标志，规范排污口的标志，排放口图形标志见表4-2</w:t>
            </w:r>
            <w:r>
              <w:rPr>
                <w:rFonts w:hint="default" w:ascii="Times New Roman" w:hAnsi="Times New Roman" w:cs="Times New Roman"/>
                <w:color w:val="auto"/>
                <w:spacing w:val="0"/>
                <w:kern w:val="0"/>
                <w:sz w:val="24"/>
                <w:szCs w:val="24"/>
                <w:lang w:val="en-US" w:eastAsia="zh-CN"/>
              </w:rPr>
              <w:t>8</w:t>
            </w:r>
            <w:r>
              <w:rPr>
                <w:rFonts w:hint="default" w:ascii="Times New Roman" w:hAnsi="Times New Roman" w:eastAsia="宋体" w:cs="Times New Roman"/>
                <w:color w:val="auto"/>
                <w:spacing w:val="0"/>
                <w:kern w:val="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b/>
                <w:bCs/>
                <w:color w:val="auto"/>
                <w:spacing w:val="0"/>
                <w:sz w:val="21"/>
                <w:szCs w:val="21"/>
                <w:highlight w:val="none"/>
                <w:lang w:val="en-US" w:eastAsia="zh-CN"/>
              </w:rPr>
            </w:pPr>
            <w:r>
              <w:rPr>
                <w:rFonts w:hint="default" w:ascii="Times New Roman" w:hAnsi="Times New Roman" w:eastAsia="宋体" w:cs="Times New Roman"/>
                <w:b/>
                <w:bCs/>
                <w:color w:val="auto"/>
                <w:spacing w:val="0"/>
                <w:sz w:val="21"/>
                <w:szCs w:val="21"/>
                <w:highlight w:val="none"/>
                <w:lang w:val="en-US" w:eastAsia="zh-CN"/>
              </w:rPr>
              <w:t>表4-2</w:t>
            </w:r>
            <w:r>
              <w:rPr>
                <w:rFonts w:hint="default" w:ascii="Times New Roman" w:hAnsi="Times New Roman" w:cs="Times New Roman"/>
                <w:b/>
                <w:bCs/>
                <w:color w:val="auto"/>
                <w:spacing w:val="0"/>
                <w:sz w:val="21"/>
                <w:szCs w:val="21"/>
                <w:highlight w:val="none"/>
                <w:lang w:val="en-US" w:eastAsia="zh-CN"/>
              </w:rPr>
              <w:t>8</w:t>
            </w:r>
            <w:r>
              <w:rPr>
                <w:rFonts w:hint="default" w:ascii="Times New Roman" w:hAnsi="Times New Roman" w:eastAsia="宋体" w:cs="Times New Roman"/>
                <w:b/>
                <w:bCs/>
                <w:color w:val="auto"/>
                <w:spacing w:val="0"/>
                <w:sz w:val="21"/>
                <w:szCs w:val="21"/>
                <w:highlight w:val="none"/>
              </w:rPr>
              <w:t xml:space="preserve">  排放口图形标志</w:t>
            </w:r>
            <w:r>
              <w:rPr>
                <w:rFonts w:hint="default" w:ascii="Times New Roman" w:hAnsi="Times New Roman" w:eastAsia="宋体" w:cs="Times New Roman"/>
                <w:b/>
                <w:bCs/>
                <w:color w:val="auto"/>
                <w:spacing w:val="0"/>
                <w:sz w:val="21"/>
                <w:szCs w:val="21"/>
                <w:highlight w:val="none"/>
                <w:lang w:val="en-US" w:eastAsia="zh-CN"/>
              </w:rPr>
              <w:t>一览表</w:t>
            </w:r>
          </w:p>
          <w:tbl>
            <w:tblPr>
              <w:tblStyle w:val="35"/>
              <w:tblW w:w="4997" w:type="pct"/>
              <w:tblInd w:w="-15"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57" w:type="dxa"/>
                <w:bottom w:w="0" w:type="dxa"/>
                <w:right w:w="57" w:type="dxa"/>
              </w:tblCellMar>
            </w:tblPr>
            <w:tblGrid>
              <w:gridCol w:w="869"/>
              <w:gridCol w:w="1440"/>
              <w:gridCol w:w="1440"/>
              <w:gridCol w:w="1434"/>
              <w:gridCol w:w="1434"/>
              <w:gridCol w:w="148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trPr>
              <w:tc>
                <w:tcPr>
                  <w:tcW w:w="54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排污口</w:t>
                  </w:r>
                </w:p>
              </w:tc>
              <w:tc>
                <w:tcPr>
                  <w:tcW w:w="89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废水排放口</w:t>
                  </w:r>
                </w:p>
              </w:tc>
              <w:tc>
                <w:tcPr>
                  <w:tcW w:w="89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废气排放口</w:t>
                  </w:r>
                </w:p>
              </w:tc>
              <w:tc>
                <w:tcPr>
                  <w:tcW w:w="8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噪声源</w:t>
                  </w:r>
                </w:p>
              </w:tc>
              <w:tc>
                <w:tcPr>
                  <w:tcW w:w="8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固废堆场</w:t>
                  </w:r>
                </w:p>
              </w:tc>
              <w:tc>
                <w:tcPr>
                  <w:tcW w:w="9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color w:val="auto"/>
                      <w:spacing w:val="0"/>
                      <w:sz w:val="21"/>
                      <w:szCs w:val="21"/>
                      <w:highlight w:val="none"/>
                    </w:rPr>
                  </w:pPr>
                  <w:r>
                    <w:rPr>
                      <w:rFonts w:hint="default" w:ascii="Times New Roman" w:hAnsi="Times New Roman" w:eastAsia="宋体" w:cs="Times New Roman"/>
                      <w:b/>
                      <w:bCs/>
                      <w:color w:val="auto"/>
                      <w:spacing w:val="0"/>
                      <w:sz w:val="21"/>
                      <w:szCs w:val="21"/>
                      <w:highlight w:val="none"/>
                    </w:rPr>
                    <w:t>危废</w:t>
                  </w:r>
                  <w:r>
                    <w:rPr>
                      <w:rFonts w:hint="default" w:ascii="Times New Roman" w:hAnsi="Times New Roman" w:cs="Times New Roman"/>
                      <w:b/>
                      <w:bCs/>
                      <w:color w:val="auto"/>
                      <w:sz w:val="21"/>
                      <w:szCs w:val="21"/>
                      <w:highlight w:val="none"/>
                      <w:lang w:val="en-US" w:eastAsia="zh-CN"/>
                    </w:rPr>
                    <w:t>贮存点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533" w:hRule="atLeast"/>
              </w:trPr>
              <w:tc>
                <w:tcPr>
                  <w:tcW w:w="54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图形</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符号</w:t>
                  </w:r>
                </w:p>
              </w:tc>
              <w:tc>
                <w:tcPr>
                  <w:tcW w:w="89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drawing>
                      <wp:inline distT="0" distB="0" distL="114300" distR="114300">
                        <wp:extent cx="830580" cy="830580"/>
                        <wp:effectExtent l="0" t="0" r="7620" b="762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6"/>
                                <a:stretch>
                                  <a:fillRect/>
                                </a:stretch>
                              </pic:blipFill>
                              <pic:spPr>
                                <a:xfrm>
                                  <a:off x="0" y="0"/>
                                  <a:ext cx="830580" cy="830580"/>
                                </a:xfrm>
                                <a:prstGeom prst="rect">
                                  <a:avLst/>
                                </a:prstGeom>
                                <a:noFill/>
                                <a:ln>
                                  <a:noFill/>
                                </a:ln>
                              </pic:spPr>
                            </pic:pic>
                          </a:graphicData>
                        </a:graphic>
                      </wp:inline>
                    </w:drawing>
                  </w:r>
                </w:p>
              </w:tc>
              <w:tc>
                <w:tcPr>
                  <w:tcW w:w="89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drawing>
                      <wp:inline distT="0" distB="0" distL="114300" distR="114300">
                        <wp:extent cx="830580" cy="830580"/>
                        <wp:effectExtent l="0" t="0" r="7620" b="762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7"/>
                                <a:stretch>
                                  <a:fillRect/>
                                </a:stretch>
                              </pic:blipFill>
                              <pic:spPr>
                                <a:xfrm>
                                  <a:off x="0" y="0"/>
                                  <a:ext cx="830580" cy="830580"/>
                                </a:xfrm>
                                <a:prstGeom prst="rect">
                                  <a:avLst/>
                                </a:prstGeom>
                                <a:noFill/>
                                <a:ln>
                                  <a:noFill/>
                                </a:ln>
                              </pic:spPr>
                            </pic:pic>
                          </a:graphicData>
                        </a:graphic>
                      </wp:inline>
                    </w:drawing>
                  </w:r>
                </w:p>
              </w:tc>
              <w:tc>
                <w:tcPr>
                  <w:tcW w:w="8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drawing>
                      <wp:inline distT="0" distB="0" distL="114300" distR="114300">
                        <wp:extent cx="803275" cy="803275"/>
                        <wp:effectExtent l="0" t="0" r="4445" b="4445"/>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18"/>
                                <a:stretch>
                                  <a:fillRect/>
                                </a:stretch>
                              </pic:blipFill>
                              <pic:spPr>
                                <a:xfrm>
                                  <a:off x="0" y="0"/>
                                  <a:ext cx="803275" cy="803275"/>
                                </a:xfrm>
                                <a:prstGeom prst="rect">
                                  <a:avLst/>
                                </a:prstGeom>
                                <a:noFill/>
                                <a:ln>
                                  <a:noFill/>
                                </a:ln>
                              </pic:spPr>
                            </pic:pic>
                          </a:graphicData>
                        </a:graphic>
                      </wp:inline>
                    </w:drawing>
                  </w:r>
                </w:p>
              </w:tc>
              <w:tc>
                <w:tcPr>
                  <w:tcW w:w="8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drawing>
                      <wp:inline distT="0" distB="0" distL="114300" distR="114300">
                        <wp:extent cx="820420" cy="820420"/>
                        <wp:effectExtent l="0" t="0" r="2540" b="2540"/>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19"/>
                                <a:stretch>
                                  <a:fillRect/>
                                </a:stretch>
                              </pic:blipFill>
                              <pic:spPr>
                                <a:xfrm>
                                  <a:off x="0" y="0"/>
                                  <a:ext cx="820420" cy="820420"/>
                                </a:xfrm>
                                <a:prstGeom prst="rect">
                                  <a:avLst/>
                                </a:prstGeom>
                                <a:noFill/>
                                <a:ln>
                                  <a:noFill/>
                                </a:ln>
                              </pic:spPr>
                            </pic:pic>
                          </a:graphicData>
                        </a:graphic>
                      </wp:inline>
                    </w:drawing>
                  </w:r>
                </w:p>
              </w:tc>
              <w:tc>
                <w:tcPr>
                  <w:tcW w:w="9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cs="Times New Roman"/>
                      <w:color w:val="auto"/>
                    </w:rPr>
                    <w:drawing>
                      <wp:inline distT="0" distB="0" distL="114300" distR="114300">
                        <wp:extent cx="805180" cy="810895"/>
                        <wp:effectExtent l="0" t="0" r="2540" b="12065"/>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20"/>
                                <a:stretch>
                                  <a:fillRect/>
                                </a:stretch>
                              </pic:blipFill>
                              <pic:spPr>
                                <a:xfrm>
                                  <a:off x="0" y="0"/>
                                  <a:ext cx="805180" cy="810895"/>
                                </a:xfrm>
                                <a:prstGeom prst="rect">
                                  <a:avLst/>
                                </a:prstGeom>
                                <a:noFill/>
                                <a:ln>
                                  <a:noFill/>
                                </a:ln>
                              </pic:spPr>
                            </pic:pic>
                          </a:graphicData>
                        </a:graphic>
                      </wp:inline>
                    </w:drawing>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533" w:hRule="atLeast"/>
              </w:trPr>
              <w:tc>
                <w:tcPr>
                  <w:tcW w:w="54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警示</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标识</w:t>
                  </w:r>
                </w:p>
              </w:tc>
              <w:tc>
                <w:tcPr>
                  <w:tcW w:w="89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lang w:val="en-US" w:eastAsia="zh-CN"/>
                    </w:rPr>
                    <w:t>/</w:t>
                  </w:r>
                </w:p>
              </w:tc>
              <w:tc>
                <w:tcPr>
                  <w:tcW w:w="893"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cs="Times New Roman"/>
                      <w:color w:val="auto"/>
                    </w:rPr>
                    <w:drawing>
                      <wp:inline distT="0" distB="0" distL="114300" distR="114300">
                        <wp:extent cx="831850" cy="831850"/>
                        <wp:effectExtent l="0" t="0" r="6350" b="6350"/>
                        <wp:docPr id="29" name="图片 3"/>
                        <wp:cNvGraphicFramePr/>
                        <a:graphic xmlns:a="http://schemas.openxmlformats.org/drawingml/2006/main">
                          <a:graphicData uri="http://schemas.openxmlformats.org/drawingml/2006/picture">
                            <pic:pic xmlns:pic="http://schemas.openxmlformats.org/drawingml/2006/picture">
                              <pic:nvPicPr>
                                <pic:cNvPr id="29" name="图片 3"/>
                                <pic:cNvPicPr/>
                              </pic:nvPicPr>
                              <pic:blipFill>
                                <a:blip r:embed="rId21"/>
                                <a:stretch>
                                  <a:fillRect/>
                                </a:stretch>
                              </pic:blipFill>
                              <pic:spPr>
                                <a:xfrm>
                                  <a:off x="0" y="0"/>
                                  <a:ext cx="831850" cy="831850"/>
                                </a:xfrm>
                                <a:prstGeom prst="rect">
                                  <a:avLst/>
                                </a:prstGeom>
                                <a:noFill/>
                                <a:ln>
                                  <a:noFill/>
                                </a:ln>
                              </pic:spPr>
                            </pic:pic>
                          </a:graphicData>
                        </a:graphic>
                      </wp:inline>
                    </w:drawing>
                  </w:r>
                </w:p>
              </w:tc>
              <w:tc>
                <w:tcPr>
                  <w:tcW w:w="86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cs="Times New Roman"/>
                      <w:color w:val="auto"/>
                    </w:rPr>
                    <w:drawing>
                      <wp:inline distT="0" distB="0" distL="114300" distR="114300">
                        <wp:extent cx="831850" cy="831850"/>
                        <wp:effectExtent l="0" t="0" r="6350" b="6350"/>
                        <wp:docPr id="31" name="图片 5"/>
                        <wp:cNvGraphicFramePr/>
                        <a:graphic xmlns:a="http://schemas.openxmlformats.org/drawingml/2006/main">
                          <a:graphicData uri="http://schemas.openxmlformats.org/drawingml/2006/picture">
                            <pic:pic xmlns:pic="http://schemas.openxmlformats.org/drawingml/2006/picture">
                              <pic:nvPicPr>
                                <pic:cNvPr id="31" name="图片 5"/>
                                <pic:cNvPicPr/>
                              </pic:nvPicPr>
                              <pic:blipFill>
                                <a:blip r:embed="rId22"/>
                                <a:stretch>
                                  <a:fillRect/>
                                </a:stretch>
                              </pic:blipFill>
                              <pic:spPr>
                                <a:xfrm>
                                  <a:off x="0" y="0"/>
                                  <a:ext cx="831850" cy="831850"/>
                                </a:xfrm>
                                <a:prstGeom prst="rect">
                                  <a:avLst/>
                                </a:prstGeom>
                                <a:noFill/>
                                <a:ln>
                                  <a:noFill/>
                                </a:ln>
                              </pic:spPr>
                            </pic:pic>
                          </a:graphicData>
                        </a:graphic>
                      </wp:inline>
                    </w:drawing>
                  </w:r>
                </w:p>
              </w:tc>
              <w:tc>
                <w:tcPr>
                  <w:tcW w:w="8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color w:val="auto"/>
                      <w:spacing w:val="0"/>
                      <w:sz w:val="21"/>
                      <w:szCs w:val="21"/>
                      <w:highlight w:val="none"/>
                    </w:rPr>
                  </w:pPr>
                  <w:r>
                    <w:rPr>
                      <w:rFonts w:hint="default" w:ascii="Times New Roman" w:hAnsi="Times New Roman" w:cs="Times New Roman"/>
                      <w:color w:val="auto"/>
                    </w:rPr>
                    <w:drawing>
                      <wp:inline distT="0" distB="0" distL="114300" distR="114300">
                        <wp:extent cx="831850" cy="831850"/>
                        <wp:effectExtent l="0" t="0" r="6350" b="6350"/>
                        <wp:docPr id="32" name="图片 4"/>
                        <wp:cNvGraphicFramePr/>
                        <a:graphic xmlns:a="http://schemas.openxmlformats.org/drawingml/2006/main">
                          <a:graphicData uri="http://schemas.openxmlformats.org/drawingml/2006/picture">
                            <pic:pic xmlns:pic="http://schemas.openxmlformats.org/drawingml/2006/picture">
                              <pic:nvPicPr>
                                <pic:cNvPr id="32" name="图片 4"/>
                                <pic:cNvPicPr/>
                              </pic:nvPicPr>
                              <pic:blipFill>
                                <a:blip r:embed="rId23"/>
                                <a:stretch>
                                  <a:fillRect/>
                                </a:stretch>
                              </pic:blipFill>
                              <pic:spPr>
                                <a:xfrm>
                                  <a:off x="0" y="0"/>
                                  <a:ext cx="831850" cy="831850"/>
                                </a:xfrm>
                                <a:prstGeom prst="rect">
                                  <a:avLst/>
                                </a:prstGeom>
                                <a:noFill/>
                                <a:ln>
                                  <a:noFill/>
                                </a:ln>
                              </pic:spPr>
                            </pic:pic>
                          </a:graphicData>
                        </a:graphic>
                      </wp:inline>
                    </w:drawing>
                  </w:r>
                </w:p>
              </w:tc>
              <w:tc>
                <w:tcPr>
                  <w:tcW w:w="9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805180" cy="810895"/>
                        <wp:effectExtent l="0" t="0" r="2540" b="12065"/>
                        <wp:docPr id="3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
                                <pic:cNvPicPr>
                                  <a:picLocks noChangeAspect="1"/>
                                </pic:cNvPicPr>
                              </pic:nvPicPr>
                              <pic:blipFill>
                                <a:blip r:embed="rId20"/>
                                <a:stretch>
                                  <a:fillRect/>
                                </a:stretch>
                              </pic:blipFill>
                              <pic:spPr>
                                <a:xfrm>
                                  <a:off x="0" y="0"/>
                                  <a:ext cx="805180" cy="810895"/>
                                </a:xfrm>
                                <a:prstGeom prst="rect">
                                  <a:avLst/>
                                </a:prstGeom>
                                <a:noFill/>
                                <a:ln>
                                  <a:noFill/>
                                </a:ln>
                              </pic:spPr>
                            </pic:pic>
                          </a:graphicData>
                        </a:graphic>
                      </wp:inline>
                    </w:drawing>
                  </w:r>
                </w:p>
              </w:tc>
            </w:tr>
          </w:tbl>
          <w:p>
            <w:pPr>
              <w:keepNext w:val="0"/>
              <w:keepLines w:val="0"/>
              <w:widowControl/>
              <w:suppressLineNumbers w:val="0"/>
              <w:spacing w:before="157" w:beforeLines="50" w:line="360" w:lineRule="auto"/>
              <w:ind w:firstLine="482" w:firstLineChars="200"/>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pacing w:val="0"/>
                <w:kern w:val="2"/>
                <w:sz w:val="24"/>
                <w:szCs w:val="24"/>
                <w:lang w:val="en-US" w:eastAsia="zh-CN"/>
              </w:rPr>
              <w:t>9、</w:t>
            </w:r>
            <w:r>
              <w:rPr>
                <w:rFonts w:hint="default" w:ascii="Times New Roman" w:hAnsi="Times New Roman" w:eastAsia="宋体" w:cs="Times New Roman"/>
                <w:b/>
                <w:bCs w:val="0"/>
                <w:color w:val="auto"/>
                <w:kern w:val="2"/>
                <w:sz w:val="24"/>
                <w:szCs w:val="24"/>
                <w:lang w:val="en-US" w:eastAsia="zh-CN" w:bidi="ar"/>
              </w:rPr>
              <w:t>环境管理</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根据本项目的生产特点，对环境管理机构的设置如下：</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环境管理应由总经理主管负责，下设环境保护专职机构，并与各职能部门保持密切的联系，由专职环境保护管理和工作的人员实施全公司的环境管理工作，其主要职责是：</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①贯彻执行国家和</w:t>
            </w:r>
            <w:r>
              <w:rPr>
                <w:rFonts w:hint="default" w:ascii="Times New Roman" w:hAnsi="Times New Roman" w:cs="Times New Roman"/>
                <w:color w:val="auto"/>
                <w:spacing w:val="0"/>
                <w:kern w:val="0"/>
                <w:sz w:val="24"/>
                <w:szCs w:val="24"/>
                <w:lang w:val="en-US" w:eastAsia="zh-CN"/>
              </w:rPr>
              <w:t>新疆</w:t>
            </w:r>
            <w:r>
              <w:rPr>
                <w:rFonts w:hint="default" w:ascii="Times New Roman" w:hAnsi="Times New Roman" w:eastAsia="宋体" w:cs="Times New Roman"/>
                <w:color w:val="auto"/>
                <w:spacing w:val="0"/>
                <w:kern w:val="0"/>
                <w:sz w:val="24"/>
                <w:szCs w:val="24"/>
                <w:lang w:val="en-US" w:eastAsia="zh-CN"/>
              </w:rPr>
              <w:t>的环境保护法规和标准；</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②接受环保主管部门的检查监督，定期上报各项环境管理工作的执行情况；</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③组织制定公司各部门的环境管理规章制度；</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r>
              <w:rPr>
                <w:rFonts w:hint="default" w:ascii="Times New Roman" w:hAnsi="Times New Roman" w:eastAsia="宋体" w:cs="Times New Roman"/>
                <w:color w:val="auto"/>
                <w:spacing w:val="0"/>
                <w:kern w:val="0"/>
                <w:sz w:val="24"/>
                <w:szCs w:val="24"/>
                <w:lang w:val="en-US" w:eastAsia="zh-CN"/>
              </w:rPr>
              <w:t>④负责环保设施的正常运转，以及环境监测计划的实施。</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baseline"/>
              <w:rPr>
                <w:rFonts w:hint="default" w:ascii="Times New Roman" w:hAnsi="Times New Roman" w:eastAsia="宋体" w:cs="Times New Roman"/>
                <w:color w:val="auto"/>
                <w:spacing w:val="0"/>
                <w:kern w:val="0"/>
                <w:sz w:val="24"/>
                <w:szCs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baseline"/>
              <w:rPr>
                <w:rFonts w:hint="default" w:ascii="Times New Roman" w:hAnsi="Times New Roman" w:eastAsia="宋体" w:cs="Times New Roman"/>
                <w:color w:val="auto"/>
                <w:spacing w:val="0"/>
                <w:kern w:val="0"/>
                <w:sz w:val="24"/>
                <w:szCs w:val="24"/>
                <w:lang w:val="en-US" w:eastAsia="zh-CN"/>
              </w:rPr>
            </w:pPr>
          </w:p>
        </w:tc>
      </w:tr>
    </w:tbl>
    <w:p>
      <w:pPr>
        <w:adjustRightInd w:val="0"/>
        <w:snapToGrid w:val="0"/>
        <w:spacing w:line="360" w:lineRule="auto"/>
        <w:rPr>
          <w:rFonts w:hint="default" w:ascii="Times New Roman" w:hAnsi="Times New Roman" w:cs="Times New Roman"/>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pStyle w:val="32"/>
        <w:jc w:val="center"/>
        <w:outlineLvl w:val="0"/>
        <w:rPr>
          <w:rFonts w:hint="default" w:ascii="Times New Roman" w:hAnsi="Times New Roman" w:eastAsia="黑体" w:cs="Times New Roman"/>
          <w:snapToGrid w:val="0"/>
          <w:color w:val="auto"/>
          <w:sz w:val="30"/>
          <w:szCs w:val="30"/>
          <w:vertAlign w:val="baseline"/>
        </w:rPr>
      </w:pPr>
      <w:r>
        <w:rPr>
          <w:rFonts w:hint="default" w:ascii="Times New Roman" w:hAnsi="Times New Roman" w:eastAsia="黑体" w:cs="Times New Roman"/>
          <w:snapToGrid w:val="0"/>
          <w:color w:val="auto"/>
          <w:sz w:val="30"/>
          <w:szCs w:val="30"/>
        </w:rPr>
        <w:t>五、</w:t>
      </w:r>
      <w:bookmarkStart w:id="8" w:name="_Hlk54167917"/>
      <w:r>
        <w:rPr>
          <w:rFonts w:hint="default" w:ascii="Times New Roman" w:hAnsi="Times New Roman" w:eastAsia="黑体" w:cs="Times New Roman"/>
          <w:snapToGrid w:val="0"/>
          <w:color w:val="auto"/>
          <w:sz w:val="30"/>
          <w:szCs w:val="30"/>
        </w:rPr>
        <w:t>环境保护措施监督检查清单</w:t>
      </w:r>
      <w:bookmarkEnd w:id="8"/>
    </w:p>
    <w:tbl>
      <w:tblPr>
        <w:tblStyle w:val="36"/>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23"/>
        <w:gridCol w:w="1644"/>
        <w:gridCol w:w="1296"/>
        <w:gridCol w:w="2102"/>
        <w:gridCol w:w="32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内容要素</w:t>
            </w:r>
          </w:p>
        </w:tc>
        <w:tc>
          <w:tcPr>
            <w:tcW w:w="907"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排放口（编号、名称）/污染源</w:t>
            </w:r>
          </w:p>
        </w:tc>
        <w:tc>
          <w:tcPr>
            <w:tcW w:w="715"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污染物项目</w:t>
            </w:r>
          </w:p>
        </w:tc>
        <w:tc>
          <w:tcPr>
            <w:tcW w:w="1160"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环境保护措施</w:t>
            </w:r>
          </w:p>
        </w:tc>
        <w:tc>
          <w:tcPr>
            <w:tcW w:w="1818"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执行标准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大气环境</w:t>
            </w:r>
          </w:p>
        </w:tc>
        <w:tc>
          <w:tcPr>
            <w:tcW w:w="907"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混合树脂缠绕固化废气（DA001）</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非甲烷总烃、苯乙烯</w:t>
            </w:r>
          </w:p>
        </w:tc>
        <w:tc>
          <w:tcPr>
            <w:tcW w:w="116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kern w:val="0"/>
                <w:sz w:val="18"/>
                <w:szCs w:val="18"/>
                <w:lang w:val="en-US" w:eastAsia="zh-CN" w:bidi="ar"/>
              </w:rPr>
              <w:t>密闭式</w:t>
            </w:r>
            <w:r>
              <w:rPr>
                <w:rFonts w:hint="default" w:ascii="Times New Roman" w:hAnsi="Times New Roman" w:eastAsia="宋体" w:cs="Times New Roman"/>
                <w:b w:val="0"/>
                <w:bCs w:val="0"/>
                <w:kern w:val="0"/>
                <w:sz w:val="18"/>
                <w:szCs w:val="18"/>
                <w:lang w:val="en-US" w:eastAsia="zh-CN" w:bidi="ar"/>
              </w:rPr>
              <w:t>集气罩+</w:t>
            </w:r>
            <w:r>
              <w:rPr>
                <w:rFonts w:hint="eastAsia" w:ascii="Times New Roman" w:hAnsi="Times New Roman" w:eastAsia="宋体" w:cs="Times New Roman"/>
                <w:b w:val="0"/>
                <w:bCs w:val="0"/>
                <w:kern w:val="0"/>
                <w:sz w:val="18"/>
                <w:szCs w:val="18"/>
                <w:lang w:val="en-US" w:eastAsia="zh-CN" w:bidi="ar"/>
              </w:rPr>
              <w:t>1套</w:t>
            </w:r>
            <w:r>
              <w:rPr>
                <w:rFonts w:hint="default" w:ascii="Times New Roman" w:hAnsi="Times New Roman" w:eastAsia="宋体" w:cs="Times New Roman"/>
                <w:b w:val="0"/>
                <w:bCs w:val="0"/>
                <w:kern w:val="0"/>
                <w:sz w:val="18"/>
                <w:szCs w:val="18"/>
                <w:lang w:val="en-US" w:eastAsia="zh-CN" w:bidi="ar"/>
              </w:rPr>
              <w:t>活性炭吸附/脱附+催化燃烧+15m排气筒</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《合成树脂工业污染物排放标准》（GB31572-2015含2024年修改单）表5中特别排放限制要求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臭气浓度</w:t>
            </w:r>
          </w:p>
        </w:tc>
        <w:tc>
          <w:tcPr>
            <w:tcW w:w="1160"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《恶臭污染物排放标准》（GB14554-93）表2（臭气浓度≤2000无量纲）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切割修整废气（DA002）</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颗粒物</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集气罩+</w:t>
            </w:r>
            <w:r>
              <w:rPr>
                <w:rFonts w:hint="eastAsia" w:cs="Times New Roman"/>
                <w:b w:val="0"/>
                <w:bCs w:val="0"/>
                <w:kern w:val="0"/>
                <w:sz w:val="18"/>
                <w:szCs w:val="18"/>
                <w:lang w:val="en-US" w:eastAsia="zh-CN" w:bidi="ar"/>
              </w:rPr>
              <w:t>1套</w:t>
            </w:r>
            <w:r>
              <w:rPr>
                <w:rFonts w:hint="default" w:ascii="Times New Roman" w:hAnsi="Times New Roman" w:eastAsia="宋体" w:cs="Times New Roman"/>
                <w:b w:val="0"/>
                <w:bCs w:val="0"/>
                <w:kern w:val="0"/>
                <w:sz w:val="18"/>
                <w:szCs w:val="18"/>
                <w:lang w:val="en-US" w:eastAsia="zh-CN" w:bidi="ar"/>
              </w:rPr>
              <w:t>布袋除尘器+15m排气筒</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《合成树脂工业污染物排放标准》（GB31572-2015含2024年修改单）表5中特别排放限制要求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塑料管材挤出废气（DA003）</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w:t>
            </w:r>
          </w:p>
        </w:tc>
        <w:tc>
          <w:tcPr>
            <w:tcW w:w="116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kern w:val="0"/>
                <w:sz w:val="18"/>
                <w:szCs w:val="18"/>
                <w:lang w:val="en-US" w:eastAsia="zh-CN" w:bidi="ar"/>
              </w:rPr>
              <w:t>密闭</w:t>
            </w:r>
            <w:r>
              <w:rPr>
                <w:rFonts w:hint="default" w:ascii="Times New Roman" w:hAnsi="Times New Roman" w:eastAsia="宋体" w:cs="Times New Roman"/>
                <w:b w:val="0"/>
                <w:bCs w:val="0"/>
                <w:kern w:val="0"/>
                <w:sz w:val="18"/>
                <w:szCs w:val="18"/>
                <w:lang w:val="en-US" w:eastAsia="zh-CN" w:bidi="ar"/>
              </w:rPr>
              <w:t>集气罩+</w:t>
            </w:r>
            <w:r>
              <w:rPr>
                <w:rFonts w:hint="eastAsia" w:ascii="Times New Roman" w:hAnsi="Times New Roman" w:eastAsia="宋体" w:cs="Times New Roman"/>
                <w:b w:val="0"/>
                <w:bCs w:val="0"/>
                <w:kern w:val="0"/>
                <w:sz w:val="18"/>
                <w:szCs w:val="18"/>
                <w:lang w:val="en-US" w:eastAsia="zh-CN" w:bidi="ar"/>
              </w:rPr>
              <w:t>1套</w:t>
            </w:r>
            <w:r>
              <w:rPr>
                <w:rFonts w:hint="default" w:ascii="Times New Roman" w:hAnsi="Times New Roman" w:eastAsia="宋体" w:cs="Times New Roman"/>
                <w:b w:val="0"/>
                <w:bCs w:val="0"/>
                <w:kern w:val="0"/>
                <w:sz w:val="18"/>
                <w:szCs w:val="18"/>
                <w:lang w:val="en-US" w:eastAsia="zh-CN" w:bidi="ar"/>
              </w:rPr>
              <w:t>活性炭吸附/脱附+催化燃烧+15m排气筒（三条生产线合并处理）</w:t>
            </w:r>
          </w:p>
        </w:tc>
        <w:tc>
          <w:tcPr>
            <w:tcW w:w="1818"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《合成树脂工业污染物排放标准》（GB31572-2015含2024年修改单）表5中特别排放限制要求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氯化氢、氯乙烯</w:t>
            </w:r>
          </w:p>
        </w:tc>
        <w:tc>
          <w:tcPr>
            <w:tcW w:w="1160"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1818"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PVC管混料废气（DA004）</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颗粒物</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集气罩+布袋除尘器+15m排气筒</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《合成树脂工业污染物排放标准》（GB31572-2015含2024年修改单）表5中特别排放限制要求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生产车间（无组织）</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非甲烷总烃（厂界）</w:t>
            </w:r>
          </w:p>
        </w:tc>
        <w:tc>
          <w:tcPr>
            <w:tcW w:w="1160"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车间密闭、加强通风</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GB31572-2015表9（非甲烷总烃≤4.0mg/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r>
              <w:rPr>
                <w:rFonts w:hint="default" w:ascii="Times New Roman" w:hAnsi="Times New Roman" w:eastAsia="宋体" w:cs="Times New Roman"/>
                <w:b w:val="0"/>
                <w:bCs w:val="0"/>
                <w:kern w:val="0"/>
                <w:sz w:val="18"/>
                <w:szCs w:val="18"/>
                <w:lang w:val="en-US" w:eastAsia="zh-CN" w:bidi="ar"/>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非甲烷总烃（厂区内）</w:t>
            </w:r>
          </w:p>
        </w:tc>
        <w:tc>
          <w:tcPr>
            <w:tcW w:w="1160"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GB37822-2019附录A（1h平均≤</w:t>
            </w:r>
            <w:r>
              <w:rPr>
                <w:rFonts w:hint="default" w:ascii="Times New Roman" w:hAnsi="Times New Roman" w:cs="Times New Roman"/>
                <w:b w:val="0"/>
                <w:bCs w:val="0"/>
                <w:kern w:val="0"/>
                <w:sz w:val="18"/>
                <w:szCs w:val="18"/>
                <w:lang w:val="en-US" w:eastAsia="zh-CN" w:bidi="ar"/>
              </w:rPr>
              <w:t>6</w:t>
            </w:r>
            <w:r>
              <w:rPr>
                <w:rFonts w:hint="default" w:ascii="Times New Roman" w:hAnsi="Times New Roman" w:eastAsia="宋体" w:cs="Times New Roman"/>
                <w:b w:val="0"/>
                <w:bCs w:val="0"/>
                <w:kern w:val="0"/>
                <w:sz w:val="18"/>
                <w:szCs w:val="18"/>
                <w:lang w:val="en-US" w:eastAsia="zh-CN" w:bidi="ar"/>
              </w:rPr>
              <w:t>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r>
              <w:rPr>
                <w:rFonts w:hint="default" w:ascii="Times New Roman" w:hAnsi="Times New Roman" w:eastAsia="宋体" w:cs="Times New Roman"/>
                <w:b w:val="0"/>
                <w:bCs w:val="0"/>
                <w:kern w:val="0"/>
                <w:sz w:val="18"/>
                <w:szCs w:val="18"/>
                <w:lang w:val="en-US" w:eastAsia="zh-CN" w:bidi="ar"/>
              </w:rPr>
              <w:t>，任意一次≤</w:t>
            </w:r>
            <w:r>
              <w:rPr>
                <w:rFonts w:hint="default" w:ascii="Times New Roman" w:hAnsi="Times New Roman" w:cs="Times New Roman"/>
                <w:b w:val="0"/>
                <w:bCs w:val="0"/>
                <w:kern w:val="0"/>
                <w:sz w:val="18"/>
                <w:szCs w:val="18"/>
                <w:lang w:val="en-US" w:eastAsia="zh-CN" w:bidi="ar"/>
              </w:rPr>
              <w:t>20</w:t>
            </w:r>
            <w:r>
              <w:rPr>
                <w:rFonts w:hint="default" w:ascii="Times New Roman" w:hAnsi="Times New Roman" w:eastAsia="宋体" w:cs="Times New Roman"/>
                <w:b w:val="0"/>
                <w:bCs w:val="0"/>
                <w:kern w:val="0"/>
                <w:sz w:val="18"/>
                <w:szCs w:val="18"/>
                <w:lang w:val="en-US" w:eastAsia="zh-CN" w:bidi="ar"/>
              </w:rPr>
              <w:t>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r>
              <w:rPr>
                <w:rFonts w:hint="default" w:ascii="Times New Roman" w:hAnsi="Times New Roman" w:eastAsia="宋体" w:cs="Times New Roman"/>
                <w:b w:val="0"/>
                <w:bCs w:val="0"/>
                <w:kern w:val="0"/>
                <w:sz w:val="18"/>
                <w:szCs w:val="18"/>
                <w:lang w:val="en-US" w:eastAsia="zh-CN" w:bidi="ar"/>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颗粒物</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车间密闭、洒水降尘</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GB31572-2015表9（颗粒物≤1.0mg/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r>
              <w:rPr>
                <w:rFonts w:hint="default" w:ascii="Times New Roman" w:hAnsi="Times New Roman" w:eastAsia="宋体" w:cs="Times New Roman"/>
                <w:b w:val="0"/>
                <w:bCs w:val="0"/>
                <w:kern w:val="0"/>
                <w:sz w:val="18"/>
                <w:szCs w:val="18"/>
                <w:lang w:val="en-US" w:eastAsia="zh-CN" w:bidi="ar"/>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苯乙烯、臭气浓度</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车间密闭</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GB14554-93表1（苯乙烯≤5.0mg/</w:t>
            </w:r>
            <w:r>
              <w:rPr>
                <w:rFonts w:hint="default" w:ascii="Times New Roman" w:hAnsi="Times New Roman" w:cs="Times New Roman"/>
                <w:b w:val="0"/>
                <w:bCs w:val="0"/>
                <w:kern w:val="0"/>
                <w:sz w:val="18"/>
                <w:szCs w:val="18"/>
                <w:lang w:val="en-US" w:eastAsia="zh-CN" w:bidi="ar"/>
              </w:rPr>
              <w:t>m</w:t>
            </w:r>
            <w:r>
              <w:rPr>
                <w:rFonts w:hint="default" w:ascii="Times New Roman" w:hAnsi="Times New Roman" w:cs="Times New Roman"/>
                <w:b w:val="0"/>
                <w:bCs w:val="0"/>
                <w:kern w:val="0"/>
                <w:sz w:val="18"/>
                <w:szCs w:val="18"/>
                <w:vertAlign w:val="superscript"/>
                <w:lang w:val="en-US" w:eastAsia="zh-CN" w:bidi="ar"/>
              </w:rPr>
              <w:t>3</w:t>
            </w:r>
            <w:r>
              <w:rPr>
                <w:rFonts w:hint="default" w:ascii="Times New Roman" w:hAnsi="Times New Roman" w:eastAsia="宋体" w:cs="Times New Roman"/>
                <w:b w:val="0"/>
                <w:bCs w:val="0"/>
                <w:kern w:val="0"/>
                <w:sz w:val="18"/>
                <w:szCs w:val="18"/>
                <w:lang w:val="en-US" w:eastAsia="zh-CN" w:bidi="ar"/>
              </w:rPr>
              <w:t>，臭气浓度≤20无量纲）</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地表水环境</w:t>
            </w: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生活污水</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pH、CODcr、BOD</w:t>
            </w:r>
            <w:r>
              <w:rPr>
                <w:rFonts w:hint="default" w:ascii="Times New Roman" w:hAnsi="Times New Roman" w:cs="Times New Roman"/>
                <w:b w:val="0"/>
                <w:bCs w:val="0"/>
                <w:kern w:val="0"/>
                <w:sz w:val="18"/>
                <w:szCs w:val="18"/>
                <w:vertAlign w:val="subscript"/>
                <w:lang w:val="en-US" w:eastAsia="zh-CN" w:bidi="ar"/>
              </w:rPr>
              <w:t>5</w:t>
            </w:r>
            <w:r>
              <w:rPr>
                <w:rFonts w:hint="default" w:ascii="Times New Roman" w:hAnsi="Times New Roman" w:eastAsia="宋体" w:cs="Times New Roman"/>
                <w:b w:val="0"/>
                <w:bCs w:val="0"/>
                <w:kern w:val="0"/>
                <w:sz w:val="18"/>
                <w:szCs w:val="18"/>
                <w:lang w:val="en-US" w:eastAsia="zh-CN" w:bidi="ar"/>
              </w:rPr>
              <w:t>、SS、NH₃-N、动植物油</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隔油池+园区污水管网，最终进入尉犁县污水处理厂</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GB8978-1996三级标准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试压废水</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SS</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三级沉淀池处理后循环使用，不外排</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合理处置，不外排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循环冷却水</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SS</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冷却塔冷却后循环使用，不外排</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合理处置，不外排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声环境</w:t>
            </w: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设备运行噪声</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等效连续A声级（Leq）</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选用低噪声设备，基础减振，厂房隔声，风机加装消声器</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GB12348-2008 3类（昼≤65dB(A)、夜≤55dB(A)）</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固体废物</w:t>
            </w:r>
          </w:p>
        </w:tc>
        <w:tc>
          <w:tcPr>
            <w:tcW w:w="907"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一般工业固废</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废包装材料、不合格产品、边角料</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外售综合利用</w:t>
            </w:r>
          </w:p>
        </w:tc>
        <w:tc>
          <w:tcPr>
            <w:tcW w:w="1818" w:type="pct"/>
            <w:vMerge w:val="restar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GB18599-2020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除尘灰、废滤袋、沉淀池污泥</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kern w:val="0"/>
                <w:sz w:val="18"/>
                <w:szCs w:val="18"/>
                <w:lang w:val="en-US" w:eastAsia="zh-CN" w:bidi="ar"/>
              </w:rPr>
              <w:t>交由</w:t>
            </w:r>
            <w:r>
              <w:rPr>
                <w:rFonts w:hint="eastAsia" w:cs="Times New Roman"/>
                <w:b w:val="0"/>
                <w:bCs w:val="0"/>
                <w:kern w:val="0"/>
                <w:sz w:val="18"/>
                <w:szCs w:val="18"/>
                <w:lang w:val="en-US" w:eastAsia="zh-CN" w:bidi="ar"/>
              </w:rPr>
              <w:t>一般工业固废</w:t>
            </w:r>
            <w:r>
              <w:rPr>
                <w:rFonts w:hint="default" w:ascii="Times New Roman" w:hAnsi="Times New Roman" w:cs="Times New Roman"/>
                <w:b w:val="0"/>
                <w:bCs w:val="0"/>
                <w:kern w:val="0"/>
                <w:sz w:val="18"/>
                <w:szCs w:val="18"/>
                <w:lang w:val="en-US" w:eastAsia="zh-CN" w:bidi="ar"/>
              </w:rPr>
              <w:t>处置单位进行处置</w:t>
            </w:r>
          </w:p>
        </w:tc>
        <w:tc>
          <w:tcPr>
            <w:tcW w:w="1818"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危险废物</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废催化剂、废活性炭、废机油、废机油桶、废弃含油抹布、劳保用品、废包装桶</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分类分区暂存于危废贮存点，委托有资质单位处置</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GB18597-2023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vMerge w:val="continue"/>
            <w:tcBorders>
              <w:tl2br w:val="nil"/>
              <w:tr2bl w:val="nil"/>
            </w:tcBorders>
            <w:vAlign w:val="center"/>
          </w:tcPr>
          <w:p>
            <w:pPr>
              <w:jc w:val="center"/>
              <w:rPr>
                <w:rFonts w:hint="default" w:ascii="Times New Roman" w:hAnsi="Times New Roman" w:eastAsia="宋体" w:cs="Times New Roman"/>
                <w:b w:val="0"/>
                <w:bCs w:val="0"/>
                <w:snapToGrid w:val="0"/>
                <w:color w:val="auto"/>
                <w:sz w:val="18"/>
                <w:szCs w:val="18"/>
                <w:vertAlign w:val="baseline"/>
              </w:rPr>
            </w:pPr>
          </w:p>
        </w:tc>
        <w:tc>
          <w:tcPr>
            <w:tcW w:w="90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715"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生活垃圾</w:t>
            </w:r>
          </w:p>
        </w:tc>
        <w:tc>
          <w:tcPr>
            <w:tcW w:w="1160"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环卫部门定期清运</w:t>
            </w:r>
          </w:p>
        </w:tc>
        <w:tc>
          <w:tcPr>
            <w:tcW w:w="1818"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合理处置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土壤及地下水污染防治措施</w:t>
            </w:r>
          </w:p>
        </w:tc>
        <w:tc>
          <w:tcPr>
            <w:tcW w:w="4600" w:type="pct"/>
            <w:gridSpan w:val="4"/>
            <w:tcBorders>
              <w:tl2br w:val="nil"/>
              <w:tr2bl w:val="nil"/>
            </w:tcBorders>
            <w:vAlign w:val="center"/>
          </w:tcPr>
          <w:p>
            <w:pP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1）源头控制：加强原料使用管理，防止“跑、冒、滴、漏”。（2）分区防控：危废贮存点为重点防渗区（渗透系数≤10⁻¹⁰cm/s）；生产车间、原料库为一般防渗区（等效黏土防渗层Mb≥1.5m，K≤1×10⁻⁷cm/s）。（3）定期检查维护防渗设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tcBorders>
              <w:tl2br w:val="nil"/>
              <w:tr2bl w:val="nil"/>
            </w:tcBorders>
            <w:vAlign w:val="center"/>
          </w:tcPr>
          <w:p>
            <w:pPr>
              <w:keepNext w:val="0"/>
              <w:keepLines w:val="0"/>
              <w:widowControl/>
              <w:suppressLineNumbers w:val="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环境风险防范措施</w:t>
            </w:r>
          </w:p>
        </w:tc>
        <w:tc>
          <w:tcPr>
            <w:tcW w:w="4600" w:type="pct"/>
            <w:gridSpan w:val="4"/>
            <w:tcBorders>
              <w:tl2br w:val="nil"/>
              <w:tr2bl w:val="nil"/>
            </w:tcBorders>
            <w:vAlign w:val="center"/>
          </w:tcPr>
          <w:p>
            <w:pPr>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kern w:val="0"/>
                <w:sz w:val="18"/>
                <w:szCs w:val="18"/>
                <w:lang w:val="en-US" w:eastAsia="zh-CN" w:bidi="ar"/>
              </w:rPr>
              <w:t>（1）编制突发环境事件应急预案并备案，定期开展培训和演练。（2）原料库、固化剂库房设置围堰或防渗托盘，设置可燃气体报警装置。（3）危废贮存点配备吸附棉、沙土、灭火器等应急物资。（</w:t>
            </w:r>
            <w:r>
              <w:rPr>
                <w:rFonts w:hint="default" w:ascii="Times New Roman" w:hAnsi="Times New Roman" w:cs="Times New Roman"/>
                <w:b w:val="0"/>
                <w:bCs w:val="0"/>
                <w:kern w:val="0"/>
                <w:sz w:val="18"/>
                <w:szCs w:val="18"/>
                <w:lang w:val="en-US" w:eastAsia="zh-CN" w:bidi="ar"/>
              </w:rPr>
              <w:t>4</w:t>
            </w:r>
            <w:r>
              <w:rPr>
                <w:rFonts w:hint="default" w:ascii="Times New Roman" w:hAnsi="Times New Roman" w:eastAsia="宋体" w:cs="Times New Roman"/>
                <w:b w:val="0"/>
                <w:bCs w:val="0"/>
                <w:kern w:val="0"/>
                <w:sz w:val="18"/>
                <w:szCs w:val="18"/>
                <w:lang w:val="en-US" w:eastAsia="zh-CN" w:bidi="ar"/>
              </w:rPr>
              <w:t>）废气治理设施安装运行参数实时监控系统，定期检查维护。</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c>
          <w:tcPr>
            <w:tcW w:w="399" w:type="pct"/>
            <w:tcBorders>
              <w:tl2br w:val="nil"/>
              <w:tr2bl w:val="nil"/>
            </w:tcBorders>
            <w:vAlign w:val="center"/>
          </w:tcPr>
          <w:p>
            <w:pPr>
              <w:keepNext w:val="0"/>
              <w:keepLines w:val="0"/>
              <w:widowControl/>
              <w:suppressLineNumbers w:val="0"/>
              <w:ind w:left="0" w:leftChars="0" w:firstLine="0" w:firstLineChars="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其他环境管理要求</w:t>
            </w:r>
          </w:p>
        </w:tc>
        <w:tc>
          <w:tcPr>
            <w:tcW w:w="4600" w:type="pct"/>
            <w:gridSpan w:val="4"/>
            <w:tcBorders>
              <w:tl2br w:val="nil"/>
              <w:tr2bl w:val="nil"/>
            </w:tcBorders>
            <w:vAlign w:val="center"/>
          </w:tcPr>
          <w:p>
            <w:pPr>
              <w:keepNext w:val="0"/>
              <w:keepLines w:val="0"/>
              <w:widowControl/>
              <w:suppressLineNumbers w:val="0"/>
              <w:ind w:left="0" w:leftChars="0" w:firstLine="0" w:firstLineChars="0"/>
              <w:jc w:val="left"/>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排污许可：本项目建成后属于简化管理，现有工程为登记管理，运营期应及时完成固定污染源排污许可证变更。（2）排污口规范化：废气排放口设置采样孔和采样平台，设置排污口标识牌。（3）活性炭管理：使用碘值≥800mg/g的活性炭，建立更换台账，废活性炭按危废管理。（4）环境管理台账：建立污染防治设施运行台账、监测台账、固废台账，保存期限不少于5年（危废台账不少于10年）。</w:t>
            </w:r>
          </w:p>
        </w:tc>
      </w:tr>
    </w:tbl>
    <w:p>
      <w:pPr>
        <w:pStyle w:val="32"/>
        <w:jc w:val="center"/>
        <w:outlineLvl w:val="0"/>
        <w:rPr>
          <w:rFonts w:hint="default" w:ascii="Times New Roman" w:hAnsi="Times New Roman" w:eastAsia="黑体" w:cs="Times New Roman"/>
          <w:snapToGrid w:val="0"/>
          <w:color w:val="auto"/>
          <w:sz w:val="30"/>
          <w:szCs w:val="30"/>
        </w:rPr>
      </w:pPr>
    </w:p>
    <w:p>
      <w:pPr>
        <w:pStyle w:val="32"/>
        <w:jc w:val="center"/>
        <w:outlineLvl w:val="0"/>
        <w:rPr>
          <w:rFonts w:hint="default" w:ascii="Times New Roman" w:hAnsi="Times New Roman" w:eastAsia="黑体" w:cs="Times New Roman"/>
          <w:snapToGrid w:val="0"/>
          <w:color w:val="auto"/>
          <w:sz w:val="30"/>
          <w:szCs w:val="30"/>
        </w:rPr>
      </w:pPr>
    </w:p>
    <w:p>
      <w:pPr>
        <w:pStyle w:val="32"/>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r>
        <w:rPr>
          <w:rFonts w:hint="default" w:ascii="Times New Roman" w:hAnsi="Times New Roman" w:eastAsia="黑体" w:cs="Times New Roman"/>
          <w:snapToGrid w:val="0"/>
          <w:color w:val="auto"/>
          <w:sz w:val="30"/>
          <w:szCs w:val="30"/>
        </w:rPr>
        <w:t>六、结论</w:t>
      </w:r>
    </w:p>
    <w:tbl>
      <w:tblPr>
        <w:tblStyle w:val="3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tcPr>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szCs w:val="24"/>
                <w:lang w:val="en-US" w:eastAsia="zh-CN"/>
              </w:rPr>
              <w:t>通过分析，评价认</w:t>
            </w:r>
            <w:r>
              <w:rPr>
                <w:rFonts w:hint="default" w:ascii="Times New Roman" w:hAnsi="Times New Roman" w:cs="Times New Roman"/>
                <w:color w:val="auto"/>
                <w:sz w:val="24"/>
                <w:szCs w:val="24"/>
                <w:lang w:val="en-US" w:eastAsia="zh-CN"/>
              </w:rPr>
              <w:t>为</w:t>
            </w:r>
            <w:r>
              <w:rPr>
                <w:rFonts w:hint="default" w:ascii="Times New Roman" w:hAnsi="Times New Roman" w:eastAsia="Segoe UI" w:cs="Times New Roman"/>
                <w:i w:val="0"/>
                <w:iCs w:val="0"/>
                <w:caps w:val="0"/>
                <w:color w:val="0F1115"/>
                <w:spacing w:val="0"/>
                <w:sz w:val="24"/>
                <w:szCs w:val="24"/>
                <w:shd w:val="clear" w:fill="FFFFFF"/>
              </w:rPr>
              <w:t>新疆中意新材料有限公司新材料生产线项目（二期）</w:t>
            </w:r>
            <w:r>
              <w:rPr>
                <w:rFonts w:hint="default" w:ascii="Times New Roman" w:hAnsi="Times New Roman" w:eastAsia="宋体" w:cs="Times New Roman"/>
                <w:color w:val="auto"/>
                <w:sz w:val="24"/>
                <w:szCs w:val="24"/>
              </w:rPr>
              <w:t>符合国家产业政策</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kern w:val="0"/>
                <w:sz w:val="24"/>
                <w:highlight w:val="none"/>
              </w:rPr>
              <w:t>项目</w:t>
            </w:r>
            <w:r>
              <w:rPr>
                <w:rFonts w:hint="default" w:ascii="Times New Roman" w:hAnsi="Times New Roman" w:cs="Times New Roman"/>
                <w:color w:val="auto"/>
                <w:kern w:val="0"/>
                <w:sz w:val="24"/>
                <w:highlight w:val="none"/>
                <w:lang w:val="en-US" w:eastAsia="zh-CN"/>
              </w:rPr>
              <w:t>位于</w:t>
            </w:r>
            <w:r>
              <w:rPr>
                <w:rFonts w:hint="default" w:ascii="Times New Roman" w:hAnsi="Times New Roman" w:eastAsia="宋体" w:cs="Times New Roman"/>
                <w:color w:val="auto"/>
                <w:sz w:val="24"/>
                <w:lang w:val="en-US" w:eastAsia="zh-CN"/>
              </w:rPr>
              <w:t>尉犁县东环路以西、创业路以东、敬业路南</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不涉及生态保护红线</w:t>
            </w:r>
            <w:r>
              <w:rPr>
                <w:rFonts w:hint="default" w:ascii="Times New Roman" w:hAnsi="Times New Roman" w:cs="Times New Roman"/>
                <w:color w:val="auto"/>
                <w:kern w:val="0"/>
                <w:sz w:val="24"/>
                <w:szCs w:val="24"/>
                <w:lang w:val="en-US" w:eastAsia="zh-CN" w:bidi="ar-SA"/>
              </w:rPr>
              <w:t>。</w:t>
            </w:r>
            <w:r>
              <w:rPr>
                <w:rFonts w:hint="default" w:ascii="Times New Roman" w:hAnsi="Times New Roman" w:eastAsia="宋体" w:cs="Times New Roman"/>
                <w:color w:val="auto"/>
                <w:sz w:val="24"/>
                <w:szCs w:val="24"/>
              </w:rPr>
              <w:t>在严格执行本环评提出的各项污染防治措施</w:t>
            </w:r>
            <w:r>
              <w:rPr>
                <w:rFonts w:hint="default" w:ascii="Times New Roman" w:hAnsi="Times New Roman" w:eastAsia="宋体" w:cs="Times New Roman"/>
                <w:color w:val="auto"/>
                <w:sz w:val="24"/>
                <w:szCs w:val="24"/>
                <w:lang w:eastAsia="zh-CN"/>
              </w:rPr>
              <w:t>的</w:t>
            </w:r>
            <w:r>
              <w:rPr>
                <w:rFonts w:hint="default" w:ascii="Times New Roman" w:hAnsi="Times New Roman" w:eastAsia="宋体" w:cs="Times New Roman"/>
                <w:color w:val="auto"/>
                <w:sz w:val="24"/>
                <w:szCs w:val="24"/>
              </w:rPr>
              <w:t>前提下，可确保各类污染物稳定达标排放，总体上对区域环境影响不大。因此，在本项目建设和运营过程中，在执行</w:t>
            </w:r>
            <w:r>
              <w:rPr>
                <w:rFonts w:hint="default" w:ascii="Times New Roman" w:hAnsi="Times New Roman" w:eastAsia="宋体" w:cs="Times New Roman"/>
                <w:color w:val="auto"/>
                <w:sz w:val="24"/>
                <w:szCs w:val="24"/>
                <w:lang w:val="en-US" w:eastAsia="zh-CN"/>
              </w:rPr>
              <w:t>环保设施</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三同时</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制度</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落实本</w:t>
            </w:r>
            <w:r>
              <w:rPr>
                <w:rFonts w:hint="default" w:ascii="Times New Roman" w:hAnsi="Times New Roman" w:eastAsia="宋体" w:cs="Times New Roman"/>
                <w:color w:val="auto"/>
                <w:sz w:val="24"/>
                <w:szCs w:val="24"/>
                <w:lang w:val="en-US" w:eastAsia="zh-CN"/>
              </w:rPr>
              <w:t>环评</w:t>
            </w:r>
            <w:r>
              <w:rPr>
                <w:rFonts w:hint="default" w:ascii="Times New Roman" w:hAnsi="Times New Roman" w:eastAsia="宋体" w:cs="Times New Roman"/>
                <w:color w:val="auto"/>
                <w:sz w:val="24"/>
                <w:szCs w:val="24"/>
              </w:rPr>
              <w:t>中提出的各项污染防治措施</w:t>
            </w:r>
            <w:r>
              <w:rPr>
                <w:rFonts w:hint="default" w:ascii="Times New Roman" w:hAnsi="Times New Roman" w:eastAsia="宋体" w:cs="Times New Roman"/>
                <w:color w:val="auto"/>
                <w:sz w:val="24"/>
                <w:szCs w:val="24"/>
                <w:lang w:val="en-US" w:eastAsia="zh-CN"/>
              </w:rPr>
              <w:t>以及环境风险防范措施</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确保</w:t>
            </w:r>
            <w:r>
              <w:rPr>
                <w:rFonts w:hint="default" w:ascii="Times New Roman" w:hAnsi="Times New Roman" w:eastAsia="宋体" w:cs="Times New Roman"/>
                <w:color w:val="auto"/>
                <w:sz w:val="24"/>
                <w:szCs w:val="24"/>
              </w:rPr>
              <w:t>各种污染物排放达</w:t>
            </w:r>
            <w:r>
              <w:rPr>
                <w:rFonts w:hint="default" w:ascii="Times New Roman" w:hAnsi="Times New Roman" w:eastAsia="宋体" w:cs="Times New Roman"/>
                <w:color w:val="auto"/>
                <w:sz w:val="24"/>
                <w:szCs w:val="24"/>
                <w:lang w:val="en-US" w:eastAsia="zh-CN"/>
              </w:rPr>
              <w:t>标</w:t>
            </w:r>
            <w:r>
              <w:rPr>
                <w:rFonts w:hint="default" w:ascii="Times New Roman" w:hAnsi="Times New Roman" w:eastAsia="宋体" w:cs="Times New Roman"/>
                <w:color w:val="auto"/>
                <w:sz w:val="24"/>
                <w:szCs w:val="24"/>
              </w:rPr>
              <w:t>的前提下，从环境影响角度而言，本项目的建设是可行的。</w:t>
            </w:r>
          </w:p>
        </w:tc>
      </w:tr>
    </w:tbl>
    <w:p>
      <w:pPr>
        <w:rPr>
          <w:rFonts w:hint="default" w:ascii="Times New Roman" w:hAnsi="Times New Roman" w:cs="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default" w:ascii="Times New Roman" w:hAnsi="Times New Roman" w:eastAsia="宋体" w:cs="Times New Roman"/>
          <w:b/>
          <w:bCs/>
          <w:snapToGrid w:val="0"/>
          <w:color w:val="auto"/>
          <w:sz w:val="32"/>
          <w:szCs w:val="32"/>
        </w:rPr>
      </w:pPr>
      <w:r>
        <w:rPr>
          <w:rFonts w:hint="default" w:ascii="Times New Roman" w:hAnsi="Times New Roman" w:eastAsia="宋体" w:cs="Times New Roman"/>
          <w:b/>
          <w:bCs/>
          <w:snapToGrid w:val="0"/>
          <w:color w:val="auto"/>
          <w:sz w:val="32"/>
          <w:szCs w:val="32"/>
        </w:rPr>
        <w:t>附表</w:t>
      </w:r>
    </w:p>
    <w:p>
      <w:pPr>
        <w:pStyle w:val="32"/>
        <w:adjustRightInd w:val="0"/>
        <w:snapToGrid w:val="0"/>
        <w:spacing w:before="0" w:beforeAutospacing="0" w:after="0" w:afterAutospacing="0" w:line="288" w:lineRule="auto"/>
        <w:jc w:val="center"/>
        <w:outlineLvl w:val="0"/>
        <w:rPr>
          <w:rFonts w:hint="default" w:ascii="Times New Roman" w:hAnsi="Times New Roman" w:eastAsia="宋体" w:cs="Times New Roman"/>
          <w:b/>
          <w:bCs/>
          <w:snapToGrid w:val="0"/>
          <w:color w:val="auto"/>
          <w:sz w:val="38"/>
          <w:szCs w:val="38"/>
          <w:vertAlign w:val="baseline"/>
        </w:rPr>
      </w:pPr>
      <w:r>
        <w:rPr>
          <w:rFonts w:hint="default" w:ascii="Times New Roman" w:hAnsi="Times New Roman" w:eastAsia="宋体" w:cs="Times New Roman"/>
          <w:b/>
          <w:bCs/>
          <w:snapToGrid w:val="0"/>
          <w:color w:val="auto"/>
          <w:sz w:val="38"/>
          <w:szCs w:val="38"/>
        </w:rPr>
        <w:t>建设项目污染物排放量汇总表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4"/>
        <w:gridCol w:w="1575"/>
        <w:gridCol w:w="1575"/>
        <w:gridCol w:w="1575"/>
        <w:gridCol w:w="1575"/>
        <w:gridCol w:w="1575"/>
        <w:gridCol w:w="1575"/>
        <w:gridCol w:w="157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项目分类</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污染物名称</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现有工程排放量（固体废物产生量）①</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现有工程许可排放量②</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在建工程排放量（固体废物产生量）③</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本项目排放量（固体废物产生量）④</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以新带老削减量（新建项目不填）⑤</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本项目建成后全厂排放量（固体废物产生量）⑥</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变化量⑦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restart"/>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废气</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eastAsia="zh-CN"/>
              </w:rPr>
            </w:pPr>
            <w:r>
              <w:rPr>
                <w:rFonts w:hint="default" w:ascii="Times New Roman" w:hAnsi="Times New Roman" w:eastAsia="宋体" w:cs="Times New Roman"/>
                <w:b w:val="0"/>
                <w:bCs w:val="0"/>
                <w:snapToGrid w:val="0"/>
                <w:color w:val="auto"/>
                <w:sz w:val="18"/>
                <w:szCs w:val="18"/>
                <w:vertAlign w:val="baseline"/>
                <w:lang w:val="en-US" w:eastAsia="zh-CN"/>
              </w:rPr>
              <w:t>非甲烷总烃</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0.0015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15.848</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eastAsia="zh-CN"/>
              </w:rPr>
            </w:pPr>
            <w:r>
              <w:rPr>
                <w:rFonts w:hint="default" w:ascii="Times New Roman" w:hAnsi="Times New Roman" w:cs="Times New Roman"/>
                <w:b w:val="0"/>
                <w:bCs w:val="0"/>
                <w:snapToGrid w:val="0"/>
                <w:color w:val="auto"/>
                <w:sz w:val="18"/>
                <w:szCs w:val="18"/>
                <w:vertAlign w:val="baseline"/>
                <w:lang w:val="en-US" w:eastAsia="zh-CN"/>
              </w:rPr>
              <w:t>15.8495</w:t>
            </w: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cs="Times New Roman"/>
                <w:b w:val="0"/>
                <w:bCs w:val="0"/>
                <w:i w:val="0"/>
                <w:iCs w:val="0"/>
                <w:caps w:val="0"/>
                <w:color w:val="0F1115"/>
                <w:spacing w:val="0"/>
                <w:kern w:val="0"/>
                <w:sz w:val="18"/>
                <w:szCs w:val="18"/>
                <w:lang w:val="en-US" w:eastAsia="zh-CN" w:bidi="ar"/>
              </w:rPr>
              <w:t>+15.848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snapToGrid w:val="0"/>
                <w:color w:val="auto"/>
                <w:sz w:val="18"/>
                <w:szCs w:val="18"/>
                <w:vertAlign w:val="baseline"/>
                <w:lang w:val="en-US" w:eastAsia="zh-CN"/>
              </w:rPr>
              <w:t>颗粒物</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4.796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4.796</w:t>
            </w: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b w:val="0"/>
                <w:bCs w:val="0"/>
                <w:i w:val="0"/>
                <w:iCs w:val="0"/>
                <w:caps w:val="0"/>
                <w:color w:val="0F1115"/>
                <w:spacing w:val="0"/>
                <w:kern w:val="0"/>
                <w:sz w:val="18"/>
                <w:szCs w:val="18"/>
                <w:lang w:val="en-US" w:eastAsia="zh-CN" w:bidi="ar"/>
              </w:rPr>
              <w:t>4.796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eastAsia="zh-CN"/>
              </w:rPr>
            </w:pPr>
            <w:r>
              <w:rPr>
                <w:rFonts w:hint="default" w:ascii="Times New Roman" w:hAnsi="Times New Roman" w:eastAsia="宋体" w:cs="Times New Roman"/>
                <w:b w:val="0"/>
                <w:bCs w:val="0"/>
                <w:snapToGrid w:val="0"/>
                <w:color w:val="auto"/>
                <w:sz w:val="18"/>
                <w:szCs w:val="18"/>
                <w:vertAlign w:val="baseline"/>
                <w:lang w:val="en-US" w:eastAsia="zh-CN"/>
              </w:rPr>
              <w:t>氯化氢</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0.082</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0.082</w:t>
            </w: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b w:val="0"/>
                <w:bCs w:val="0"/>
                <w:i w:val="0"/>
                <w:iCs w:val="0"/>
                <w:caps w:val="0"/>
                <w:color w:val="0F1115"/>
                <w:spacing w:val="0"/>
                <w:kern w:val="0"/>
                <w:sz w:val="18"/>
                <w:szCs w:val="18"/>
                <w:lang w:val="en-US" w:eastAsia="zh-CN" w:bidi="ar"/>
              </w:rPr>
              <w:t>0.082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eastAsia="zh-CN"/>
              </w:rPr>
            </w:pPr>
            <w:r>
              <w:rPr>
                <w:rFonts w:hint="default" w:ascii="Times New Roman" w:hAnsi="Times New Roman" w:eastAsia="宋体" w:cs="Times New Roman"/>
                <w:b w:val="0"/>
                <w:bCs w:val="0"/>
                <w:snapToGrid w:val="0"/>
                <w:color w:val="auto"/>
                <w:sz w:val="18"/>
                <w:szCs w:val="18"/>
                <w:vertAlign w:val="baseline"/>
                <w:lang w:val="en-US" w:eastAsia="zh-CN"/>
              </w:rPr>
              <w:t>氯乙烯</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0.097</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0.097</w:t>
            </w:r>
          </w:p>
        </w:tc>
        <w:tc>
          <w:tcPr>
            <w:tcW w:w="157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i w:val="0"/>
                <w:iCs w:val="0"/>
                <w:caps w:val="0"/>
                <w:color w:val="0F1115"/>
                <w:spacing w:val="0"/>
                <w:kern w:val="0"/>
                <w:sz w:val="18"/>
                <w:szCs w:val="18"/>
                <w:lang w:val="en-US" w:eastAsia="zh-CN" w:bidi="ar"/>
              </w:rPr>
            </w:pPr>
            <w:r>
              <w:rPr>
                <w:rFonts w:hint="default" w:ascii="Times New Roman" w:hAnsi="Times New Roman" w:cs="Times New Roman"/>
                <w:b w:val="0"/>
                <w:bCs w:val="0"/>
                <w:i w:val="0"/>
                <w:iCs w:val="0"/>
                <w:caps w:val="0"/>
                <w:color w:val="0F1115"/>
                <w:spacing w:val="0"/>
                <w:kern w:val="0"/>
                <w:sz w:val="18"/>
                <w:szCs w:val="18"/>
                <w:lang w:val="en-US" w:eastAsia="zh-CN" w:bidi="ar"/>
              </w:rPr>
              <w:t>+</w:t>
            </w:r>
            <w:r>
              <w:rPr>
                <w:rFonts w:hint="default" w:ascii="Times New Roman" w:hAnsi="Times New Roman" w:eastAsia="宋体" w:cs="Times New Roman"/>
                <w:b w:val="0"/>
                <w:bCs w:val="0"/>
                <w:i w:val="0"/>
                <w:iCs w:val="0"/>
                <w:caps w:val="0"/>
                <w:color w:val="0F1115"/>
                <w:spacing w:val="0"/>
                <w:kern w:val="0"/>
                <w:sz w:val="18"/>
                <w:szCs w:val="18"/>
                <w:lang w:val="en-US" w:eastAsia="zh-CN" w:bidi="ar"/>
              </w:rPr>
              <w:t>0.097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restart"/>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废水</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COD</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0.36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0.36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rPr>
            </w:pPr>
            <w:r>
              <w:rPr>
                <w:rFonts w:hint="default" w:ascii="Times New Roman" w:hAnsi="Times New Roman" w:cs="Times New Roman"/>
                <w:b w:val="0"/>
                <w:bCs w:val="0"/>
                <w:i w:val="0"/>
                <w:iCs w:val="0"/>
                <w:caps w:val="0"/>
                <w:color w:val="0F1115"/>
                <w:spacing w:val="0"/>
                <w:kern w:val="0"/>
                <w:sz w:val="18"/>
                <w:szCs w:val="18"/>
                <w:lang w:val="en-US" w:eastAsia="zh-CN" w:bidi="ar"/>
              </w:rPr>
              <w:t>0.72</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NH₃-N</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0.036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0.036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lang w:val="en-US"/>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w:t>
            </w:r>
            <w:r>
              <w:rPr>
                <w:rFonts w:hint="default" w:ascii="Times New Roman" w:hAnsi="Times New Roman" w:cs="Times New Roman"/>
                <w:b w:val="0"/>
                <w:bCs w:val="0"/>
                <w:i w:val="0"/>
                <w:iCs w:val="0"/>
                <w:caps w:val="0"/>
                <w:color w:val="0F1115"/>
                <w:spacing w:val="0"/>
                <w:kern w:val="0"/>
                <w:sz w:val="18"/>
                <w:szCs w:val="18"/>
                <w:lang w:val="en-US" w:eastAsia="zh-CN" w:bidi="ar"/>
              </w:rPr>
              <w:t>72</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restart"/>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一般工业固体废物</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废包装材料</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0.006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1.506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不合格产品</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边角料</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i w:val="0"/>
                <w:iCs w:val="0"/>
                <w:caps w:val="0"/>
                <w:color w:val="0F1115"/>
                <w:spacing w:val="0"/>
                <w:kern w:val="0"/>
                <w:sz w:val="18"/>
                <w:szCs w:val="18"/>
                <w:lang w:val="en-US" w:eastAsia="zh-CN" w:bidi="ar"/>
              </w:rPr>
              <w:t>55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i w:val="0"/>
                <w:iCs w:val="0"/>
                <w:caps w:val="0"/>
                <w:color w:val="0F1115"/>
                <w:spacing w:val="0"/>
                <w:kern w:val="0"/>
                <w:sz w:val="18"/>
                <w:szCs w:val="18"/>
                <w:lang w:val="en-US" w:eastAsia="zh-CN" w:bidi="ar"/>
              </w:rPr>
              <w:t>55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r>
              <w:rPr>
                <w:rFonts w:hint="default" w:ascii="Times New Roman" w:hAnsi="Times New Roman" w:cs="Times New Roman"/>
                <w:b w:val="0"/>
                <w:bCs w:val="0"/>
                <w:i w:val="0"/>
                <w:iCs w:val="0"/>
                <w:caps w:val="0"/>
                <w:color w:val="0F1115"/>
                <w:spacing w:val="0"/>
                <w:kern w:val="0"/>
                <w:sz w:val="18"/>
                <w:szCs w:val="18"/>
                <w:lang w:val="en-US" w:eastAsia="zh-CN" w:bidi="ar"/>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除尘灰</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39.204</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39.204</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+39.204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废滤袋</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沉淀池沉渣</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restart"/>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危险废物</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废催化剂</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i w:val="0"/>
                <w:iCs w:val="0"/>
                <w:caps w:val="0"/>
                <w:color w:val="0F1115"/>
                <w:spacing w:val="0"/>
                <w:kern w:val="0"/>
                <w:sz w:val="18"/>
                <w:szCs w:val="18"/>
                <w:lang w:val="en-US" w:eastAsia="zh-CN" w:bidi="ar"/>
              </w:rPr>
              <w:t>0.112</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i w:val="0"/>
                <w:iCs w:val="0"/>
                <w:caps w:val="0"/>
                <w:color w:val="0F1115"/>
                <w:spacing w:val="0"/>
                <w:kern w:val="0"/>
                <w:sz w:val="18"/>
                <w:szCs w:val="18"/>
                <w:lang w:val="en-US" w:eastAsia="zh-CN" w:bidi="ar"/>
              </w:rPr>
              <w:t>0.112</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r>
              <w:rPr>
                <w:rFonts w:hint="default" w:ascii="Times New Roman" w:hAnsi="Times New Roman" w:cs="Times New Roman"/>
                <w:b w:val="0"/>
                <w:bCs w:val="0"/>
                <w:i w:val="0"/>
                <w:iCs w:val="0"/>
                <w:caps w:val="0"/>
                <w:color w:val="0F1115"/>
                <w:spacing w:val="0"/>
                <w:kern w:val="0"/>
                <w:sz w:val="18"/>
                <w:szCs w:val="18"/>
                <w:lang w:val="en-US" w:eastAsia="zh-CN" w:bidi="ar"/>
              </w:rPr>
              <w:t>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废活性炭</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cs="Times New Roman"/>
                <w:b w:val="0"/>
                <w:bCs w:val="0"/>
                <w:i w:val="0"/>
                <w:iCs w:val="0"/>
                <w:caps w:val="0"/>
                <w:color w:val="0F1115"/>
                <w:spacing w:val="0"/>
                <w:kern w:val="0"/>
                <w:sz w:val="18"/>
                <w:szCs w:val="18"/>
                <w:lang w:val="en-US" w:eastAsia="zh-CN" w:bidi="ar"/>
              </w:rPr>
              <w:t>1.1</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1.6</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r>
              <w:rPr>
                <w:rFonts w:hint="default" w:ascii="Times New Roman" w:hAnsi="Times New Roman" w:cs="Times New Roman"/>
                <w:b w:val="0"/>
                <w:bCs w:val="0"/>
                <w:i w:val="0"/>
                <w:iCs w:val="0"/>
                <w:caps w:val="0"/>
                <w:color w:val="0F1115"/>
                <w:spacing w:val="0"/>
                <w:kern w:val="0"/>
                <w:sz w:val="18"/>
                <w:szCs w:val="18"/>
                <w:lang w:val="en-US" w:eastAsia="zh-CN" w:bidi="ar"/>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废弃含油抹布、劳保用品</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0.01</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0.01</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废机油</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0.003</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0.3</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0.303</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废机油桶</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0.03</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0.03</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Merge w:val="continue"/>
            <w:vAlign w:val="center"/>
          </w:tcPr>
          <w:p>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废树脂包装桶</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4"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生活垃圾</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生活垃圾</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2.25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7.25</w:t>
            </w:r>
          </w:p>
        </w:tc>
        <w:tc>
          <w:tcPr>
            <w:tcW w:w="1575" w:type="dxa"/>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val="0"/>
                <w:bCs w:val="0"/>
                <w:snapToGrid w:val="0"/>
                <w:color w:val="auto"/>
                <w:sz w:val="18"/>
                <w:szCs w:val="18"/>
                <w:vertAlign w:val="baseline"/>
              </w:rPr>
            </w:pPr>
            <w:r>
              <w:rPr>
                <w:rFonts w:hint="default" w:ascii="Times New Roman" w:hAnsi="Times New Roman" w:eastAsia="宋体" w:cs="Times New Roman"/>
                <w:b w:val="0"/>
                <w:bCs w:val="0"/>
                <w:i w:val="0"/>
                <w:iCs w:val="0"/>
                <w:caps w:val="0"/>
                <w:color w:val="0F1115"/>
                <w:spacing w:val="0"/>
                <w:kern w:val="0"/>
                <w:sz w:val="18"/>
                <w:szCs w:val="18"/>
                <w:lang w:val="en-US" w:eastAsia="zh-CN" w:bidi="ar"/>
              </w:rPr>
              <w:t>+2.25</w:t>
            </w:r>
          </w:p>
        </w:tc>
      </w:tr>
    </w:tbl>
    <w:p>
      <w:pPr>
        <w:pStyle w:val="58"/>
        <w:keepNext w:val="0"/>
        <w:keepLines w:val="0"/>
        <w:pageBreakBefore w:val="0"/>
        <w:widowControl/>
        <w:kinsoku/>
        <w:wordWrap/>
        <w:overflowPunct/>
        <w:topLinePunct w:val="0"/>
        <w:autoSpaceDE/>
        <w:autoSpaceDN/>
        <w:bidi w:val="0"/>
        <w:adjustRightInd w:val="0"/>
        <w:snapToGrid w:val="0"/>
        <w:spacing w:before="0" w:beforeLines="0" w:beforeAutospacing="0" w:after="0" w:afterLines="0" w:afterAutospacing="0" w:line="260" w:lineRule="auto"/>
        <w:jc w:val="left"/>
        <w:textAlignment w:val="auto"/>
        <w:rPr>
          <w:rFonts w:hint="default" w:ascii="Times New Roman" w:hAnsi="Times New Roman" w:cs="Times New Roman"/>
          <w:color w:val="auto"/>
          <w:lang w:val="en-US" w:eastAsia="zh-CN"/>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sectPr>
      <w:footerReference r:id="rId6"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AE09B2-4075-4BC9-835D-AF861D83E0D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91EEC1C-5329-4BD1-9443-3050B8D187FB}"/>
  </w:font>
  <w:font w:name="Cambria">
    <w:panose1 w:val="02040503050406030204"/>
    <w:charset w:val="00"/>
    <w:family w:val="roman"/>
    <w:pitch w:val="default"/>
    <w:sig w:usb0="A00002EF" w:usb1="4000004B" w:usb2="00000000" w:usb3="00000000" w:csb0="2000019F" w:csb1="00000000"/>
  </w:font>
  <w:font w:name="仿宋">
    <w:panose1 w:val="02010609060101010101"/>
    <w:charset w:val="86"/>
    <w:family w:val="auto"/>
    <w:pitch w:val="default"/>
    <w:sig w:usb0="800002BF" w:usb1="38CF7CFA" w:usb2="00000016" w:usb3="00000000" w:csb0="00040001" w:csb1="00000000"/>
    <w:embedRegular r:id="rId3" w:fontKey="{16051EC6-AFC0-4CE5-8295-823D31406A54}"/>
  </w:font>
  <w:font w:name="楷体_GB2312">
    <w:panose1 w:val="02010609030101010101"/>
    <w:charset w:val="86"/>
    <w:family w:val="modern"/>
    <w:pitch w:val="default"/>
    <w:sig w:usb0="00000001" w:usb1="080E0000" w:usb2="00000000" w:usb3="00000000" w:csb0="00040000" w:csb1="00000000"/>
    <w:embedRegular r:id="rId4" w:fontKey="{CB0E70BF-D94A-478A-9198-30B7EE959C52}"/>
  </w:font>
  <w:font w:name="方正宋三简体">
    <w:altName w:val="宋体"/>
    <w:panose1 w:val="02010601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embedRegular r:id="rId5" w:fontKey="{7BD5A416-BEB1-4507-9A50-1080BAE44CD4}"/>
  </w:font>
  <w:font w:name="方正仿宋_GBK">
    <w:panose1 w:val="03000509000000000000"/>
    <w:charset w:val="86"/>
    <w:family w:val="script"/>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embedRegular r:id="rId6" w:fontKey="{516FAA10-09ED-4373-8EE5-A4542ED513EE}"/>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right="360" w:firstLine="360"/>
      <w:jc w:val="both"/>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val="0"/>
                            <w:snapToGrid w:val="0"/>
                            <w:jc w:val="left"/>
                            <w:rPr>
                              <w:rFonts w:ascii="Times New Roman" w:hAnsi="Times New Roman" w:eastAsia="宋体" w:cs="Times New Roman"/>
                              <w:kern w:val="0"/>
                              <w:sz w:val="18"/>
                              <w:szCs w:val="20"/>
                              <w:lang w:val="en-US" w:eastAsia="zh-CN" w:bidi="ar-SA"/>
                            </w:rPr>
                          </w:pP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gDm2vdAQAAvwMAAA4AAAAAAAAA&#10;AQAgAAAAHgEAAGRycy9lMm9Eb2MueG1sUEsFBgAAAAAGAAYAWQEAAG0FAAAAAA==&#10;">
              <v:fill on="f" focussize="0,0"/>
              <v:stroke on="f"/>
              <v:imagedata o:title=""/>
              <o:lock v:ext="edit" aspectratio="f"/>
              <v:textbox inset="0mm,0mm,0mm,0mm" style="mso-fit-shape-to-text:t;">
                <w:txbxContent>
                  <w:p>
                    <w:pPr>
                      <w:widowControl w:val="0"/>
                      <w:snapToGrid w:val="0"/>
                      <w:jc w:val="left"/>
                      <w:rPr>
                        <w:rFonts w:ascii="Times New Roman" w:hAnsi="Times New Roman" w:eastAsia="宋体" w:cs="Times New Roman"/>
                        <w:kern w:val="0"/>
                        <w:sz w:val="18"/>
                        <w:szCs w:val="20"/>
                        <w:lang w:val="en-US" w:eastAsia="zh-CN" w:bidi="ar-S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jc w:val="left"/>
      <w:rPr>
        <w:rStyle w:val="39"/>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w:fldChar w:fldCharType="begin"/>
    </w:r>
    <w:r>
      <w:rPr>
        <w:rStyle w:val="39"/>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0"/>
        <w:sz w:val="18"/>
        <w:szCs w:val="20"/>
        <w:lang w:val="en-US" w:eastAsia="zh-CN" w:bidi="ar-SA"/>
      </w:rPr>
      <w:fldChar w:fldCharType="end"/>
    </w:r>
  </w:p>
  <w:p>
    <w:pPr>
      <w:widowControl w:val="0"/>
      <w:snapToGrid w:val="0"/>
      <w:ind w:right="360" w:firstLine="360"/>
      <w:jc w:val="left"/>
      <w:rPr>
        <w:rFonts w:ascii="Times New Roman" w:hAnsi="Times New Roman" w:eastAsia="宋体" w:cs="Times New Roman"/>
        <w:kern w:val="0"/>
        <w:sz w:val="18"/>
        <w:szCs w:val="20"/>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firstLine="36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right="360" w:firstLine="360"/>
      <w:jc w:val="both"/>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00A51E"/>
    <w:multiLevelType w:val="singleLevel"/>
    <w:tmpl w:val="BA00A51E"/>
    <w:lvl w:ilvl="0" w:tentative="0">
      <w:start w:val="1"/>
      <w:numFmt w:val="decimal"/>
      <w:pStyle w:val="26"/>
      <w:lvlText w:val="%1."/>
      <w:lvlJc w:val="left"/>
      <w:pPr>
        <w:tabs>
          <w:tab w:val="left" w:pos="2040"/>
        </w:tabs>
        <w:ind w:left="2040" w:hanging="360"/>
      </w:pPr>
    </w:lvl>
  </w:abstractNum>
  <w:abstractNum w:abstractNumId="1">
    <w:nsid w:val="E592A215"/>
    <w:multiLevelType w:val="multilevel"/>
    <w:tmpl w:val="E592A215"/>
    <w:lvl w:ilvl="0" w:tentative="0">
      <w:start w:val="1"/>
      <w:numFmt w:val="decimal"/>
      <w:suff w:val="nothing"/>
      <w:lvlText w:val="（%1）"/>
      <w:lvlJc w:val="left"/>
      <w:pPr>
        <w:tabs>
          <w:tab w:val="left" w:pos="0"/>
        </w:tabs>
        <w:ind w:left="0" w:firstLine="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000000B"/>
    <w:multiLevelType w:val="multilevel"/>
    <w:tmpl w:val="0000000B"/>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1102"/>
        </w:tabs>
        <w:ind w:left="1102" w:hanging="576"/>
      </w:pPr>
      <w:rPr>
        <w:rFonts w:hint="eastAsia"/>
      </w:rPr>
    </w:lvl>
    <w:lvl w:ilvl="2" w:tentative="0">
      <w:start w:val="1"/>
      <w:numFmt w:val="decimal"/>
      <w:lvlText w:val="%1.%2.%3"/>
      <w:lvlJc w:val="left"/>
      <w:pPr>
        <w:tabs>
          <w:tab w:val="left" w:pos="1350"/>
        </w:tabs>
        <w:ind w:left="1350" w:hanging="720"/>
      </w:pPr>
      <w:rPr>
        <w:rFonts w:hint="eastAsia"/>
      </w:rPr>
    </w:lvl>
    <w:lvl w:ilvl="3" w:tentative="0">
      <w:start w:val="1"/>
      <w:numFmt w:val="decimal"/>
      <w:lvlText w:val="%1.%2.%3.%4"/>
      <w:lvlJc w:val="left"/>
      <w:pPr>
        <w:tabs>
          <w:tab w:val="left" w:pos="1080"/>
        </w:tabs>
        <w:ind w:left="864" w:hanging="864"/>
      </w:pPr>
      <w:rPr>
        <w:rFonts w:hint="eastAsia"/>
      </w:rPr>
    </w:lvl>
    <w:lvl w:ilvl="4" w:tentative="0">
      <w:start w:val="1"/>
      <w:numFmt w:val="decimal"/>
      <w:lvlText w:val="%5)"/>
      <w:lvlJc w:val="left"/>
      <w:pPr>
        <w:tabs>
          <w:tab w:val="left" w:pos="1008"/>
        </w:tabs>
        <w:ind w:left="1008" w:hanging="441"/>
      </w:pPr>
      <w:rPr>
        <w:rFonts w:hint="eastAsia"/>
      </w:rPr>
    </w:lvl>
    <w:lvl w:ilvl="5" w:tentative="0">
      <w:start w:val="1"/>
      <w:numFmt w:val="decimal"/>
      <w:lvlText w:val="(%6)"/>
      <w:lvlJc w:val="left"/>
      <w:pPr>
        <w:tabs>
          <w:tab w:val="left" w:pos="1152"/>
        </w:tabs>
        <w:ind w:left="1152" w:hanging="585"/>
      </w:pPr>
      <w:rPr>
        <w:rFonts w:hint="eastAsia"/>
      </w:rPr>
    </w:lvl>
    <w:lvl w:ilvl="6" w:tentative="0">
      <w:start w:val="1"/>
      <w:numFmt w:val="decimal"/>
      <w:lvlRestart w:val="0"/>
      <w:isLgl/>
      <w:lvlText w:val="表%7"/>
      <w:lvlJc w:val="center"/>
      <w:pPr>
        <w:tabs>
          <w:tab w:val="left" w:pos="1134"/>
        </w:tabs>
        <w:ind w:left="1134" w:hanging="846"/>
      </w:pPr>
      <w:rPr>
        <w:rFonts w:hint="eastAsia"/>
      </w:rPr>
    </w:lvl>
    <w:lvl w:ilvl="7" w:tentative="0">
      <w:start w:val="1"/>
      <w:numFmt w:val="decimal"/>
      <w:lvlRestart w:val="0"/>
      <w:lvlText w:val="图%8"/>
      <w:lvlJc w:val="center"/>
      <w:pPr>
        <w:tabs>
          <w:tab w:val="left" w:pos="1440"/>
        </w:tabs>
        <w:ind w:left="1440" w:hanging="1152"/>
      </w:pPr>
      <w:rPr>
        <w:rFonts w:hint="eastAsia"/>
      </w:rPr>
    </w:lvl>
    <w:lvl w:ilvl="8" w:tentative="0">
      <w:start w:val="1"/>
      <w:numFmt w:val="lowerRoman"/>
      <w:pStyle w:val="9"/>
      <w:lvlText w:val="%9"/>
      <w:lvlJc w:val="left"/>
      <w:pPr>
        <w:tabs>
          <w:tab w:val="left" w:pos="1584"/>
        </w:tabs>
        <w:ind w:left="1584" w:hanging="1584"/>
      </w:pPr>
      <w:rPr>
        <w:rFonts w:hint="eastAsia"/>
      </w:rPr>
    </w:lvl>
  </w:abstractNum>
  <w:abstractNum w:abstractNumId="3">
    <w:nsid w:val="2EEC2144"/>
    <w:multiLevelType w:val="singleLevel"/>
    <w:tmpl w:val="2EEC2144"/>
    <w:lvl w:ilvl="0" w:tentative="0">
      <w:start w:val="1"/>
      <w:numFmt w:val="bullet"/>
      <w:pStyle w:val="14"/>
      <w:lvlText w:val=""/>
      <w:lvlJc w:val="left"/>
      <w:pPr>
        <w:tabs>
          <w:tab w:val="left" w:pos="2040"/>
        </w:tabs>
        <w:ind w:left="2040" w:hanging="360"/>
      </w:pPr>
      <w:rPr>
        <w:rFonts w:hint="default" w:ascii="Wingdings" w:hAnsi="Wingdings"/>
      </w:rPr>
    </w:lvl>
  </w:abstractNum>
  <w:abstractNum w:abstractNumId="4">
    <w:nsid w:val="41862CA9"/>
    <w:multiLevelType w:val="multilevel"/>
    <w:tmpl w:val="41862CA9"/>
    <w:lvl w:ilvl="0" w:tentative="0">
      <w:start w:val="1"/>
      <w:numFmt w:val="decimal"/>
      <w:suff w:val="space"/>
      <w:lvlText w:val="%1"/>
      <w:lvlJc w:val="left"/>
      <w:pPr>
        <w:ind w:left="0" w:firstLine="0"/>
      </w:pPr>
      <w:rPr>
        <w:rFonts w:hint="eastAsia"/>
        <w:sz w:val="30"/>
        <w:szCs w:val="30"/>
      </w:rPr>
    </w:lvl>
    <w:lvl w:ilvl="1" w:tentative="0">
      <w:start w:val="1"/>
      <w:numFmt w:val="decimal"/>
      <w:pStyle w:val="134"/>
      <w:suff w:val="space"/>
      <w:lvlText w:val="%1.%2"/>
      <w:lvlJc w:val="left"/>
      <w:pPr>
        <w:ind w:left="1560" w:firstLine="0"/>
      </w:pPr>
      <w:rPr>
        <w:rFonts w:hint="default" w:ascii="Arial" w:hAnsi="Arial"/>
      </w:rPr>
    </w:lvl>
    <w:lvl w:ilvl="2" w:tentative="0">
      <w:start w:val="1"/>
      <w:numFmt w:val="decimal"/>
      <w:suff w:val="space"/>
      <w:lvlText w:val="%1.%2.%3"/>
      <w:lvlJc w:val="left"/>
      <w:pPr>
        <w:ind w:left="994" w:hanging="426"/>
      </w:pPr>
      <w:rPr>
        <w:rFonts w:hint="default" w:ascii="Arial" w:hAnsi="Arial"/>
      </w:rPr>
    </w:lvl>
    <w:lvl w:ilvl="3" w:tentative="0">
      <w:start w:val="1"/>
      <w:numFmt w:val="decimal"/>
      <w:suff w:val="nothing"/>
      <w:lvlText w:val="%1.%2.%3.%4"/>
      <w:lvlJc w:val="left"/>
      <w:pPr>
        <w:ind w:left="851" w:hanging="851"/>
      </w:pPr>
      <w:rPr>
        <w:rFonts w:hint="eastAsia" w:ascii="Arial" w:hAnsi="Arial"/>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59474A7D"/>
    <w:multiLevelType w:val="multilevel"/>
    <w:tmpl w:val="59474A7D"/>
    <w:lvl w:ilvl="0" w:tentative="0">
      <w:start w:val="1"/>
      <w:numFmt w:val="decimal"/>
      <w:lvlText w:val="%1"/>
      <w:lvlJc w:val="center"/>
      <w:pPr>
        <w:tabs>
          <w:tab w:val="left" w:pos="567"/>
        </w:tabs>
        <w:ind w:left="425" w:hanging="137"/>
      </w:pPr>
      <w:rPr>
        <w:rFonts w:hint="eastAsia" w:ascii="黑体" w:hAnsi="黑体" w:eastAsia="黑体"/>
        <w:b/>
        <w:i w:val="0"/>
        <w:sz w:val="36"/>
      </w:rPr>
    </w:lvl>
    <w:lvl w:ilvl="1" w:tentative="0">
      <w:start w:val="1"/>
      <w:numFmt w:val="decimal"/>
      <w:lvlText w:val="%1.%2"/>
      <w:lvlJc w:val="left"/>
      <w:pPr>
        <w:tabs>
          <w:tab w:val="left" w:pos="567"/>
        </w:tabs>
        <w:ind w:left="0" w:firstLine="0"/>
      </w:pPr>
      <w:rPr>
        <w:rFonts w:hint="eastAsia" w:ascii="黑体" w:hAnsi="黑体" w:eastAsia="黑体"/>
        <w:b/>
        <w:i w:val="0"/>
        <w:sz w:val="30"/>
      </w:rPr>
    </w:lvl>
    <w:lvl w:ilvl="2" w:tentative="0">
      <w:start w:val="1"/>
      <w:numFmt w:val="decimal"/>
      <w:pStyle w:val="147"/>
      <w:lvlText w:val="%1.%2.%3"/>
      <w:lvlJc w:val="left"/>
      <w:pPr>
        <w:tabs>
          <w:tab w:val="left" w:pos="567"/>
        </w:tabs>
        <w:ind w:left="0" w:firstLine="0"/>
      </w:pPr>
      <w:rPr>
        <w:rFonts w:hint="eastAsia" w:ascii="黑体" w:hAnsi="黑体" w:eastAsia="黑体"/>
        <w:b/>
        <w:i w:val="0"/>
        <w:sz w:val="28"/>
      </w:rPr>
    </w:lvl>
    <w:lvl w:ilvl="3" w:tentative="0">
      <w:start w:val="1"/>
      <w:numFmt w:val="decimal"/>
      <w:lvlText w:val="%1.%2.%3.%4"/>
      <w:lvlJc w:val="left"/>
      <w:pPr>
        <w:tabs>
          <w:tab w:val="left" w:pos="567"/>
        </w:tabs>
        <w:ind w:left="0" w:firstLine="0"/>
      </w:pPr>
      <w:rPr>
        <w:rFonts w:hint="eastAsia" w:ascii="黑体" w:hAnsi="黑体" w:eastAsia="黑体"/>
        <w:b/>
        <w:i w:val="0"/>
        <w:sz w:val="24"/>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202"/>
        </w:tabs>
        <w:ind w:left="5102" w:hanging="1700"/>
      </w:pPr>
      <w:rPr>
        <w:rFonts w:hint="eastAsia"/>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zYTY2NjFiMTMwMjhkMDk4ZWNhZjFhNWQ2MDEwNGUifQ=="/>
    <w:docVar w:name="KSO_WPS_MARK_KEY" w:val="65048a30-4c08-4b32-b6e8-b4d22e88f529"/>
  </w:docVars>
  <w:rsids>
    <w:rsidRoot w:val="00172A27"/>
    <w:rsid w:val="00016AE7"/>
    <w:rsid w:val="000213F7"/>
    <w:rsid w:val="00035DC2"/>
    <w:rsid w:val="00041860"/>
    <w:rsid w:val="00051FBD"/>
    <w:rsid w:val="0006230A"/>
    <w:rsid w:val="000705DE"/>
    <w:rsid w:val="00076134"/>
    <w:rsid w:val="000821AD"/>
    <w:rsid w:val="000A1491"/>
    <w:rsid w:val="000A58E9"/>
    <w:rsid w:val="000B535C"/>
    <w:rsid w:val="000B6CAD"/>
    <w:rsid w:val="000D261B"/>
    <w:rsid w:val="001043FB"/>
    <w:rsid w:val="0010539C"/>
    <w:rsid w:val="00131CC2"/>
    <w:rsid w:val="00172A27"/>
    <w:rsid w:val="00193057"/>
    <w:rsid w:val="001930BD"/>
    <w:rsid w:val="001A633D"/>
    <w:rsid w:val="00206EAD"/>
    <w:rsid w:val="00210474"/>
    <w:rsid w:val="002110CF"/>
    <w:rsid w:val="0021251E"/>
    <w:rsid w:val="00213E47"/>
    <w:rsid w:val="0025105D"/>
    <w:rsid w:val="00254302"/>
    <w:rsid w:val="00257E75"/>
    <w:rsid w:val="00260274"/>
    <w:rsid w:val="00271674"/>
    <w:rsid w:val="00277D01"/>
    <w:rsid w:val="002950C6"/>
    <w:rsid w:val="002C1244"/>
    <w:rsid w:val="002C666A"/>
    <w:rsid w:val="002D3837"/>
    <w:rsid w:val="003000B8"/>
    <w:rsid w:val="00302CA3"/>
    <w:rsid w:val="00307774"/>
    <w:rsid w:val="00310920"/>
    <w:rsid w:val="00313DC8"/>
    <w:rsid w:val="00321AC7"/>
    <w:rsid w:val="00333BFE"/>
    <w:rsid w:val="00350424"/>
    <w:rsid w:val="003771A7"/>
    <w:rsid w:val="003B1652"/>
    <w:rsid w:val="003D7BFC"/>
    <w:rsid w:val="003F14D9"/>
    <w:rsid w:val="003F6BE6"/>
    <w:rsid w:val="00403E55"/>
    <w:rsid w:val="00405E0C"/>
    <w:rsid w:val="00425F3F"/>
    <w:rsid w:val="00455539"/>
    <w:rsid w:val="00457F01"/>
    <w:rsid w:val="0048037C"/>
    <w:rsid w:val="00483C31"/>
    <w:rsid w:val="004842E7"/>
    <w:rsid w:val="004B122E"/>
    <w:rsid w:val="004C5306"/>
    <w:rsid w:val="004D4C6D"/>
    <w:rsid w:val="004F2FE3"/>
    <w:rsid w:val="0051709D"/>
    <w:rsid w:val="005527CD"/>
    <w:rsid w:val="0056012B"/>
    <w:rsid w:val="00583C82"/>
    <w:rsid w:val="005E51D4"/>
    <w:rsid w:val="00654577"/>
    <w:rsid w:val="0065494D"/>
    <w:rsid w:val="00661709"/>
    <w:rsid w:val="0067722F"/>
    <w:rsid w:val="00682AB6"/>
    <w:rsid w:val="00694141"/>
    <w:rsid w:val="006C3B0F"/>
    <w:rsid w:val="006D29A3"/>
    <w:rsid w:val="006D35A7"/>
    <w:rsid w:val="006E6810"/>
    <w:rsid w:val="006F66EB"/>
    <w:rsid w:val="007309D9"/>
    <w:rsid w:val="0075377D"/>
    <w:rsid w:val="0078289F"/>
    <w:rsid w:val="00787C1B"/>
    <w:rsid w:val="00794A22"/>
    <w:rsid w:val="007A51B4"/>
    <w:rsid w:val="007A745E"/>
    <w:rsid w:val="007B5958"/>
    <w:rsid w:val="007C606F"/>
    <w:rsid w:val="007C7DBB"/>
    <w:rsid w:val="007D71B6"/>
    <w:rsid w:val="007E2BDE"/>
    <w:rsid w:val="007F4567"/>
    <w:rsid w:val="0082266B"/>
    <w:rsid w:val="00826ED1"/>
    <w:rsid w:val="00835C1E"/>
    <w:rsid w:val="0083754D"/>
    <w:rsid w:val="00847F2D"/>
    <w:rsid w:val="0085048B"/>
    <w:rsid w:val="00876D22"/>
    <w:rsid w:val="00887261"/>
    <w:rsid w:val="008C1549"/>
    <w:rsid w:val="008D313A"/>
    <w:rsid w:val="008F60BA"/>
    <w:rsid w:val="00904CF1"/>
    <w:rsid w:val="00915FDC"/>
    <w:rsid w:val="0092502C"/>
    <w:rsid w:val="009303D7"/>
    <w:rsid w:val="00961D8E"/>
    <w:rsid w:val="009F41E5"/>
    <w:rsid w:val="009F43F8"/>
    <w:rsid w:val="00A02E30"/>
    <w:rsid w:val="00A03A6E"/>
    <w:rsid w:val="00A257DD"/>
    <w:rsid w:val="00A91595"/>
    <w:rsid w:val="00A917CB"/>
    <w:rsid w:val="00AC6733"/>
    <w:rsid w:val="00AC69F3"/>
    <w:rsid w:val="00AE6F5A"/>
    <w:rsid w:val="00AF237E"/>
    <w:rsid w:val="00AF2674"/>
    <w:rsid w:val="00AF52F5"/>
    <w:rsid w:val="00B122E1"/>
    <w:rsid w:val="00B30786"/>
    <w:rsid w:val="00B71673"/>
    <w:rsid w:val="00BA08EA"/>
    <w:rsid w:val="00BA61DE"/>
    <w:rsid w:val="00BB1418"/>
    <w:rsid w:val="00BD3764"/>
    <w:rsid w:val="00BD6991"/>
    <w:rsid w:val="00BF2EBB"/>
    <w:rsid w:val="00C164F4"/>
    <w:rsid w:val="00C36BA7"/>
    <w:rsid w:val="00C404A1"/>
    <w:rsid w:val="00C50E8D"/>
    <w:rsid w:val="00C8384E"/>
    <w:rsid w:val="00CB6049"/>
    <w:rsid w:val="00CC0E40"/>
    <w:rsid w:val="00CF3460"/>
    <w:rsid w:val="00D10AEF"/>
    <w:rsid w:val="00D55813"/>
    <w:rsid w:val="00D64EAC"/>
    <w:rsid w:val="00D91D36"/>
    <w:rsid w:val="00D93505"/>
    <w:rsid w:val="00D94A39"/>
    <w:rsid w:val="00DA44FB"/>
    <w:rsid w:val="00DC23CE"/>
    <w:rsid w:val="00DD5168"/>
    <w:rsid w:val="00DE5D9A"/>
    <w:rsid w:val="00DE6922"/>
    <w:rsid w:val="00DF06DB"/>
    <w:rsid w:val="00E02B98"/>
    <w:rsid w:val="00E22F6E"/>
    <w:rsid w:val="00E50461"/>
    <w:rsid w:val="00E50891"/>
    <w:rsid w:val="00E64DD7"/>
    <w:rsid w:val="00E763B4"/>
    <w:rsid w:val="00EA13D1"/>
    <w:rsid w:val="00ED160C"/>
    <w:rsid w:val="00EF0998"/>
    <w:rsid w:val="00EF5839"/>
    <w:rsid w:val="00F03CD3"/>
    <w:rsid w:val="00F05EB3"/>
    <w:rsid w:val="00F17329"/>
    <w:rsid w:val="00F20E60"/>
    <w:rsid w:val="00F34280"/>
    <w:rsid w:val="00F37170"/>
    <w:rsid w:val="00F460E7"/>
    <w:rsid w:val="00F53133"/>
    <w:rsid w:val="00F547F6"/>
    <w:rsid w:val="00F72DD0"/>
    <w:rsid w:val="00F74A0B"/>
    <w:rsid w:val="00F9257D"/>
    <w:rsid w:val="00F96707"/>
    <w:rsid w:val="00F97910"/>
    <w:rsid w:val="00FC723D"/>
    <w:rsid w:val="01021AA6"/>
    <w:rsid w:val="01062EEC"/>
    <w:rsid w:val="01176EA7"/>
    <w:rsid w:val="011A4CEF"/>
    <w:rsid w:val="01313CA2"/>
    <w:rsid w:val="0131639E"/>
    <w:rsid w:val="014F34AC"/>
    <w:rsid w:val="01761E20"/>
    <w:rsid w:val="018104A5"/>
    <w:rsid w:val="018309A3"/>
    <w:rsid w:val="01962A9F"/>
    <w:rsid w:val="01D02BB4"/>
    <w:rsid w:val="01DA2F0C"/>
    <w:rsid w:val="02022281"/>
    <w:rsid w:val="020272D4"/>
    <w:rsid w:val="02077BC2"/>
    <w:rsid w:val="020E5221"/>
    <w:rsid w:val="0211337B"/>
    <w:rsid w:val="023108F6"/>
    <w:rsid w:val="02337E5E"/>
    <w:rsid w:val="02590923"/>
    <w:rsid w:val="02756AE1"/>
    <w:rsid w:val="028371D0"/>
    <w:rsid w:val="029B316D"/>
    <w:rsid w:val="029C6BAE"/>
    <w:rsid w:val="02A037F9"/>
    <w:rsid w:val="02A36C44"/>
    <w:rsid w:val="02AB3492"/>
    <w:rsid w:val="02B36EC8"/>
    <w:rsid w:val="02BA41F2"/>
    <w:rsid w:val="02C32E43"/>
    <w:rsid w:val="02CF4D09"/>
    <w:rsid w:val="02D93965"/>
    <w:rsid w:val="02DB6D23"/>
    <w:rsid w:val="02DE1363"/>
    <w:rsid w:val="02E1392C"/>
    <w:rsid w:val="02E73FF7"/>
    <w:rsid w:val="02ED7EC0"/>
    <w:rsid w:val="02EF1E8A"/>
    <w:rsid w:val="02F0175E"/>
    <w:rsid w:val="02FA3272"/>
    <w:rsid w:val="02FB4D9B"/>
    <w:rsid w:val="02FD0B74"/>
    <w:rsid w:val="032A2EC2"/>
    <w:rsid w:val="033675E9"/>
    <w:rsid w:val="03463DF4"/>
    <w:rsid w:val="034F11C2"/>
    <w:rsid w:val="03573AE9"/>
    <w:rsid w:val="036C169E"/>
    <w:rsid w:val="03732011"/>
    <w:rsid w:val="038F30C5"/>
    <w:rsid w:val="038F33D3"/>
    <w:rsid w:val="038F7DE1"/>
    <w:rsid w:val="039F467D"/>
    <w:rsid w:val="03B86CA2"/>
    <w:rsid w:val="03BD7363"/>
    <w:rsid w:val="03BD7612"/>
    <w:rsid w:val="03C93101"/>
    <w:rsid w:val="03F42AF8"/>
    <w:rsid w:val="03FF72DF"/>
    <w:rsid w:val="0407524C"/>
    <w:rsid w:val="041A375B"/>
    <w:rsid w:val="0435626F"/>
    <w:rsid w:val="04363AAC"/>
    <w:rsid w:val="044449C7"/>
    <w:rsid w:val="04455294"/>
    <w:rsid w:val="044C0C16"/>
    <w:rsid w:val="044E738F"/>
    <w:rsid w:val="044F0706"/>
    <w:rsid w:val="045069C9"/>
    <w:rsid w:val="04511B1D"/>
    <w:rsid w:val="04536448"/>
    <w:rsid w:val="045638E5"/>
    <w:rsid w:val="0460606F"/>
    <w:rsid w:val="046874A4"/>
    <w:rsid w:val="046F7F48"/>
    <w:rsid w:val="047051F6"/>
    <w:rsid w:val="04763EE5"/>
    <w:rsid w:val="04777299"/>
    <w:rsid w:val="04835731"/>
    <w:rsid w:val="04881B00"/>
    <w:rsid w:val="048A01A6"/>
    <w:rsid w:val="048D0E2D"/>
    <w:rsid w:val="04903ADC"/>
    <w:rsid w:val="049868E8"/>
    <w:rsid w:val="04993AF5"/>
    <w:rsid w:val="049B37B3"/>
    <w:rsid w:val="049D226F"/>
    <w:rsid w:val="049E63CF"/>
    <w:rsid w:val="049F52DD"/>
    <w:rsid w:val="04A40A4A"/>
    <w:rsid w:val="04B53428"/>
    <w:rsid w:val="04C208EC"/>
    <w:rsid w:val="04DB26FC"/>
    <w:rsid w:val="04E35A1E"/>
    <w:rsid w:val="04E71D9A"/>
    <w:rsid w:val="04FA2842"/>
    <w:rsid w:val="0503662B"/>
    <w:rsid w:val="0525040E"/>
    <w:rsid w:val="0545249B"/>
    <w:rsid w:val="05520A72"/>
    <w:rsid w:val="055D6AD6"/>
    <w:rsid w:val="055F68F0"/>
    <w:rsid w:val="0565113A"/>
    <w:rsid w:val="056837CF"/>
    <w:rsid w:val="056B1570"/>
    <w:rsid w:val="0572283B"/>
    <w:rsid w:val="057B1758"/>
    <w:rsid w:val="05832D5D"/>
    <w:rsid w:val="05946D18"/>
    <w:rsid w:val="05A42453"/>
    <w:rsid w:val="05BA3255"/>
    <w:rsid w:val="05D709B3"/>
    <w:rsid w:val="05DA7527"/>
    <w:rsid w:val="05F1758E"/>
    <w:rsid w:val="05F2590D"/>
    <w:rsid w:val="05F6352F"/>
    <w:rsid w:val="061B79A7"/>
    <w:rsid w:val="061E4834"/>
    <w:rsid w:val="06253E14"/>
    <w:rsid w:val="06277B8D"/>
    <w:rsid w:val="063127B9"/>
    <w:rsid w:val="063C4326"/>
    <w:rsid w:val="06682011"/>
    <w:rsid w:val="0681307A"/>
    <w:rsid w:val="0698724A"/>
    <w:rsid w:val="06990CD4"/>
    <w:rsid w:val="069F6878"/>
    <w:rsid w:val="06A4548C"/>
    <w:rsid w:val="06A60F5F"/>
    <w:rsid w:val="06AA0E3B"/>
    <w:rsid w:val="06AE602B"/>
    <w:rsid w:val="06B30FB0"/>
    <w:rsid w:val="06C841FE"/>
    <w:rsid w:val="06E34073"/>
    <w:rsid w:val="06E5514B"/>
    <w:rsid w:val="06E740FE"/>
    <w:rsid w:val="06EF76F5"/>
    <w:rsid w:val="06FE3336"/>
    <w:rsid w:val="070448E8"/>
    <w:rsid w:val="0709515B"/>
    <w:rsid w:val="071A149F"/>
    <w:rsid w:val="07222462"/>
    <w:rsid w:val="07476469"/>
    <w:rsid w:val="074B3217"/>
    <w:rsid w:val="07506C6F"/>
    <w:rsid w:val="075F1DFF"/>
    <w:rsid w:val="076B3321"/>
    <w:rsid w:val="076E2F1D"/>
    <w:rsid w:val="077961C6"/>
    <w:rsid w:val="079D3913"/>
    <w:rsid w:val="07B812A2"/>
    <w:rsid w:val="07D1421B"/>
    <w:rsid w:val="07E775D3"/>
    <w:rsid w:val="07EA63B6"/>
    <w:rsid w:val="07F4133C"/>
    <w:rsid w:val="07F77D7D"/>
    <w:rsid w:val="0814614D"/>
    <w:rsid w:val="08180ABC"/>
    <w:rsid w:val="081F51E9"/>
    <w:rsid w:val="08200168"/>
    <w:rsid w:val="083E0F24"/>
    <w:rsid w:val="084D0382"/>
    <w:rsid w:val="08751D73"/>
    <w:rsid w:val="08797A83"/>
    <w:rsid w:val="0890061E"/>
    <w:rsid w:val="0891161B"/>
    <w:rsid w:val="0892187C"/>
    <w:rsid w:val="08A369B3"/>
    <w:rsid w:val="08D50D81"/>
    <w:rsid w:val="08D51B8B"/>
    <w:rsid w:val="08D80CED"/>
    <w:rsid w:val="08E27D9B"/>
    <w:rsid w:val="08F62DBC"/>
    <w:rsid w:val="09112E72"/>
    <w:rsid w:val="09421FE2"/>
    <w:rsid w:val="09565ED2"/>
    <w:rsid w:val="099E1F14"/>
    <w:rsid w:val="09AA5CFC"/>
    <w:rsid w:val="09AE729A"/>
    <w:rsid w:val="09B23C11"/>
    <w:rsid w:val="09C72D42"/>
    <w:rsid w:val="09D65F8D"/>
    <w:rsid w:val="09E103FB"/>
    <w:rsid w:val="09EF09C1"/>
    <w:rsid w:val="09F47D86"/>
    <w:rsid w:val="09F9539C"/>
    <w:rsid w:val="09FC0870"/>
    <w:rsid w:val="0A041F36"/>
    <w:rsid w:val="0A0F4207"/>
    <w:rsid w:val="0A150D53"/>
    <w:rsid w:val="0A2F195A"/>
    <w:rsid w:val="0A4E4E31"/>
    <w:rsid w:val="0A570799"/>
    <w:rsid w:val="0A5B7260"/>
    <w:rsid w:val="0A6755EC"/>
    <w:rsid w:val="0A702800"/>
    <w:rsid w:val="0A705C0C"/>
    <w:rsid w:val="0A7F3367"/>
    <w:rsid w:val="0A8217BE"/>
    <w:rsid w:val="0A8A603B"/>
    <w:rsid w:val="0AC97464"/>
    <w:rsid w:val="0AEE4667"/>
    <w:rsid w:val="0AEF6B3C"/>
    <w:rsid w:val="0AFD2CF0"/>
    <w:rsid w:val="0B02525E"/>
    <w:rsid w:val="0B057D70"/>
    <w:rsid w:val="0B067285"/>
    <w:rsid w:val="0B186F16"/>
    <w:rsid w:val="0B3026E1"/>
    <w:rsid w:val="0B310B66"/>
    <w:rsid w:val="0B405729"/>
    <w:rsid w:val="0B4E06D6"/>
    <w:rsid w:val="0B4E1717"/>
    <w:rsid w:val="0B502684"/>
    <w:rsid w:val="0B5645B6"/>
    <w:rsid w:val="0B633371"/>
    <w:rsid w:val="0B720315"/>
    <w:rsid w:val="0B7D5ABC"/>
    <w:rsid w:val="0B845C38"/>
    <w:rsid w:val="0B8E7F3E"/>
    <w:rsid w:val="0B9C2483"/>
    <w:rsid w:val="0BA37CB5"/>
    <w:rsid w:val="0BA4420A"/>
    <w:rsid w:val="0BA46B52"/>
    <w:rsid w:val="0BA923CB"/>
    <w:rsid w:val="0BDC31C7"/>
    <w:rsid w:val="0BF81A0E"/>
    <w:rsid w:val="0C021283"/>
    <w:rsid w:val="0C074C62"/>
    <w:rsid w:val="0C0D4E92"/>
    <w:rsid w:val="0C2A302B"/>
    <w:rsid w:val="0C2D57D1"/>
    <w:rsid w:val="0C392D81"/>
    <w:rsid w:val="0C3A66AE"/>
    <w:rsid w:val="0C3F0FB6"/>
    <w:rsid w:val="0C3F3DD2"/>
    <w:rsid w:val="0C4F5747"/>
    <w:rsid w:val="0C60637D"/>
    <w:rsid w:val="0C63096D"/>
    <w:rsid w:val="0C671112"/>
    <w:rsid w:val="0C683E29"/>
    <w:rsid w:val="0C6F61CA"/>
    <w:rsid w:val="0C794E2C"/>
    <w:rsid w:val="0C7E7DDA"/>
    <w:rsid w:val="0C9F478B"/>
    <w:rsid w:val="0CB35E71"/>
    <w:rsid w:val="0CB70E7D"/>
    <w:rsid w:val="0CC618AA"/>
    <w:rsid w:val="0CCB0A0B"/>
    <w:rsid w:val="0CCE2B10"/>
    <w:rsid w:val="0CD21ED4"/>
    <w:rsid w:val="0CD562EC"/>
    <w:rsid w:val="0CDC393D"/>
    <w:rsid w:val="0CE535CC"/>
    <w:rsid w:val="0CE71B86"/>
    <w:rsid w:val="0D136ABF"/>
    <w:rsid w:val="0D1B655F"/>
    <w:rsid w:val="0D3C5E2F"/>
    <w:rsid w:val="0D541E34"/>
    <w:rsid w:val="0D5D3D2D"/>
    <w:rsid w:val="0D675BB5"/>
    <w:rsid w:val="0D6F4F17"/>
    <w:rsid w:val="0D761669"/>
    <w:rsid w:val="0D791CFB"/>
    <w:rsid w:val="0D8B1F38"/>
    <w:rsid w:val="0DAD4077"/>
    <w:rsid w:val="0DB55A7E"/>
    <w:rsid w:val="0DC83A03"/>
    <w:rsid w:val="0DE3525C"/>
    <w:rsid w:val="0DF35375"/>
    <w:rsid w:val="0E052149"/>
    <w:rsid w:val="0E110646"/>
    <w:rsid w:val="0E211485"/>
    <w:rsid w:val="0E3015A8"/>
    <w:rsid w:val="0E332753"/>
    <w:rsid w:val="0E4A4418"/>
    <w:rsid w:val="0E5D07C8"/>
    <w:rsid w:val="0E63126D"/>
    <w:rsid w:val="0E701638"/>
    <w:rsid w:val="0E741495"/>
    <w:rsid w:val="0E764DE6"/>
    <w:rsid w:val="0E76520D"/>
    <w:rsid w:val="0E84319E"/>
    <w:rsid w:val="0E8536A2"/>
    <w:rsid w:val="0E8611C8"/>
    <w:rsid w:val="0E9B1118"/>
    <w:rsid w:val="0EAB4855"/>
    <w:rsid w:val="0EAB6E46"/>
    <w:rsid w:val="0EAC0FD2"/>
    <w:rsid w:val="0EC63CAC"/>
    <w:rsid w:val="0ECD1BF4"/>
    <w:rsid w:val="0ED26512"/>
    <w:rsid w:val="0ED407B0"/>
    <w:rsid w:val="0ED54824"/>
    <w:rsid w:val="0ED74A1B"/>
    <w:rsid w:val="0EDD1937"/>
    <w:rsid w:val="0EF12AE6"/>
    <w:rsid w:val="0F0934A8"/>
    <w:rsid w:val="0F0E18EA"/>
    <w:rsid w:val="0F0F6F17"/>
    <w:rsid w:val="0F2A13E9"/>
    <w:rsid w:val="0F3075D7"/>
    <w:rsid w:val="0F4D73DE"/>
    <w:rsid w:val="0F6F5F9A"/>
    <w:rsid w:val="0F716206"/>
    <w:rsid w:val="0F7560C5"/>
    <w:rsid w:val="0F7F6343"/>
    <w:rsid w:val="0F8C1C6D"/>
    <w:rsid w:val="0F964EF5"/>
    <w:rsid w:val="0FAF7A07"/>
    <w:rsid w:val="0FB051D8"/>
    <w:rsid w:val="0FC461C7"/>
    <w:rsid w:val="0FC840ED"/>
    <w:rsid w:val="0FD82648"/>
    <w:rsid w:val="0FF87EA4"/>
    <w:rsid w:val="1018241A"/>
    <w:rsid w:val="10223283"/>
    <w:rsid w:val="104C32F3"/>
    <w:rsid w:val="10580086"/>
    <w:rsid w:val="1058028C"/>
    <w:rsid w:val="10601970"/>
    <w:rsid w:val="10613C9B"/>
    <w:rsid w:val="10635C65"/>
    <w:rsid w:val="106A1357"/>
    <w:rsid w:val="108459C8"/>
    <w:rsid w:val="108A2B0C"/>
    <w:rsid w:val="10945E1E"/>
    <w:rsid w:val="10971449"/>
    <w:rsid w:val="10A463FA"/>
    <w:rsid w:val="10B14485"/>
    <w:rsid w:val="10BE3CD6"/>
    <w:rsid w:val="10C5403D"/>
    <w:rsid w:val="10C82558"/>
    <w:rsid w:val="10E815CD"/>
    <w:rsid w:val="10FC6D8B"/>
    <w:rsid w:val="11082E58"/>
    <w:rsid w:val="110F3769"/>
    <w:rsid w:val="112C42A9"/>
    <w:rsid w:val="112D1987"/>
    <w:rsid w:val="112E31D9"/>
    <w:rsid w:val="1133451A"/>
    <w:rsid w:val="113D4744"/>
    <w:rsid w:val="1142587A"/>
    <w:rsid w:val="115001B4"/>
    <w:rsid w:val="115A0E16"/>
    <w:rsid w:val="115B12AA"/>
    <w:rsid w:val="11600920"/>
    <w:rsid w:val="117D35E2"/>
    <w:rsid w:val="11991213"/>
    <w:rsid w:val="11C76E0D"/>
    <w:rsid w:val="11ED564D"/>
    <w:rsid w:val="11F85FBE"/>
    <w:rsid w:val="12062188"/>
    <w:rsid w:val="12094ABD"/>
    <w:rsid w:val="12266B04"/>
    <w:rsid w:val="12282CC2"/>
    <w:rsid w:val="122F4A48"/>
    <w:rsid w:val="12361536"/>
    <w:rsid w:val="123B7C8B"/>
    <w:rsid w:val="12435D4E"/>
    <w:rsid w:val="12491DAE"/>
    <w:rsid w:val="12671B79"/>
    <w:rsid w:val="127C5EB8"/>
    <w:rsid w:val="12811ADA"/>
    <w:rsid w:val="12AA50F8"/>
    <w:rsid w:val="12B1592B"/>
    <w:rsid w:val="12E32F33"/>
    <w:rsid w:val="12E7492B"/>
    <w:rsid w:val="12F010AB"/>
    <w:rsid w:val="130D1EB8"/>
    <w:rsid w:val="130E6ED3"/>
    <w:rsid w:val="132E02BD"/>
    <w:rsid w:val="13586D91"/>
    <w:rsid w:val="135E2714"/>
    <w:rsid w:val="136A730B"/>
    <w:rsid w:val="13743CE5"/>
    <w:rsid w:val="137837D5"/>
    <w:rsid w:val="139C0491"/>
    <w:rsid w:val="13A21340"/>
    <w:rsid w:val="13A22601"/>
    <w:rsid w:val="13B05011"/>
    <w:rsid w:val="13BA3DEE"/>
    <w:rsid w:val="13BC6EF1"/>
    <w:rsid w:val="13BF65A8"/>
    <w:rsid w:val="13C23EBC"/>
    <w:rsid w:val="13EB48C6"/>
    <w:rsid w:val="13FF709F"/>
    <w:rsid w:val="14123C2A"/>
    <w:rsid w:val="14165B2C"/>
    <w:rsid w:val="14185067"/>
    <w:rsid w:val="143272AB"/>
    <w:rsid w:val="144556B6"/>
    <w:rsid w:val="14455EBB"/>
    <w:rsid w:val="1448764C"/>
    <w:rsid w:val="145E1E13"/>
    <w:rsid w:val="1479267C"/>
    <w:rsid w:val="14795A57"/>
    <w:rsid w:val="149A2848"/>
    <w:rsid w:val="14C52A4A"/>
    <w:rsid w:val="14D507B4"/>
    <w:rsid w:val="14DF397C"/>
    <w:rsid w:val="14EB6229"/>
    <w:rsid w:val="14F450E9"/>
    <w:rsid w:val="1502219F"/>
    <w:rsid w:val="150A4A89"/>
    <w:rsid w:val="1527507F"/>
    <w:rsid w:val="152A6D51"/>
    <w:rsid w:val="153168D8"/>
    <w:rsid w:val="1542409B"/>
    <w:rsid w:val="156324B0"/>
    <w:rsid w:val="15875F52"/>
    <w:rsid w:val="158A796A"/>
    <w:rsid w:val="159248FD"/>
    <w:rsid w:val="159D45F7"/>
    <w:rsid w:val="15A67DC1"/>
    <w:rsid w:val="15B33927"/>
    <w:rsid w:val="15D22872"/>
    <w:rsid w:val="15D46A1A"/>
    <w:rsid w:val="15D76773"/>
    <w:rsid w:val="15E11B06"/>
    <w:rsid w:val="15E1607E"/>
    <w:rsid w:val="15EB69C0"/>
    <w:rsid w:val="15F1524F"/>
    <w:rsid w:val="15F4227C"/>
    <w:rsid w:val="160F011E"/>
    <w:rsid w:val="16357AA3"/>
    <w:rsid w:val="163F7937"/>
    <w:rsid w:val="164862B3"/>
    <w:rsid w:val="1649546E"/>
    <w:rsid w:val="164C2CF7"/>
    <w:rsid w:val="165D2E86"/>
    <w:rsid w:val="167204FB"/>
    <w:rsid w:val="167B7901"/>
    <w:rsid w:val="167E4C60"/>
    <w:rsid w:val="168453DE"/>
    <w:rsid w:val="1692064E"/>
    <w:rsid w:val="16922165"/>
    <w:rsid w:val="169819B4"/>
    <w:rsid w:val="16990696"/>
    <w:rsid w:val="16B0768E"/>
    <w:rsid w:val="16C6779D"/>
    <w:rsid w:val="16C845EA"/>
    <w:rsid w:val="16C84A74"/>
    <w:rsid w:val="16CC7474"/>
    <w:rsid w:val="16E37001"/>
    <w:rsid w:val="16E76CB8"/>
    <w:rsid w:val="1715758D"/>
    <w:rsid w:val="171B3BBB"/>
    <w:rsid w:val="17205B89"/>
    <w:rsid w:val="1722416E"/>
    <w:rsid w:val="17231872"/>
    <w:rsid w:val="172A4DE7"/>
    <w:rsid w:val="172C5003"/>
    <w:rsid w:val="174B2ED7"/>
    <w:rsid w:val="174D4F79"/>
    <w:rsid w:val="17807086"/>
    <w:rsid w:val="17830E65"/>
    <w:rsid w:val="17885FB1"/>
    <w:rsid w:val="178F3081"/>
    <w:rsid w:val="17921355"/>
    <w:rsid w:val="17AB4285"/>
    <w:rsid w:val="17AF4280"/>
    <w:rsid w:val="17CE60BA"/>
    <w:rsid w:val="17E235BB"/>
    <w:rsid w:val="17E94C64"/>
    <w:rsid w:val="17EB4434"/>
    <w:rsid w:val="180073A0"/>
    <w:rsid w:val="180D7ADF"/>
    <w:rsid w:val="181A12FF"/>
    <w:rsid w:val="1838203F"/>
    <w:rsid w:val="183A0F5F"/>
    <w:rsid w:val="183D4B34"/>
    <w:rsid w:val="1855300F"/>
    <w:rsid w:val="18842C1C"/>
    <w:rsid w:val="18861F78"/>
    <w:rsid w:val="188E75F7"/>
    <w:rsid w:val="18B81128"/>
    <w:rsid w:val="18C33586"/>
    <w:rsid w:val="18D020A6"/>
    <w:rsid w:val="18F41E3E"/>
    <w:rsid w:val="18FF6912"/>
    <w:rsid w:val="1900216E"/>
    <w:rsid w:val="191479B4"/>
    <w:rsid w:val="191715C3"/>
    <w:rsid w:val="191A7205"/>
    <w:rsid w:val="191D66DD"/>
    <w:rsid w:val="19257F5C"/>
    <w:rsid w:val="19332869"/>
    <w:rsid w:val="19520AC2"/>
    <w:rsid w:val="19682DB5"/>
    <w:rsid w:val="19777A51"/>
    <w:rsid w:val="199327CB"/>
    <w:rsid w:val="19AA432F"/>
    <w:rsid w:val="19B72B7E"/>
    <w:rsid w:val="19C21FF7"/>
    <w:rsid w:val="19C239FC"/>
    <w:rsid w:val="19CC0E30"/>
    <w:rsid w:val="19DE6FD7"/>
    <w:rsid w:val="1A187AC0"/>
    <w:rsid w:val="1A2429E4"/>
    <w:rsid w:val="1A3C5DB9"/>
    <w:rsid w:val="1A43009A"/>
    <w:rsid w:val="1A49636A"/>
    <w:rsid w:val="1A535B01"/>
    <w:rsid w:val="1A574B77"/>
    <w:rsid w:val="1A5F6A15"/>
    <w:rsid w:val="1A604FC3"/>
    <w:rsid w:val="1A6330B6"/>
    <w:rsid w:val="1A670FBA"/>
    <w:rsid w:val="1A6A69FF"/>
    <w:rsid w:val="1A6C4519"/>
    <w:rsid w:val="1A717567"/>
    <w:rsid w:val="1A7267BE"/>
    <w:rsid w:val="1AA70A4B"/>
    <w:rsid w:val="1AB32FF2"/>
    <w:rsid w:val="1ABF40BA"/>
    <w:rsid w:val="1ACB53A7"/>
    <w:rsid w:val="1AE73302"/>
    <w:rsid w:val="1AF85D77"/>
    <w:rsid w:val="1B050B00"/>
    <w:rsid w:val="1B281F85"/>
    <w:rsid w:val="1B3247AF"/>
    <w:rsid w:val="1B5A1C2F"/>
    <w:rsid w:val="1B5F527B"/>
    <w:rsid w:val="1B681C87"/>
    <w:rsid w:val="1B80591D"/>
    <w:rsid w:val="1B971E54"/>
    <w:rsid w:val="1B9D6CE2"/>
    <w:rsid w:val="1BA376C1"/>
    <w:rsid w:val="1BB6133F"/>
    <w:rsid w:val="1BD77200"/>
    <w:rsid w:val="1BDA0015"/>
    <w:rsid w:val="1BE07A5B"/>
    <w:rsid w:val="1BEF5126"/>
    <w:rsid w:val="1BFC1EBD"/>
    <w:rsid w:val="1C032DB0"/>
    <w:rsid w:val="1C0E3E9F"/>
    <w:rsid w:val="1C17390B"/>
    <w:rsid w:val="1C183B46"/>
    <w:rsid w:val="1C273A3D"/>
    <w:rsid w:val="1C566F8A"/>
    <w:rsid w:val="1C6F72CB"/>
    <w:rsid w:val="1C70071C"/>
    <w:rsid w:val="1C805D1C"/>
    <w:rsid w:val="1C876837"/>
    <w:rsid w:val="1CA473E9"/>
    <w:rsid w:val="1CAA3FDA"/>
    <w:rsid w:val="1CAA78DB"/>
    <w:rsid w:val="1CAE6770"/>
    <w:rsid w:val="1CB760F5"/>
    <w:rsid w:val="1CB9246A"/>
    <w:rsid w:val="1CDA105D"/>
    <w:rsid w:val="1CDB5985"/>
    <w:rsid w:val="1CE06351"/>
    <w:rsid w:val="1CE75927"/>
    <w:rsid w:val="1CED1DE3"/>
    <w:rsid w:val="1CF46060"/>
    <w:rsid w:val="1CF54132"/>
    <w:rsid w:val="1D0E6117"/>
    <w:rsid w:val="1D32733A"/>
    <w:rsid w:val="1D3C1D18"/>
    <w:rsid w:val="1D3F1E45"/>
    <w:rsid w:val="1D437F55"/>
    <w:rsid w:val="1D557C9F"/>
    <w:rsid w:val="1D654867"/>
    <w:rsid w:val="1D722F1F"/>
    <w:rsid w:val="1D7305D9"/>
    <w:rsid w:val="1D79364E"/>
    <w:rsid w:val="1D7A2A83"/>
    <w:rsid w:val="1D9518F0"/>
    <w:rsid w:val="1DA65E17"/>
    <w:rsid w:val="1DC8194E"/>
    <w:rsid w:val="1DC8384B"/>
    <w:rsid w:val="1E064989"/>
    <w:rsid w:val="1E0F2F88"/>
    <w:rsid w:val="1E156195"/>
    <w:rsid w:val="1E16454C"/>
    <w:rsid w:val="1E184929"/>
    <w:rsid w:val="1E351539"/>
    <w:rsid w:val="1E5A2DBC"/>
    <w:rsid w:val="1E865698"/>
    <w:rsid w:val="1E8743A2"/>
    <w:rsid w:val="1E893A4C"/>
    <w:rsid w:val="1E9D03D8"/>
    <w:rsid w:val="1EAF5ABB"/>
    <w:rsid w:val="1EB44225"/>
    <w:rsid w:val="1EC46D3B"/>
    <w:rsid w:val="1EE04AC5"/>
    <w:rsid w:val="1EEF1993"/>
    <w:rsid w:val="1EF36406"/>
    <w:rsid w:val="1EF6594F"/>
    <w:rsid w:val="1EFD308C"/>
    <w:rsid w:val="1F03398C"/>
    <w:rsid w:val="1F0941FC"/>
    <w:rsid w:val="1F120F82"/>
    <w:rsid w:val="1F1E2026"/>
    <w:rsid w:val="1F352503"/>
    <w:rsid w:val="1F623606"/>
    <w:rsid w:val="1F63358C"/>
    <w:rsid w:val="1F654398"/>
    <w:rsid w:val="1F8D2F56"/>
    <w:rsid w:val="1F9366B7"/>
    <w:rsid w:val="1F973688"/>
    <w:rsid w:val="1F9C1F92"/>
    <w:rsid w:val="1FA36CB6"/>
    <w:rsid w:val="1FBC5684"/>
    <w:rsid w:val="1FDE1539"/>
    <w:rsid w:val="1FE50560"/>
    <w:rsid w:val="1FFA32AF"/>
    <w:rsid w:val="200B5782"/>
    <w:rsid w:val="20201C68"/>
    <w:rsid w:val="20242497"/>
    <w:rsid w:val="20356E8D"/>
    <w:rsid w:val="20492C6B"/>
    <w:rsid w:val="206A71CC"/>
    <w:rsid w:val="206C021E"/>
    <w:rsid w:val="208A0FEC"/>
    <w:rsid w:val="208B179E"/>
    <w:rsid w:val="208C2461"/>
    <w:rsid w:val="208E3772"/>
    <w:rsid w:val="209B7F26"/>
    <w:rsid w:val="20A30BCF"/>
    <w:rsid w:val="20BE2CEC"/>
    <w:rsid w:val="20CE541E"/>
    <w:rsid w:val="20F6203C"/>
    <w:rsid w:val="21196539"/>
    <w:rsid w:val="2127683B"/>
    <w:rsid w:val="212D0C8E"/>
    <w:rsid w:val="212D5BC0"/>
    <w:rsid w:val="21447A99"/>
    <w:rsid w:val="21790F2A"/>
    <w:rsid w:val="218E68BA"/>
    <w:rsid w:val="218E7B3B"/>
    <w:rsid w:val="21B20AC0"/>
    <w:rsid w:val="21B378A9"/>
    <w:rsid w:val="21B52099"/>
    <w:rsid w:val="21B677C5"/>
    <w:rsid w:val="21C3219B"/>
    <w:rsid w:val="21CB47A7"/>
    <w:rsid w:val="21DC7E0D"/>
    <w:rsid w:val="21DE339D"/>
    <w:rsid w:val="21E111C9"/>
    <w:rsid w:val="21E31B24"/>
    <w:rsid w:val="21FA531C"/>
    <w:rsid w:val="21FC03B3"/>
    <w:rsid w:val="220124C7"/>
    <w:rsid w:val="220B14A4"/>
    <w:rsid w:val="220C2296"/>
    <w:rsid w:val="22104E0D"/>
    <w:rsid w:val="22162B37"/>
    <w:rsid w:val="22204E78"/>
    <w:rsid w:val="22266AF2"/>
    <w:rsid w:val="222A29CD"/>
    <w:rsid w:val="222D7CBB"/>
    <w:rsid w:val="22335AA9"/>
    <w:rsid w:val="22511DC1"/>
    <w:rsid w:val="2263335E"/>
    <w:rsid w:val="227102F7"/>
    <w:rsid w:val="227902CA"/>
    <w:rsid w:val="22AF4FB0"/>
    <w:rsid w:val="22C43986"/>
    <w:rsid w:val="22D252B9"/>
    <w:rsid w:val="22D84F7C"/>
    <w:rsid w:val="22EC5646"/>
    <w:rsid w:val="23016DB6"/>
    <w:rsid w:val="230F0318"/>
    <w:rsid w:val="23206C42"/>
    <w:rsid w:val="232B3024"/>
    <w:rsid w:val="233E5305"/>
    <w:rsid w:val="234A2575"/>
    <w:rsid w:val="234C3B46"/>
    <w:rsid w:val="23540CD4"/>
    <w:rsid w:val="236F145C"/>
    <w:rsid w:val="239535EE"/>
    <w:rsid w:val="23A81EB5"/>
    <w:rsid w:val="23B1645A"/>
    <w:rsid w:val="23BC7876"/>
    <w:rsid w:val="23C070E9"/>
    <w:rsid w:val="23F918E9"/>
    <w:rsid w:val="2400158D"/>
    <w:rsid w:val="24185819"/>
    <w:rsid w:val="241B3930"/>
    <w:rsid w:val="242164EE"/>
    <w:rsid w:val="24224121"/>
    <w:rsid w:val="244D3152"/>
    <w:rsid w:val="244E2F8B"/>
    <w:rsid w:val="245C4A4D"/>
    <w:rsid w:val="24632F9E"/>
    <w:rsid w:val="24645B51"/>
    <w:rsid w:val="24743DB5"/>
    <w:rsid w:val="24800CBD"/>
    <w:rsid w:val="248024EA"/>
    <w:rsid w:val="24864134"/>
    <w:rsid w:val="24887CEF"/>
    <w:rsid w:val="2494132C"/>
    <w:rsid w:val="24AA677E"/>
    <w:rsid w:val="24AC7783"/>
    <w:rsid w:val="24C40BCE"/>
    <w:rsid w:val="24C64D6C"/>
    <w:rsid w:val="24D109BC"/>
    <w:rsid w:val="24D779A9"/>
    <w:rsid w:val="24DA09A4"/>
    <w:rsid w:val="24F035C0"/>
    <w:rsid w:val="24F3203F"/>
    <w:rsid w:val="250A44A9"/>
    <w:rsid w:val="251A1F8F"/>
    <w:rsid w:val="252512E3"/>
    <w:rsid w:val="2538370D"/>
    <w:rsid w:val="25407ECB"/>
    <w:rsid w:val="254B122C"/>
    <w:rsid w:val="254D3444"/>
    <w:rsid w:val="25551BC3"/>
    <w:rsid w:val="25552184"/>
    <w:rsid w:val="255D7DA1"/>
    <w:rsid w:val="25643BBA"/>
    <w:rsid w:val="25697422"/>
    <w:rsid w:val="25790A8E"/>
    <w:rsid w:val="257C0843"/>
    <w:rsid w:val="25896995"/>
    <w:rsid w:val="259533B9"/>
    <w:rsid w:val="25A30B61"/>
    <w:rsid w:val="25B508B9"/>
    <w:rsid w:val="25B7036B"/>
    <w:rsid w:val="25B7521A"/>
    <w:rsid w:val="25CC0F82"/>
    <w:rsid w:val="25D9546E"/>
    <w:rsid w:val="25F25D5D"/>
    <w:rsid w:val="25F617D4"/>
    <w:rsid w:val="25FD6F61"/>
    <w:rsid w:val="260563BE"/>
    <w:rsid w:val="2607492B"/>
    <w:rsid w:val="26082A16"/>
    <w:rsid w:val="261D62F3"/>
    <w:rsid w:val="262B2E60"/>
    <w:rsid w:val="263940BD"/>
    <w:rsid w:val="263C5C64"/>
    <w:rsid w:val="26404627"/>
    <w:rsid w:val="267857AD"/>
    <w:rsid w:val="26796F4A"/>
    <w:rsid w:val="2686202F"/>
    <w:rsid w:val="268F45BD"/>
    <w:rsid w:val="2690011C"/>
    <w:rsid w:val="269E2CDD"/>
    <w:rsid w:val="26AA1AA0"/>
    <w:rsid w:val="26AA664F"/>
    <w:rsid w:val="26B26BA7"/>
    <w:rsid w:val="26C22583"/>
    <w:rsid w:val="270251CC"/>
    <w:rsid w:val="273E51BE"/>
    <w:rsid w:val="27480EC4"/>
    <w:rsid w:val="274C29DB"/>
    <w:rsid w:val="274D6A1D"/>
    <w:rsid w:val="27606603"/>
    <w:rsid w:val="276D0E05"/>
    <w:rsid w:val="276E3A9B"/>
    <w:rsid w:val="277125BE"/>
    <w:rsid w:val="27786E27"/>
    <w:rsid w:val="278B79D5"/>
    <w:rsid w:val="27A22094"/>
    <w:rsid w:val="27BE3670"/>
    <w:rsid w:val="27C0227C"/>
    <w:rsid w:val="27C923FA"/>
    <w:rsid w:val="27DC6CC6"/>
    <w:rsid w:val="27E20509"/>
    <w:rsid w:val="27E81501"/>
    <w:rsid w:val="27FF5E1C"/>
    <w:rsid w:val="28153891"/>
    <w:rsid w:val="28285193"/>
    <w:rsid w:val="282D2989"/>
    <w:rsid w:val="283C3F9C"/>
    <w:rsid w:val="28551CEF"/>
    <w:rsid w:val="28562891"/>
    <w:rsid w:val="286914E7"/>
    <w:rsid w:val="2871641F"/>
    <w:rsid w:val="288B5E40"/>
    <w:rsid w:val="288C1CBA"/>
    <w:rsid w:val="288F4D95"/>
    <w:rsid w:val="289B5D70"/>
    <w:rsid w:val="28BA3999"/>
    <w:rsid w:val="28CE5A0A"/>
    <w:rsid w:val="28D64490"/>
    <w:rsid w:val="28DD1C68"/>
    <w:rsid w:val="28E16CF7"/>
    <w:rsid w:val="28E91A51"/>
    <w:rsid w:val="28F55323"/>
    <w:rsid w:val="28FF0025"/>
    <w:rsid w:val="2900094D"/>
    <w:rsid w:val="29092764"/>
    <w:rsid w:val="290E4948"/>
    <w:rsid w:val="291B4ED7"/>
    <w:rsid w:val="292E3ACC"/>
    <w:rsid w:val="293470A9"/>
    <w:rsid w:val="2948584E"/>
    <w:rsid w:val="294C22A1"/>
    <w:rsid w:val="29565F0F"/>
    <w:rsid w:val="295E6E5C"/>
    <w:rsid w:val="297066E1"/>
    <w:rsid w:val="29BA515E"/>
    <w:rsid w:val="29C1478B"/>
    <w:rsid w:val="29D07FBB"/>
    <w:rsid w:val="29D3186A"/>
    <w:rsid w:val="29F319B0"/>
    <w:rsid w:val="2A0120C5"/>
    <w:rsid w:val="2A0C39C7"/>
    <w:rsid w:val="2A0D092D"/>
    <w:rsid w:val="2A1213D0"/>
    <w:rsid w:val="2A143969"/>
    <w:rsid w:val="2A21651D"/>
    <w:rsid w:val="2A2B5E5C"/>
    <w:rsid w:val="2A352741"/>
    <w:rsid w:val="2A382B99"/>
    <w:rsid w:val="2A52295A"/>
    <w:rsid w:val="2A6D052C"/>
    <w:rsid w:val="2A794F85"/>
    <w:rsid w:val="2A8820F8"/>
    <w:rsid w:val="2A8C277C"/>
    <w:rsid w:val="2AB07E36"/>
    <w:rsid w:val="2AB949A8"/>
    <w:rsid w:val="2ABC453D"/>
    <w:rsid w:val="2AC8477C"/>
    <w:rsid w:val="2ACD65FF"/>
    <w:rsid w:val="2AED73B0"/>
    <w:rsid w:val="2B0760E4"/>
    <w:rsid w:val="2B0A0BD5"/>
    <w:rsid w:val="2B1E480B"/>
    <w:rsid w:val="2B2831C9"/>
    <w:rsid w:val="2B2F04A0"/>
    <w:rsid w:val="2B507E0F"/>
    <w:rsid w:val="2B577BB5"/>
    <w:rsid w:val="2B5D5BAC"/>
    <w:rsid w:val="2B72158D"/>
    <w:rsid w:val="2B7413D5"/>
    <w:rsid w:val="2B7847E4"/>
    <w:rsid w:val="2B8D30F1"/>
    <w:rsid w:val="2B97564D"/>
    <w:rsid w:val="2BB214FC"/>
    <w:rsid w:val="2BBE30B7"/>
    <w:rsid w:val="2BC2643A"/>
    <w:rsid w:val="2BC44545"/>
    <w:rsid w:val="2BC52ED8"/>
    <w:rsid w:val="2BD4557F"/>
    <w:rsid w:val="2BD72510"/>
    <w:rsid w:val="2BDB094E"/>
    <w:rsid w:val="2BDF2103"/>
    <w:rsid w:val="2BE25219"/>
    <w:rsid w:val="2BF751A9"/>
    <w:rsid w:val="2BF90622"/>
    <w:rsid w:val="2BFC084C"/>
    <w:rsid w:val="2C016968"/>
    <w:rsid w:val="2C046E7B"/>
    <w:rsid w:val="2C2916B9"/>
    <w:rsid w:val="2C35678D"/>
    <w:rsid w:val="2C3706AF"/>
    <w:rsid w:val="2C3D42B0"/>
    <w:rsid w:val="2C420874"/>
    <w:rsid w:val="2C6537E1"/>
    <w:rsid w:val="2C70553A"/>
    <w:rsid w:val="2C8116EF"/>
    <w:rsid w:val="2C833103"/>
    <w:rsid w:val="2C866C92"/>
    <w:rsid w:val="2C8675D2"/>
    <w:rsid w:val="2C8D1AAE"/>
    <w:rsid w:val="2C9549F0"/>
    <w:rsid w:val="2C9B053D"/>
    <w:rsid w:val="2CA43435"/>
    <w:rsid w:val="2CB44850"/>
    <w:rsid w:val="2CD81986"/>
    <w:rsid w:val="2CEE39CE"/>
    <w:rsid w:val="2CF4193F"/>
    <w:rsid w:val="2CFF3255"/>
    <w:rsid w:val="2D016192"/>
    <w:rsid w:val="2D040005"/>
    <w:rsid w:val="2D060611"/>
    <w:rsid w:val="2D06540D"/>
    <w:rsid w:val="2D1B2C6D"/>
    <w:rsid w:val="2D2421AB"/>
    <w:rsid w:val="2D967D59"/>
    <w:rsid w:val="2D9B2143"/>
    <w:rsid w:val="2D9C53F9"/>
    <w:rsid w:val="2DA8726B"/>
    <w:rsid w:val="2DAF5BEE"/>
    <w:rsid w:val="2DB7234E"/>
    <w:rsid w:val="2DBC74AA"/>
    <w:rsid w:val="2DD01100"/>
    <w:rsid w:val="2DD67855"/>
    <w:rsid w:val="2DE0251B"/>
    <w:rsid w:val="2DF8263F"/>
    <w:rsid w:val="2E1B296B"/>
    <w:rsid w:val="2E2B796A"/>
    <w:rsid w:val="2E2E16FC"/>
    <w:rsid w:val="2E2F12DF"/>
    <w:rsid w:val="2E33681F"/>
    <w:rsid w:val="2E422F06"/>
    <w:rsid w:val="2E6C14A0"/>
    <w:rsid w:val="2E971CE7"/>
    <w:rsid w:val="2EBD74A5"/>
    <w:rsid w:val="2EC64AC9"/>
    <w:rsid w:val="2ED27AD1"/>
    <w:rsid w:val="2ED74AF1"/>
    <w:rsid w:val="2ED8511A"/>
    <w:rsid w:val="2ED95618"/>
    <w:rsid w:val="2F077F3B"/>
    <w:rsid w:val="2F17377A"/>
    <w:rsid w:val="2F1746BE"/>
    <w:rsid w:val="2F183DEB"/>
    <w:rsid w:val="2F296B60"/>
    <w:rsid w:val="2F385CA9"/>
    <w:rsid w:val="2F6A6270"/>
    <w:rsid w:val="2F772A65"/>
    <w:rsid w:val="2FAD5313"/>
    <w:rsid w:val="2FC37FC9"/>
    <w:rsid w:val="2FC8153A"/>
    <w:rsid w:val="2FE82B9A"/>
    <w:rsid w:val="2FEA115F"/>
    <w:rsid w:val="30032221"/>
    <w:rsid w:val="300D6DF3"/>
    <w:rsid w:val="30311084"/>
    <w:rsid w:val="303775C3"/>
    <w:rsid w:val="307C219A"/>
    <w:rsid w:val="309114BF"/>
    <w:rsid w:val="30B8797A"/>
    <w:rsid w:val="30D02E72"/>
    <w:rsid w:val="30D07146"/>
    <w:rsid w:val="30D537E9"/>
    <w:rsid w:val="30F5600E"/>
    <w:rsid w:val="31033D00"/>
    <w:rsid w:val="31046D9C"/>
    <w:rsid w:val="3108565B"/>
    <w:rsid w:val="310E5794"/>
    <w:rsid w:val="31280B3D"/>
    <w:rsid w:val="312A215B"/>
    <w:rsid w:val="312C4911"/>
    <w:rsid w:val="313703D4"/>
    <w:rsid w:val="313B296E"/>
    <w:rsid w:val="31496256"/>
    <w:rsid w:val="31510800"/>
    <w:rsid w:val="315339F0"/>
    <w:rsid w:val="315707D8"/>
    <w:rsid w:val="315A40C3"/>
    <w:rsid w:val="315B07D9"/>
    <w:rsid w:val="31700539"/>
    <w:rsid w:val="31842EB9"/>
    <w:rsid w:val="31954C9A"/>
    <w:rsid w:val="319C67E0"/>
    <w:rsid w:val="31A627B9"/>
    <w:rsid w:val="31AC3518"/>
    <w:rsid w:val="31BB111B"/>
    <w:rsid w:val="31BB51AD"/>
    <w:rsid w:val="31BC2618"/>
    <w:rsid w:val="31D635CD"/>
    <w:rsid w:val="31E6211C"/>
    <w:rsid w:val="31ED1CDE"/>
    <w:rsid w:val="31EF0CAF"/>
    <w:rsid w:val="31F04CDB"/>
    <w:rsid w:val="320A7897"/>
    <w:rsid w:val="32163D42"/>
    <w:rsid w:val="32193F7E"/>
    <w:rsid w:val="321C682B"/>
    <w:rsid w:val="32340DB8"/>
    <w:rsid w:val="323448B4"/>
    <w:rsid w:val="32470AEB"/>
    <w:rsid w:val="324F1C81"/>
    <w:rsid w:val="32566453"/>
    <w:rsid w:val="32630F65"/>
    <w:rsid w:val="326905F6"/>
    <w:rsid w:val="326A1D19"/>
    <w:rsid w:val="326F1422"/>
    <w:rsid w:val="32757388"/>
    <w:rsid w:val="32800DDF"/>
    <w:rsid w:val="32803FFD"/>
    <w:rsid w:val="32807B59"/>
    <w:rsid w:val="32C71CB0"/>
    <w:rsid w:val="32D16607"/>
    <w:rsid w:val="32D90F76"/>
    <w:rsid w:val="32DB6B7F"/>
    <w:rsid w:val="32E01DCA"/>
    <w:rsid w:val="33010C9A"/>
    <w:rsid w:val="33324DFF"/>
    <w:rsid w:val="33463BBF"/>
    <w:rsid w:val="334E1ADE"/>
    <w:rsid w:val="334F654D"/>
    <w:rsid w:val="33722475"/>
    <w:rsid w:val="338A3518"/>
    <w:rsid w:val="33941A2F"/>
    <w:rsid w:val="339F1253"/>
    <w:rsid w:val="33CB0327"/>
    <w:rsid w:val="33E73134"/>
    <w:rsid w:val="34064F33"/>
    <w:rsid w:val="340A77B7"/>
    <w:rsid w:val="34201EC8"/>
    <w:rsid w:val="34240B3E"/>
    <w:rsid w:val="342B5BC4"/>
    <w:rsid w:val="343F5C29"/>
    <w:rsid w:val="3447545D"/>
    <w:rsid w:val="34553F4C"/>
    <w:rsid w:val="3467634A"/>
    <w:rsid w:val="346D77F2"/>
    <w:rsid w:val="3496237A"/>
    <w:rsid w:val="349D3EC7"/>
    <w:rsid w:val="34A30CB2"/>
    <w:rsid w:val="34C03BFB"/>
    <w:rsid w:val="34C34E65"/>
    <w:rsid w:val="34D573F5"/>
    <w:rsid w:val="34E06E7D"/>
    <w:rsid w:val="34EC12BE"/>
    <w:rsid w:val="3504704D"/>
    <w:rsid w:val="350C7B04"/>
    <w:rsid w:val="350E58F0"/>
    <w:rsid w:val="3510206C"/>
    <w:rsid w:val="3511582F"/>
    <w:rsid w:val="3524284F"/>
    <w:rsid w:val="353A0F5E"/>
    <w:rsid w:val="35401C2F"/>
    <w:rsid w:val="354E6D01"/>
    <w:rsid w:val="355B7DDC"/>
    <w:rsid w:val="357F480B"/>
    <w:rsid w:val="35955A05"/>
    <w:rsid w:val="3597779E"/>
    <w:rsid w:val="359E2132"/>
    <w:rsid w:val="35B05AAB"/>
    <w:rsid w:val="35D26462"/>
    <w:rsid w:val="35D32936"/>
    <w:rsid w:val="35E542BD"/>
    <w:rsid w:val="35EB3E55"/>
    <w:rsid w:val="35F66AB0"/>
    <w:rsid w:val="35FB54B5"/>
    <w:rsid w:val="36162CAE"/>
    <w:rsid w:val="3623309F"/>
    <w:rsid w:val="36407610"/>
    <w:rsid w:val="3652180C"/>
    <w:rsid w:val="36547DEE"/>
    <w:rsid w:val="36570F3A"/>
    <w:rsid w:val="36584866"/>
    <w:rsid w:val="3663658A"/>
    <w:rsid w:val="366F6879"/>
    <w:rsid w:val="368A544A"/>
    <w:rsid w:val="36B67FED"/>
    <w:rsid w:val="36BF0D58"/>
    <w:rsid w:val="36C344B8"/>
    <w:rsid w:val="36CC3AA3"/>
    <w:rsid w:val="36DE6BCD"/>
    <w:rsid w:val="36E27034"/>
    <w:rsid w:val="36E94D26"/>
    <w:rsid w:val="36EF3875"/>
    <w:rsid w:val="37022A39"/>
    <w:rsid w:val="37060F75"/>
    <w:rsid w:val="37112B49"/>
    <w:rsid w:val="3720190B"/>
    <w:rsid w:val="373A2258"/>
    <w:rsid w:val="374B2E2B"/>
    <w:rsid w:val="37555A58"/>
    <w:rsid w:val="375C5759"/>
    <w:rsid w:val="376230AD"/>
    <w:rsid w:val="3777179E"/>
    <w:rsid w:val="377722EF"/>
    <w:rsid w:val="378513D8"/>
    <w:rsid w:val="379D1740"/>
    <w:rsid w:val="37C23BFB"/>
    <w:rsid w:val="37FE343A"/>
    <w:rsid w:val="3800683A"/>
    <w:rsid w:val="38092DEA"/>
    <w:rsid w:val="380F5DE7"/>
    <w:rsid w:val="381A6DC7"/>
    <w:rsid w:val="38314D5D"/>
    <w:rsid w:val="3839587C"/>
    <w:rsid w:val="384004B6"/>
    <w:rsid w:val="3847274F"/>
    <w:rsid w:val="38513B03"/>
    <w:rsid w:val="385201EA"/>
    <w:rsid w:val="386701A5"/>
    <w:rsid w:val="386A4DF7"/>
    <w:rsid w:val="387777EC"/>
    <w:rsid w:val="3879279F"/>
    <w:rsid w:val="388A34DF"/>
    <w:rsid w:val="3894610C"/>
    <w:rsid w:val="38AB0363"/>
    <w:rsid w:val="38AB3ADC"/>
    <w:rsid w:val="38AB4E2D"/>
    <w:rsid w:val="38B955D1"/>
    <w:rsid w:val="38BA60B7"/>
    <w:rsid w:val="38C04E31"/>
    <w:rsid w:val="38CA4CB0"/>
    <w:rsid w:val="38CA5BDA"/>
    <w:rsid w:val="38DD552A"/>
    <w:rsid w:val="38DF41E3"/>
    <w:rsid w:val="38E676EC"/>
    <w:rsid w:val="38F65019"/>
    <w:rsid w:val="38FD1F03"/>
    <w:rsid w:val="39186D3D"/>
    <w:rsid w:val="391C1C30"/>
    <w:rsid w:val="39273424"/>
    <w:rsid w:val="39374703"/>
    <w:rsid w:val="39502B7A"/>
    <w:rsid w:val="3965082F"/>
    <w:rsid w:val="397B72CC"/>
    <w:rsid w:val="39812B34"/>
    <w:rsid w:val="39A033FE"/>
    <w:rsid w:val="39A051D9"/>
    <w:rsid w:val="39FA6443"/>
    <w:rsid w:val="3A092B2A"/>
    <w:rsid w:val="3A3D1840"/>
    <w:rsid w:val="3A5D1440"/>
    <w:rsid w:val="3A7335CC"/>
    <w:rsid w:val="3A7828D3"/>
    <w:rsid w:val="3A8C5975"/>
    <w:rsid w:val="3A920779"/>
    <w:rsid w:val="3A945484"/>
    <w:rsid w:val="3AA0348E"/>
    <w:rsid w:val="3ABE1B66"/>
    <w:rsid w:val="3AC956DF"/>
    <w:rsid w:val="3ADA6214"/>
    <w:rsid w:val="3ADE11D2"/>
    <w:rsid w:val="3AE25855"/>
    <w:rsid w:val="3AF413A8"/>
    <w:rsid w:val="3AFD443D"/>
    <w:rsid w:val="3B041B77"/>
    <w:rsid w:val="3B081118"/>
    <w:rsid w:val="3B0D2116"/>
    <w:rsid w:val="3B0E1293"/>
    <w:rsid w:val="3B1E51EE"/>
    <w:rsid w:val="3B235A0A"/>
    <w:rsid w:val="3B2969B6"/>
    <w:rsid w:val="3B2E1A16"/>
    <w:rsid w:val="3B2F6131"/>
    <w:rsid w:val="3B312338"/>
    <w:rsid w:val="3B654B02"/>
    <w:rsid w:val="3B6A6DA7"/>
    <w:rsid w:val="3B7D4D7E"/>
    <w:rsid w:val="3B805B8F"/>
    <w:rsid w:val="3B84024E"/>
    <w:rsid w:val="3B900039"/>
    <w:rsid w:val="3B9B48B3"/>
    <w:rsid w:val="3BC9416E"/>
    <w:rsid w:val="3BCB5986"/>
    <w:rsid w:val="3BCB62E9"/>
    <w:rsid w:val="3BD41CAA"/>
    <w:rsid w:val="3BD70EEA"/>
    <w:rsid w:val="3BE93013"/>
    <w:rsid w:val="3BEA7C87"/>
    <w:rsid w:val="3BF55114"/>
    <w:rsid w:val="3C0126E8"/>
    <w:rsid w:val="3C012C88"/>
    <w:rsid w:val="3C1309C3"/>
    <w:rsid w:val="3C1B07D2"/>
    <w:rsid w:val="3C1C3375"/>
    <w:rsid w:val="3C2F78EE"/>
    <w:rsid w:val="3C38620C"/>
    <w:rsid w:val="3C417DDB"/>
    <w:rsid w:val="3C433359"/>
    <w:rsid w:val="3C4C3631"/>
    <w:rsid w:val="3C5F2C7D"/>
    <w:rsid w:val="3C6109FB"/>
    <w:rsid w:val="3C6F5700"/>
    <w:rsid w:val="3C822752"/>
    <w:rsid w:val="3C877CC9"/>
    <w:rsid w:val="3C8B773F"/>
    <w:rsid w:val="3CA46597"/>
    <w:rsid w:val="3CA5756E"/>
    <w:rsid w:val="3CB2015B"/>
    <w:rsid w:val="3CC42977"/>
    <w:rsid w:val="3CD37385"/>
    <w:rsid w:val="3CEA4D9C"/>
    <w:rsid w:val="3D000214"/>
    <w:rsid w:val="3D01214B"/>
    <w:rsid w:val="3D0E7876"/>
    <w:rsid w:val="3D12335B"/>
    <w:rsid w:val="3D145DBB"/>
    <w:rsid w:val="3D391317"/>
    <w:rsid w:val="3D50701F"/>
    <w:rsid w:val="3D581DFE"/>
    <w:rsid w:val="3D7D6E2D"/>
    <w:rsid w:val="3D8E0304"/>
    <w:rsid w:val="3DA44767"/>
    <w:rsid w:val="3DB443FE"/>
    <w:rsid w:val="3DEE32CE"/>
    <w:rsid w:val="3DF5764D"/>
    <w:rsid w:val="3DF92C9A"/>
    <w:rsid w:val="3E233DD8"/>
    <w:rsid w:val="3E2A6CA8"/>
    <w:rsid w:val="3E38029E"/>
    <w:rsid w:val="3E3824EF"/>
    <w:rsid w:val="3E401F6C"/>
    <w:rsid w:val="3E515386"/>
    <w:rsid w:val="3E5F0F6A"/>
    <w:rsid w:val="3E6C0B4C"/>
    <w:rsid w:val="3E7F1ABA"/>
    <w:rsid w:val="3E831338"/>
    <w:rsid w:val="3E8B0906"/>
    <w:rsid w:val="3EA70248"/>
    <w:rsid w:val="3EA70F45"/>
    <w:rsid w:val="3ED25BE0"/>
    <w:rsid w:val="3EF65C8C"/>
    <w:rsid w:val="3F0C0FB2"/>
    <w:rsid w:val="3F115250"/>
    <w:rsid w:val="3F193EDE"/>
    <w:rsid w:val="3F202197"/>
    <w:rsid w:val="3F253F62"/>
    <w:rsid w:val="3F3624A6"/>
    <w:rsid w:val="3F527399"/>
    <w:rsid w:val="3F615B53"/>
    <w:rsid w:val="3F646AD9"/>
    <w:rsid w:val="3F664225"/>
    <w:rsid w:val="3F6754DB"/>
    <w:rsid w:val="3F774742"/>
    <w:rsid w:val="3F787FE7"/>
    <w:rsid w:val="3F80388E"/>
    <w:rsid w:val="3F8B70B3"/>
    <w:rsid w:val="3F903D44"/>
    <w:rsid w:val="3F940A35"/>
    <w:rsid w:val="3FC30092"/>
    <w:rsid w:val="3FEB6D63"/>
    <w:rsid w:val="3FF00FD3"/>
    <w:rsid w:val="402715B4"/>
    <w:rsid w:val="40363883"/>
    <w:rsid w:val="40405AC9"/>
    <w:rsid w:val="404217AF"/>
    <w:rsid w:val="404B020A"/>
    <w:rsid w:val="404D5E5C"/>
    <w:rsid w:val="406E6888"/>
    <w:rsid w:val="407D1810"/>
    <w:rsid w:val="40972C3D"/>
    <w:rsid w:val="40AD420F"/>
    <w:rsid w:val="40AD7ADE"/>
    <w:rsid w:val="40B557B9"/>
    <w:rsid w:val="40CF0629"/>
    <w:rsid w:val="40DF6392"/>
    <w:rsid w:val="40EB630A"/>
    <w:rsid w:val="40FD625C"/>
    <w:rsid w:val="41010C1D"/>
    <w:rsid w:val="412C5900"/>
    <w:rsid w:val="41304AD3"/>
    <w:rsid w:val="4142554A"/>
    <w:rsid w:val="4142790F"/>
    <w:rsid w:val="41461FA0"/>
    <w:rsid w:val="416405D4"/>
    <w:rsid w:val="4166026F"/>
    <w:rsid w:val="416C231C"/>
    <w:rsid w:val="41AA443F"/>
    <w:rsid w:val="41DE746D"/>
    <w:rsid w:val="41EC0D67"/>
    <w:rsid w:val="41FF0A9A"/>
    <w:rsid w:val="42084862"/>
    <w:rsid w:val="421320F5"/>
    <w:rsid w:val="42132328"/>
    <w:rsid w:val="421C51F8"/>
    <w:rsid w:val="421E7356"/>
    <w:rsid w:val="422E5823"/>
    <w:rsid w:val="4230177A"/>
    <w:rsid w:val="423A7D24"/>
    <w:rsid w:val="42492A15"/>
    <w:rsid w:val="42642FF3"/>
    <w:rsid w:val="426824C9"/>
    <w:rsid w:val="42744541"/>
    <w:rsid w:val="4279428B"/>
    <w:rsid w:val="427C658F"/>
    <w:rsid w:val="42827C11"/>
    <w:rsid w:val="428460AA"/>
    <w:rsid w:val="428A5D95"/>
    <w:rsid w:val="428D386D"/>
    <w:rsid w:val="42900EA1"/>
    <w:rsid w:val="429A14D0"/>
    <w:rsid w:val="42B10897"/>
    <w:rsid w:val="42B717F1"/>
    <w:rsid w:val="42B75819"/>
    <w:rsid w:val="42CE4911"/>
    <w:rsid w:val="42DD6E32"/>
    <w:rsid w:val="430108AA"/>
    <w:rsid w:val="4302552F"/>
    <w:rsid w:val="43062136"/>
    <w:rsid w:val="431466D8"/>
    <w:rsid w:val="431770EC"/>
    <w:rsid w:val="431801FE"/>
    <w:rsid w:val="431E13F4"/>
    <w:rsid w:val="4323487E"/>
    <w:rsid w:val="43337AED"/>
    <w:rsid w:val="43346E69"/>
    <w:rsid w:val="43607C5E"/>
    <w:rsid w:val="436149EA"/>
    <w:rsid w:val="436306F9"/>
    <w:rsid w:val="43762FDE"/>
    <w:rsid w:val="4386613A"/>
    <w:rsid w:val="43952899"/>
    <w:rsid w:val="43975C7C"/>
    <w:rsid w:val="43B52F07"/>
    <w:rsid w:val="43B75B0A"/>
    <w:rsid w:val="43BB16CD"/>
    <w:rsid w:val="43C315E7"/>
    <w:rsid w:val="43CA157C"/>
    <w:rsid w:val="43D06F3E"/>
    <w:rsid w:val="43D97E9A"/>
    <w:rsid w:val="43E20674"/>
    <w:rsid w:val="43E268C5"/>
    <w:rsid w:val="43E94875"/>
    <w:rsid w:val="43EA3654"/>
    <w:rsid w:val="43EB4BBD"/>
    <w:rsid w:val="43F074F2"/>
    <w:rsid w:val="44091826"/>
    <w:rsid w:val="440A5146"/>
    <w:rsid w:val="44432D59"/>
    <w:rsid w:val="44590106"/>
    <w:rsid w:val="445E272C"/>
    <w:rsid w:val="44680285"/>
    <w:rsid w:val="447A7EF9"/>
    <w:rsid w:val="448156A1"/>
    <w:rsid w:val="449818C5"/>
    <w:rsid w:val="44A335BC"/>
    <w:rsid w:val="44A418CC"/>
    <w:rsid w:val="44A6168A"/>
    <w:rsid w:val="44BB24B7"/>
    <w:rsid w:val="44BB250B"/>
    <w:rsid w:val="44C77869"/>
    <w:rsid w:val="44D0671E"/>
    <w:rsid w:val="44E33C06"/>
    <w:rsid w:val="44E67CEF"/>
    <w:rsid w:val="44ED393A"/>
    <w:rsid w:val="44EE4DF6"/>
    <w:rsid w:val="44F206DC"/>
    <w:rsid w:val="450D5F99"/>
    <w:rsid w:val="450D640F"/>
    <w:rsid w:val="45266426"/>
    <w:rsid w:val="45364226"/>
    <w:rsid w:val="453672DE"/>
    <w:rsid w:val="45372E61"/>
    <w:rsid w:val="45460483"/>
    <w:rsid w:val="454B48DA"/>
    <w:rsid w:val="458A0FC3"/>
    <w:rsid w:val="45B04FBA"/>
    <w:rsid w:val="45B85B30"/>
    <w:rsid w:val="45C83899"/>
    <w:rsid w:val="45D95AA6"/>
    <w:rsid w:val="45DE30BD"/>
    <w:rsid w:val="45E13857"/>
    <w:rsid w:val="45E635C1"/>
    <w:rsid w:val="45FA054C"/>
    <w:rsid w:val="460217CB"/>
    <w:rsid w:val="46081EE8"/>
    <w:rsid w:val="461C0ED4"/>
    <w:rsid w:val="461E2BFA"/>
    <w:rsid w:val="462705C0"/>
    <w:rsid w:val="463000C1"/>
    <w:rsid w:val="4634519A"/>
    <w:rsid w:val="465069DB"/>
    <w:rsid w:val="46541B0B"/>
    <w:rsid w:val="46546BE9"/>
    <w:rsid w:val="46565261"/>
    <w:rsid w:val="46657AE6"/>
    <w:rsid w:val="46715CDF"/>
    <w:rsid w:val="46774659"/>
    <w:rsid w:val="46B17C94"/>
    <w:rsid w:val="46BB2149"/>
    <w:rsid w:val="46C02F1D"/>
    <w:rsid w:val="46CE372A"/>
    <w:rsid w:val="46F633B4"/>
    <w:rsid w:val="470E7C9D"/>
    <w:rsid w:val="4733013E"/>
    <w:rsid w:val="473867FC"/>
    <w:rsid w:val="474C4558"/>
    <w:rsid w:val="476311B6"/>
    <w:rsid w:val="476544D5"/>
    <w:rsid w:val="476B6BD2"/>
    <w:rsid w:val="47702654"/>
    <w:rsid w:val="47721B21"/>
    <w:rsid w:val="47765958"/>
    <w:rsid w:val="477E2882"/>
    <w:rsid w:val="47876D4D"/>
    <w:rsid w:val="478B056C"/>
    <w:rsid w:val="47A824CD"/>
    <w:rsid w:val="47C736C4"/>
    <w:rsid w:val="47CF0F0F"/>
    <w:rsid w:val="48147151"/>
    <w:rsid w:val="481B656B"/>
    <w:rsid w:val="482374AD"/>
    <w:rsid w:val="482F6F94"/>
    <w:rsid w:val="48533052"/>
    <w:rsid w:val="485B2FBC"/>
    <w:rsid w:val="48625702"/>
    <w:rsid w:val="48626610"/>
    <w:rsid w:val="488636FA"/>
    <w:rsid w:val="48A923BE"/>
    <w:rsid w:val="48B12D0A"/>
    <w:rsid w:val="48C45881"/>
    <w:rsid w:val="48C523F1"/>
    <w:rsid w:val="48E610D9"/>
    <w:rsid w:val="48E704DA"/>
    <w:rsid w:val="48F67DD6"/>
    <w:rsid w:val="490A4F68"/>
    <w:rsid w:val="49243F54"/>
    <w:rsid w:val="4925280E"/>
    <w:rsid w:val="492E1C3E"/>
    <w:rsid w:val="494E2307"/>
    <w:rsid w:val="497526AF"/>
    <w:rsid w:val="49843F7B"/>
    <w:rsid w:val="49886F6A"/>
    <w:rsid w:val="49956188"/>
    <w:rsid w:val="499B04D1"/>
    <w:rsid w:val="49A3452C"/>
    <w:rsid w:val="49AA37E2"/>
    <w:rsid w:val="49B605D8"/>
    <w:rsid w:val="49B844EB"/>
    <w:rsid w:val="49BE144C"/>
    <w:rsid w:val="49C37DC6"/>
    <w:rsid w:val="49DB5931"/>
    <w:rsid w:val="49DB6D62"/>
    <w:rsid w:val="49DD1ADB"/>
    <w:rsid w:val="49E13672"/>
    <w:rsid w:val="49EE386C"/>
    <w:rsid w:val="4A0B7D1E"/>
    <w:rsid w:val="4A0D456A"/>
    <w:rsid w:val="4A314103"/>
    <w:rsid w:val="4A392FB7"/>
    <w:rsid w:val="4A3D0F32"/>
    <w:rsid w:val="4A3D6D5C"/>
    <w:rsid w:val="4A530227"/>
    <w:rsid w:val="4A6606F1"/>
    <w:rsid w:val="4A7152AE"/>
    <w:rsid w:val="4A8D6256"/>
    <w:rsid w:val="4A955E78"/>
    <w:rsid w:val="4AA541A9"/>
    <w:rsid w:val="4AB01D84"/>
    <w:rsid w:val="4AB12316"/>
    <w:rsid w:val="4AB40112"/>
    <w:rsid w:val="4ACB684A"/>
    <w:rsid w:val="4AD13CFB"/>
    <w:rsid w:val="4AD93F50"/>
    <w:rsid w:val="4ADB1098"/>
    <w:rsid w:val="4ADE43B1"/>
    <w:rsid w:val="4AE52751"/>
    <w:rsid w:val="4AEE441E"/>
    <w:rsid w:val="4AF36E95"/>
    <w:rsid w:val="4AFA44F5"/>
    <w:rsid w:val="4AFD1087"/>
    <w:rsid w:val="4B1A34BA"/>
    <w:rsid w:val="4B297318"/>
    <w:rsid w:val="4B382976"/>
    <w:rsid w:val="4B425E9C"/>
    <w:rsid w:val="4B5C3202"/>
    <w:rsid w:val="4B6E7088"/>
    <w:rsid w:val="4B893ACB"/>
    <w:rsid w:val="4B8E1DD1"/>
    <w:rsid w:val="4B9A5CD8"/>
    <w:rsid w:val="4B9B7A7D"/>
    <w:rsid w:val="4BA44460"/>
    <w:rsid w:val="4BC33F2E"/>
    <w:rsid w:val="4BD875F1"/>
    <w:rsid w:val="4BD877F1"/>
    <w:rsid w:val="4BE947F8"/>
    <w:rsid w:val="4BF16DB4"/>
    <w:rsid w:val="4C147916"/>
    <w:rsid w:val="4C150C6C"/>
    <w:rsid w:val="4C203B1C"/>
    <w:rsid w:val="4C292381"/>
    <w:rsid w:val="4C376B8B"/>
    <w:rsid w:val="4C3979A1"/>
    <w:rsid w:val="4C402D16"/>
    <w:rsid w:val="4C4355DD"/>
    <w:rsid w:val="4C485734"/>
    <w:rsid w:val="4C4A3EDD"/>
    <w:rsid w:val="4C517D7C"/>
    <w:rsid w:val="4C5B52AC"/>
    <w:rsid w:val="4C5C526A"/>
    <w:rsid w:val="4C6B1024"/>
    <w:rsid w:val="4C714C8A"/>
    <w:rsid w:val="4C7B3413"/>
    <w:rsid w:val="4C843E94"/>
    <w:rsid w:val="4C9D321A"/>
    <w:rsid w:val="4CA633C0"/>
    <w:rsid w:val="4CB1057E"/>
    <w:rsid w:val="4CB9015E"/>
    <w:rsid w:val="4CC17D34"/>
    <w:rsid w:val="4CC414A9"/>
    <w:rsid w:val="4CDF2F07"/>
    <w:rsid w:val="4CE96D27"/>
    <w:rsid w:val="4D094369"/>
    <w:rsid w:val="4D183358"/>
    <w:rsid w:val="4D3F55DC"/>
    <w:rsid w:val="4D6442EE"/>
    <w:rsid w:val="4DA235DD"/>
    <w:rsid w:val="4DAD1323"/>
    <w:rsid w:val="4DC808DA"/>
    <w:rsid w:val="4DCD7A86"/>
    <w:rsid w:val="4DD23454"/>
    <w:rsid w:val="4DE65204"/>
    <w:rsid w:val="4DEB3CD7"/>
    <w:rsid w:val="4DEC4673"/>
    <w:rsid w:val="4E134C15"/>
    <w:rsid w:val="4E265A40"/>
    <w:rsid w:val="4E306565"/>
    <w:rsid w:val="4E3758B5"/>
    <w:rsid w:val="4E3B3B03"/>
    <w:rsid w:val="4E6266B9"/>
    <w:rsid w:val="4E7D47E1"/>
    <w:rsid w:val="4E8E7287"/>
    <w:rsid w:val="4EA37C7B"/>
    <w:rsid w:val="4ECA7E8A"/>
    <w:rsid w:val="4ECF1D01"/>
    <w:rsid w:val="4ED437B6"/>
    <w:rsid w:val="4EE716D1"/>
    <w:rsid w:val="4F211CCD"/>
    <w:rsid w:val="4F380341"/>
    <w:rsid w:val="4F4C3358"/>
    <w:rsid w:val="4F8B1BBF"/>
    <w:rsid w:val="4FB837D3"/>
    <w:rsid w:val="4FCD2163"/>
    <w:rsid w:val="4FD07719"/>
    <w:rsid w:val="4FDB1E13"/>
    <w:rsid w:val="4FDC4AE1"/>
    <w:rsid w:val="4FE00FA4"/>
    <w:rsid w:val="4FE614EB"/>
    <w:rsid w:val="4FEB7FB7"/>
    <w:rsid w:val="4FF3239B"/>
    <w:rsid w:val="4FF41B52"/>
    <w:rsid w:val="4FF7134D"/>
    <w:rsid w:val="4FFA4F97"/>
    <w:rsid w:val="4FFA6D45"/>
    <w:rsid w:val="502617E8"/>
    <w:rsid w:val="50364CFB"/>
    <w:rsid w:val="503D78E7"/>
    <w:rsid w:val="504554AF"/>
    <w:rsid w:val="505D6EA6"/>
    <w:rsid w:val="505E2A75"/>
    <w:rsid w:val="50630DA6"/>
    <w:rsid w:val="507411A1"/>
    <w:rsid w:val="508A631B"/>
    <w:rsid w:val="50AC3E00"/>
    <w:rsid w:val="50BC7C0F"/>
    <w:rsid w:val="50BF26CC"/>
    <w:rsid w:val="50C03C81"/>
    <w:rsid w:val="50C30DC6"/>
    <w:rsid w:val="50CA625E"/>
    <w:rsid w:val="50D5243D"/>
    <w:rsid w:val="50D525FA"/>
    <w:rsid w:val="50D94BAC"/>
    <w:rsid w:val="50DA49D2"/>
    <w:rsid w:val="50DD11B4"/>
    <w:rsid w:val="510077A6"/>
    <w:rsid w:val="510432A4"/>
    <w:rsid w:val="510B06B0"/>
    <w:rsid w:val="51143E36"/>
    <w:rsid w:val="511E0210"/>
    <w:rsid w:val="513F5244"/>
    <w:rsid w:val="5147420C"/>
    <w:rsid w:val="51564059"/>
    <w:rsid w:val="51597A9B"/>
    <w:rsid w:val="51640FCB"/>
    <w:rsid w:val="516C4267"/>
    <w:rsid w:val="518D366A"/>
    <w:rsid w:val="519F324A"/>
    <w:rsid w:val="51AE6039"/>
    <w:rsid w:val="51BE7DFD"/>
    <w:rsid w:val="51C37786"/>
    <w:rsid w:val="51CB39BF"/>
    <w:rsid w:val="51CF7444"/>
    <w:rsid w:val="51D713FC"/>
    <w:rsid w:val="51E02CF5"/>
    <w:rsid w:val="51E04113"/>
    <w:rsid w:val="51EB4E5C"/>
    <w:rsid w:val="51FB4B39"/>
    <w:rsid w:val="52336BFE"/>
    <w:rsid w:val="52757135"/>
    <w:rsid w:val="527B646A"/>
    <w:rsid w:val="52922E5B"/>
    <w:rsid w:val="52A63262"/>
    <w:rsid w:val="52B80CBC"/>
    <w:rsid w:val="52C87751"/>
    <w:rsid w:val="52CF79BF"/>
    <w:rsid w:val="52D34AE6"/>
    <w:rsid w:val="52EA5BF1"/>
    <w:rsid w:val="52F20DDD"/>
    <w:rsid w:val="530A6B20"/>
    <w:rsid w:val="530B37DF"/>
    <w:rsid w:val="53115815"/>
    <w:rsid w:val="533B567C"/>
    <w:rsid w:val="53403512"/>
    <w:rsid w:val="53672943"/>
    <w:rsid w:val="537A4860"/>
    <w:rsid w:val="538D69DA"/>
    <w:rsid w:val="539330AC"/>
    <w:rsid w:val="539774E2"/>
    <w:rsid w:val="539D38BA"/>
    <w:rsid w:val="53C02D75"/>
    <w:rsid w:val="53C4037D"/>
    <w:rsid w:val="53CD3FA0"/>
    <w:rsid w:val="53D97703"/>
    <w:rsid w:val="53E05781"/>
    <w:rsid w:val="53E2646E"/>
    <w:rsid w:val="53EC47F3"/>
    <w:rsid w:val="54095C24"/>
    <w:rsid w:val="54436319"/>
    <w:rsid w:val="545C418A"/>
    <w:rsid w:val="546128EA"/>
    <w:rsid w:val="5463213A"/>
    <w:rsid w:val="546450D5"/>
    <w:rsid w:val="546B2CC5"/>
    <w:rsid w:val="546C6235"/>
    <w:rsid w:val="547B3034"/>
    <w:rsid w:val="54903C81"/>
    <w:rsid w:val="54A31759"/>
    <w:rsid w:val="54AF0F9C"/>
    <w:rsid w:val="54B14AE6"/>
    <w:rsid w:val="54B6782A"/>
    <w:rsid w:val="54B8580F"/>
    <w:rsid w:val="54BE597D"/>
    <w:rsid w:val="54C17746"/>
    <w:rsid w:val="54D15E7B"/>
    <w:rsid w:val="54D47FF3"/>
    <w:rsid w:val="54E35A37"/>
    <w:rsid w:val="55130E0C"/>
    <w:rsid w:val="55246F0A"/>
    <w:rsid w:val="5526593F"/>
    <w:rsid w:val="554F74B9"/>
    <w:rsid w:val="55537708"/>
    <w:rsid w:val="5563713A"/>
    <w:rsid w:val="556644E1"/>
    <w:rsid w:val="55785646"/>
    <w:rsid w:val="55833339"/>
    <w:rsid w:val="55902584"/>
    <w:rsid w:val="559D089E"/>
    <w:rsid w:val="55C667E9"/>
    <w:rsid w:val="55E26618"/>
    <w:rsid w:val="55E54BF6"/>
    <w:rsid w:val="55EB19F3"/>
    <w:rsid w:val="55F0144F"/>
    <w:rsid w:val="55FF21DB"/>
    <w:rsid w:val="56073F6A"/>
    <w:rsid w:val="5611063B"/>
    <w:rsid w:val="56177DDE"/>
    <w:rsid w:val="561B7A15"/>
    <w:rsid w:val="561B7E87"/>
    <w:rsid w:val="56224935"/>
    <w:rsid w:val="5635765F"/>
    <w:rsid w:val="56496330"/>
    <w:rsid w:val="564D66AA"/>
    <w:rsid w:val="565E627F"/>
    <w:rsid w:val="5673469C"/>
    <w:rsid w:val="568D26C1"/>
    <w:rsid w:val="568E4346"/>
    <w:rsid w:val="568F3A63"/>
    <w:rsid w:val="56920730"/>
    <w:rsid w:val="56A33ADC"/>
    <w:rsid w:val="56A96DCF"/>
    <w:rsid w:val="56AD734D"/>
    <w:rsid w:val="56B44C85"/>
    <w:rsid w:val="56C63E25"/>
    <w:rsid w:val="56D976B4"/>
    <w:rsid w:val="56DF6711"/>
    <w:rsid w:val="56E3671B"/>
    <w:rsid w:val="56EC7D2F"/>
    <w:rsid w:val="5705494D"/>
    <w:rsid w:val="570E27ED"/>
    <w:rsid w:val="570F1328"/>
    <w:rsid w:val="571D6CF2"/>
    <w:rsid w:val="5725063E"/>
    <w:rsid w:val="572A43B4"/>
    <w:rsid w:val="57356EA8"/>
    <w:rsid w:val="574B16E0"/>
    <w:rsid w:val="57684EDC"/>
    <w:rsid w:val="576B029A"/>
    <w:rsid w:val="57B43C7D"/>
    <w:rsid w:val="57B55F59"/>
    <w:rsid w:val="57BE5435"/>
    <w:rsid w:val="57C33332"/>
    <w:rsid w:val="57C351F2"/>
    <w:rsid w:val="57CC698A"/>
    <w:rsid w:val="57E207EA"/>
    <w:rsid w:val="57E26A3C"/>
    <w:rsid w:val="57EA1F6C"/>
    <w:rsid w:val="57ED214D"/>
    <w:rsid w:val="580460F8"/>
    <w:rsid w:val="580601E4"/>
    <w:rsid w:val="58307457"/>
    <w:rsid w:val="583A08CE"/>
    <w:rsid w:val="58424A76"/>
    <w:rsid w:val="584B7FA3"/>
    <w:rsid w:val="58531487"/>
    <w:rsid w:val="58622F29"/>
    <w:rsid w:val="586A630B"/>
    <w:rsid w:val="586E0618"/>
    <w:rsid w:val="58730A25"/>
    <w:rsid w:val="58740EBC"/>
    <w:rsid w:val="587A0A23"/>
    <w:rsid w:val="588021E3"/>
    <w:rsid w:val="58811E29"/>
    <w:rsid w:val="588F71D6"/>
    <w:rsid w:val="589579DA"/>
    <w:rsid w:val="589E6E07"/>
    <w:rsid w:val="58AA21F4"/>
    <w:rsid w:val="58B00013"/>
    <w:rsid w:val="58C61EBA"/>
    <w:rsid w:val="58EB36CF"/>
    <w:rsid w:val="59015FE4"/>
    <w:rsid w:val="59080725"/>
    <w:rsid w:val="59105691"/>
    <w:rsid w:val="591C4813"/>
    <w:rsid w:val="593A439E"/>
    <w:rsid w:val="593A6404"/>
    <w:rsid w:val="59425BEE"/>
    <w:rsid w:val="594D6425"/>
    <w:rsid w:val="59577C8F"/>
    <w:rsid w:val="5966544B"/>
    <w:rsid w:val="59762F1C"/>
    <w:rsid w:val="59836B47"/>
    <w:rsid w:val="5998105E"/>
    <w:rsid w:val="59A246D5"/>
    <w:rsid w:val="59A860E0"/>
    <w:rsid w:val="59AC28A9"/>
    <w:rsid w:val="59B259A0"/>
    <w:rsid w:val="59E44C0C"/>
    <w:rsid w:val="59F60C40"/>
    <w:rsid w:val="5A0841CF"/>
    <w:rsid w:val="5A0D1AE7"/>
    <w:rsid w:val="5A2B5395"/>
    <w:rsid w:val="5A48770F"/>
    <w:rsid w:val="5A5C6F40"/>
    <w:rsid w:val="5A69150A"/>
    <w:rsid w:val="5A7616BE"/>
    <w:rsid w:val="5A7631A9"/>
    <w:rsid w:val="5A7B60D6"/>
    <w:rsid w:val="5A932869"/>
    <w:rsid w:val="5A9B4E80"/>
    <w:rsid w:val="5AB971BC"/>
    <w:rsid w:val="5AC10B8B"/>
    <w:rsid w:val="5AC16AE3"/>
    <w:rsid w:val="5AC402E2"/>
    <w:rsid w:val="5AC661A1"/>
    <w:rsid w:val="5AC95C92"/>
    <w:rsid w:val="5ADA7E9F"/>
    <w:rsid w:val="5ADC13F8"/>
    <w:rsid w:val="5AF2343A"/>
    <w:rsid w:val="5B134329"/>
    <w:rsid w:val="5B185BB1"/>
    <w:rsid w:val="5B386773"/>
    <w:rsid w:val="5B403CD0"/>
    <w:rsid w:val="5B514F34"/>
    <w:rsid w:val="5B5279BC"/>
    <w:rsid w:val="5B6D0D13"/>
    <w:rsid w:val="5B793E26"/>
    <w:rsid w:val="5B8335D5"/>
    <w:rsid w:val="5B953AAE"/>
    <w:rsid w:val="5B9C6F02"/>
    <w:rsid w:val="5BCE2125"/>
    <w:rsid w:val="5BDB5C7C"/>
    <w:rsid w:val="5BF07EDE"/>
    <w:rsid w:val="5BF468E3"/>
    <w:rsid w:val="5BF873D3"/>
    <w:rsid w:val="5C0566DC"/>
    <w:rsid w:val="5C112EDA"/>
    <w:rsid w:val="5C1D0043"/>
    <w:rsid w:val="5C1D3E2C"/>
    <w:rsid w:val="5C2A3710"/>
    <w:rsid w:val="5C2F17D8"/>
    <w:rsid w:val="5C301554"/>
    <w:rsid w:val="5C3A6E47"/>
    <w:rsid w:val="5C3D2F6D"/>
    <w:rsid w:val="5C494943"/>
    <w:rsid w:val="5C5617A7"/>
    <w:rsid w:val="5C5649F6"/>
    <w:rsid w:val="5C69050A"/>
    <w:rsid w:val="5C6E4D42"/>
    <w:rsid w:val="5C875E04"/>
    <w:rsid w:val="5C8767C2"/>
    <w:rsid w:val="5C8A276A"/>
    <w:rsid w:val="5C8D77A3"/>
    <w:rsid w:val="5C91458D"/>
    <w:rsid w:val="5CA17724"/>
    <w:rsid w:val="5CB7447E"/>
    <w:rsid w:val="5CBD0C7F"/>
    <w:rsid w:val="5CC93515"/>
    <w:rsid w:val="5CD21B4B"/>
    <w:rsid w:val="5CE63B57"/>
    <w:rsid w:val="5D034B16"/>
    <w:rsid w:val="5D3A6718"/>
    <w:rsid w:val="5D5472D5"/>
    <w:rsid w:val="5D552D03"/>
    <w:rsid w:val="5D7446E2"/>
    <w:rsid w:val="5D8B0CCB"/>
    <w:rsid w:val="5D8B4074"/>
    <w:rsid w:val="5DA763A4"/>
    <w:rsid w:val="5DCC0131"/>
    <w:rsid w:val="5DCC4A8D"/>
    <w:rsid w:val="5DD017B6"/>
    <w:rsid w:val="5DD556DF"/>
    <w:rsid w:val="5DD62B9F"/>
    <w:rsid w:val="5DDC0A84"/>
    <w:rsid w:val="5DE6667E"/>
    <w:rsid w:val="5E013E64"/>
    <w:rsid w:val="5E2C697B"/>
    <w:rsid w:val="5E53232E"/>
    <w:rsid w:val="5E5B413C"/>
    <w:rsid w:val="5E732762"/>
    <w:rsid w:val="5E766F14"/>
    <w:rsid w:val="5E8F7578"/>
    <w:rsid w:val="5E9B5041"/>
    <w:rsid w:val="5E9B6682"/>
    <w:rsid w:val="5E9F6F9A"/>
    <w:rsid w:val="5EBD2437"/>
    <w:rsid w:val="5ECA48C4"/>
    <w:rsid w:val="5EDD1D0C"/>
    <w:rsid w:val="5EF3152F"/>
    <w:rsid w:val="5F427DC1"/>
    <w:rsid w:val="5F4914FA"/>
    <w:rsid w:val="5F535F4B"/>
    <w:rsid w:val="5F555D46"/>
    <w:rsid w:val="5F677827"/>
    <w:rsid w:val="5F7B6D18"/>
    <w:rsid w:val="5F8328B3"/>
    <w:rsid w:val="5F8B1852"/>
    <w:rsid w:val="5F9525E6"/>
    <w:rsid w:val="5F9706CC"/>
    <w:rsid w:val="5F9958C6"/>
    <w:rsid w:val="5FA171DD"/>
    <w:rsid w:val="5FB228E4"/>
    <w:rsid w:val="5FB82366"/>
    <w:rsid w:val="5FCC7EC3"/>
    <w:rsid w:val="5FD20252"/>
    <w:rsid w:val="5FD4310E"/>
    <w:rsid w:val="5FDA0F1A"/>
    <w:rsid w:val="5FEF54CE"/>
    <w:rsid w:val="5FEF619A"/>
    <w:rsid w:val="5FF33409"/>
    <w:rsid w:val="5FF74D61"/>
    <w:rsid w:val="5FFE018B"/>
    <w:rsid w:val="60003F04"/>
    <w:rsid w:val="600308C7"/>
    <w:rsid w:val="60061410"/>
    <w:rsid w:val="60207FA4"/>
    <w:rsid w:val="60242E62"/>
    <w:rsid w:val="6042276E"/>
    <w:rsid w:val="60483FB6"/>
    <w:rsid w:val="604C23F8"/>
    <w:rsid w:val="60614C15"/>
    <w:rsid w:val="60620F67"/>
    <w:rsid w:val="60742643"/>
    <w:rsid w:val="609B0CFA"/>
    <w:rsid w:val="609D64F9"/>
    <w:rsid w:val="609F2B47"/>
    <w:rsid w:val="60CA5420"/>
    <w:rsid w:val="60CD32EB"/>
    <w:rsid w:val="60CF0B57"/>
    <w:rsid w:val="60CF67CD"/>
    <w:rsid w:val="60E23609"/>
    <w:rsid w:val="60E43825"/>
    <w:rsid w:val="60E94C3E"/>
    <w:rsid w:val="60EE259D"/>
    <w:rsid w:val="60F33888"/>
    <w:rsid w:val="61033E39"/>
    <w:rsid w:val="61106345"/>
    <w:rsid w:val="61162CB2"/>
    <w:rsid w:val="6126111B"/>
    <w:rsid w:val="61416958"/>
    <w:rsid w:val="614832BA"/>
    <w:rsid w:val="61581B1D"/>
    <w:rsid w:val="617B1926"/>
    <w:rsid w:val="617E6DA5"/>
    <w:rsid w:val="617F2D1C"/>
    <w:rsid w:val="618B6CF7"/>
    <w:rsid w:val="619666EB"/>
    <w:rsid w:val="61AF5FAD"/>
    <w:rsid w:val="61B702F3"/>
    <w:rsid w:val="61C04639"/>
    <w:rsid w:val="61D770D4"/>
    <w:rsid w:val="61DF62F0"/>
    <w:rsid w:val="61ED495B"/>
    <w:rsid w:val="61EF4A0B"/>
    <w:rsid w:val="61EF4D70"/>
    <w:rsid w:val="61F72D7D"/>
    <w:rsid w:val="61FA4982"/>
    <w:rsid w:val="61FD3639"/>
    <w:rsid w:val="620F495A"/>
    <w:rsid w:val="621C15A0"/>
    <w:rsid w:val="6223009F"/>
    <w:rsid w:val="623375C8"/>
    <w:rsid w:val="624070A8"/>
    <w:rsid w:val="626D784A"/>
    <w:rsid w:val="626E03F0"/>
    <w:rsid w:val="627D0DEE"/>
    <w:rsid w:val="62832C68"/>
    <w:rsid w:val="628E4868"/>
    <w:rsid w:val="62A17B2D"/>
    <w:rsid w:val="62AD2E5D"/>
    <w:rsid w:val="62C36C06"/>
    <w:rsid w:val="62C40B19"/>
    <w:rsid w:val="62C81BF4"/>
    <w:rsid w:val="62CF1A8F"/>
    <w:rsid w:val="62EF6E63"/>
    <w:rsid w:val="62F1762C"/>
    <w:rsid w:val="62FF66F4"/>
    <w:rsid w:val="630610A1"/>
    <w:rsid w:val="63192CAE"/>
    <w:rsid w:val="631E222D"/>
    <w:rsid w:val="632D57E9"/>
    <w:rsid w:val="632E4915"/>
    <w:rsid w:val="63360E98"/>
    <w:rsid w:val="637F3C31"/>
    <w:rsid w:val="638F1863"/>
    <w:rsid w:val="639B621F"/>
    <w:rsid w:val="639D5F0D"/>
    <w:rsid w:val="63A948B2"/>
    <w:rsid w:val="63B741BF"/>
    <w:rsid w:val="63E01028"/>
    <w:rsid w:val="63E25185"/>
    <w:rsid w:val="63E87BA4"/>
    <w:rsid w:val="64093B91"/>
    <w:rsid w:val="641A3482"/>
    <w:rsid w:val="641B57B0"/>
    <w:rsid w:val="641C61E8"/>
    <w:rsid w:val="641C7510"/>
    <w:rsid w:val="64346872"/>
    <w:rsid w:val="645B31A6"/>
    <w:rsid w:val="646D720E"/>
    <w:rsid w:val="646E0315"/>
    <w:rsid w:val="64746C6E"/>
    <w:rsid w:val="64915078"/>
    <w:rsid w:val="64A57CAA"/>
    <w:rsid w:val="64AD68B8"/>
    <w:rsid w:val="64B0170D"/>
    <w:rsid w:val="64B058C7"/>
    <w:rsid w:val="64B86AC6"/>
    <w:rsid w:val="64C32B17"/>
    <w:rsid w:val="64CF6B91"/>
    <w:rsid w:val="64D31325"/>
    <w:rsid w:val="64D86895"/>
    <w:rsid w:val="64FB7E68"/>
    <w:rsid w:val="650049A6"/>
    <w:rsid w:val="65052753"/>
    <w:rsid w:val="651666A5"/>
    <w:rsid w:val="65227941"/>
    <w:rsid w:val="652C2A5A"/>
    <w:rsid w:val="653E4B1A"/>
    <w:rsid w:val="653F2BC4"/>
    <w:rsid w:val="65530043"/>
    <w:rsid w:val="655600DC"/>
    <w:rsid w:val="65574039"/>
    <w:rsid w:val="655B5515"/>
    <w:rsid w:val="657C58B7"/>
    <w:rsid w:val="657F1D6E"/>
    <w:rsid w:val="65845FB9"/>
    <w:rsid w:val="659518E8"/>
    <w:rsid w:val="659F7BE0"/>
    <w:rsid w:val="65B05B10"/>
    <w:rsid w:val="65BD2C19"/>
    <w:rsid w:val="65CC72DD"/>
    <w:rsid w:val="65FF07B9"/>
    <w:rsid w:val="66031C00"/>
    <w:rsid w:val="66083B12"/>
    <w:rsid w:val="660B6015"/>
    <w:rsid w:val="66240220"/>
    <w:rsid w:val="663C6F8B"/>
    <w:rsid w:val="66402D4F"/>
    <w:rsid w:val="66415276"/>
    <w:rsid w:val="667769FC"/>
    <w:rsid w:val="667B5EAC"/>
    <w:rsid w:val="668B1B4A"/>
    <w:rsid w:val="668C4743"/>
    <w:rsid w:val="668F1B3D"/>
    <w:rsid w:val="66AD290B"/>
    <w:rsid w:val="66B92589"/>
    <w:rsid w:val="66BD24C9"/>
    <w:rsid w:val="66CD08B8"/>
    <w:rsid w:val="66CF4630"/>
    <w:rsid w:val="66D23720"/>
    <w:rsid w:val="66D85818"/>
    <w:rsid w:val="66E6069B"/>
    <w:rsid w:val="66EB147E"/>
    <w:rsid w:val="66EC51E2"/>
    <w:rsid w:val="66ED2D08"/>
    <w:rsid w:val="67105AFB"/>
    <w:rsid w:val="67135E2B"/>
    <w:rsid w:val="67191CD7"/>
    <w:rsid w:val="672058A8"/>
    <w:rsid w:val="672F1572"/>
    <w:rsid w:val="67473459"/>
    <w:rsid w:val="675B27E4"/>
    <w:rsid w:val="675C189B"/>
    <w:rsid w:val="6765622C"/>
    <w:rsid w:val="677122F8"/>
    <w:rsid w:val="67720158"/>
    <w:rsid w:val="678B3F37"/>
    <w:rsid w:val="679173E9"/>
    <w:rsid w:val="67976F80"/>
    <w:rsid w:val="67A748B3"/>
    <w:rsid w:val="67A84647"/>
    <w:rsid w:val="67B86F8F"/>
    <w:rsid w:val="67C212B7"/>
    <w:rsid w:val="67DF779B"/>
    <w:rsid w:val="67E0273F"/>
    <w:rsid w:val="67F26925"/>
    <w:rsid w:val="67FA1B80"/>
    <w:rsid w:val="68136FA7"/>
    <w:rsid w:val="68152516"/>
    <w:rsid w:val="68164547"/>
    <w:rsid w:val="68172D3F"/>
    <w:rsid w:val="681903F3"/>
    <w:rsid w:val="68242759"/>
    <w:rsid w:val="68267313"/>
    <w:rsid w:val="683B0973"/>
    <w:rsid w:val="68406D43"/>
    <w:rsid w:val="68562967"/>
    <w:rsid w:val="686856C6"/>
    <w:rsid w:val="686C18CD"/>
    <w:rsid w:val="686E3FED"/>
    <w:rsid w:val="68750673"/>
    <w:rsid w:val="688744EC"/>
    <w:rsid w:val="68A94C91"/>
    <w:rsid w:val="68B1708E"/>
    <w:rsid w:val="68DA686F"/>
    <w:rsid w:val="68DD4635"/>
    <w:rsid w:val="68EC14C9"/>
    <w:rsid w:val="68EE6175"/>
    <w:rsid w:val="68EF4D30"/>
    <w:rsid w:val="68F93BE6"/>
    <w:rsid w:val="68FD6752"/>
    <w:rsid w:val="68FF70FA"/>
    <w:rsid w:val="690D79EA"/>
    <w:rsid w:val="69122D54"/>
    <w:rsid w:val="691926A0"/>
    <w:rsid w:val="691E6BE3"/>
    <w:rsid w:val="692073C4"/>
    <w:rsid w:val="6927298C"/>
    <w:rsid w:val="69324AAA"/>
    <w:rsid w:val="695E1C9B"/>
    <w:rsid w:val="695E1F22"/>
    <w:rsid w:val="696C0001"/>
    <w:rsid w:val="696F3A23"/>
    <w:rsid w:val="698A5744"/>
    <w:rsid w:val="69BB3AB3"/>
    <w:rsid w:val="69CB0E56"/>
    <w:rsid w:val="69CD1BF5"/>
    <w:rsid w:val="69D75D11"/>
    <w:rsid w:val="69E35CF9"/>
    <w:rsid w:val="69F94D5E"/>
    <w:rsid w:val="6A07649B"/>
    <w:rsid w:val="6A274783"/>
    <w:rsid w:val="6A276531"/>
    <w:rsid w:val="6A2F4172"/>
    <w:rsid w:val="6A433711"/>
    <w:rsid w:val="6A48401C"/>
    <w:rsid w:val="6A4C33FD"/>
    <w:rsid w:val="6A574470"/>
    <w:rsid w:val="6A75600E"/>
    <w:rsid w:val="6A7D3918"/>
    <w:rsid w:val="6AA53D33"/>
    <w:rsid w:val="6AA7015B"/>
    <w:rsid w:val="6AC81AC2"/>
    <w:rsid w:val="6ADB0B45"/>
    <w:rsid w:val="6ADD3C1C"/>
    <w:rsid w:val="6AEB3A02"/>
    <w:rsid w:val="6AEC35D2"/>
    <w:rsid w:val="6AF01018"/>
    <w:rsid w:val="6AF154DE"/>
    <w:rsid w:val="6AF40F80"/>
    <w:rsid w:val="6B080110"/>
    <w:rsid w:val="6B2430E0"/>
    <w:rsid w:val="6B3F396D"/>
    <w:rsid w:val="6B431148"/>
    <w:rsid w:val="6B476E8A"/>
    <w:rsid w:val="6B516B49"/>
    <w:rsid w:val="6B58038A"/>
    <w:rsid w:val="6B66215B"/>
    <w:rsid w:val="6B6A2B79"/>
    <w:rsid w:val="6B7036D0"/>
    <w:rsid w:val="6B7B3F14"/>
    <w:rsid w:val="6B7E30FA"/>
    <w:rsid w:val="6B8149E5"/>
    <w:rsid w:val="6B8544E4"/>
    <w:rsid w:val="6B8C0482"/>
    <w:rsid w:val="6B8D7042"/>
    <w:rsid w:val="6BA75920"/>
    <w:rsid w:val="6BAE1FDD"/>
    <w:rsid w:val="6BB13803"/>
    <w:rsid w:val="6BB3607F"/>
    <w:rsid w:val="6BB37A7D"/>
    <w:rsid w:val="6BBF0D67"/>
    <w:rsid w:val="6BCB65D7"/>
    <w:rsid w:val="6BE2124F"/>
    <w:rsid w:val="6BFC0B54"/>
    <w:rsid w:val="6C1F54B4"/>
    <w:rsid w:val="6C2C2B9F"/>
    <w:rsid w:val="6C2C6DA4"/>
    <w:rsid w:val="6C3513D9"/>
    <w:rsid w:val="6C3C2730"/>
    <w:rsid w:val="6C450AD1"/>
    <w:rsid w:val="6C4B0DD9"/>
    <w:rsid w:val="6C5F0603"/>
    <w:rsid w:val="6C6A0E2B"/>
    <w:rsid w:val="6C6C6FD7"/>
    <w:rsid w:val="6C7D4538"/>
    <w:rsid w:val="6C86020D"/>
    <w:rsid w:val="6C86106C"/>
    <w:rsid w:val="6C892993"/>
    <w:rsid w:val="6CAD4554"/>
    <w:rsid w:val="6CB16248"/>
    <w:rsid w:val="6CBD4A2F"/>
    <w:rsid w:val="6CC00F46"/>
    <w:rsid w:val="6CCA1142"/>
    <w:rsid w:val="6CE01159"/>
    <w:rsid w:val="6CE55E74"/>
    <w:rsid w:val="6CF52916"/>
    <w:rsid w:val="6D022918"/>
    <w:rsid w:val="6D0F1C2A"/>
    <w:rsid w:val="6D1154CA"/>
    <w:rsid w:val="6D144160"/>
    <w:rsid w:val="6D180706"/>
    <w:rsid w:val="6D1E1E6D"/>
    <w:rsid w:val="6D2D3C6F"/>
    <w:rsid w:val="6D2E2765"/>
    <w:rsid w:val="6D3261A4"/>
    <w:rsid w:val="6D351F33"/>
    <w:rsid w:val="6D386D33"/>
    <w:rsid w:val="6D5B0C2D"/>
    <w:rsid w:val="6D617213"/>
    <w:rsid w:val="6D6A5163"/>
    <w:rsid w:val="6D735B7F"/>
    <w:rsid w:val="6D79502A"/>
    <w:rsid w:val="6D82064E"/>
    <w:rsid w:val="6D832E4E"/>
    <w:rsid w:val="6D967812"/>
    <w:rsid w:val="6DAB2A7C"/>
    <w:rsid w:val="6DAC13BC"/>
    <w:rsid w:val="6DAC7BC8"/>
    <w:rsid w:val="6DBB53AF"/>
    <w:rsid w:val="6DC9002B"/>
    <w:rsid w:val="6DCA50CE"/>
    <w:rsid w:val="6DD24A47"/>
    <w:rsid w:val="6DD35943"/>
    <w:rsid w:val="6DD95AD5"/>
    <w:rsid w:val="6DE0292E"/>
    <w:rsid w:val="6DEC1F6B"/>
    <w:rsid w:val="6DEC381C"/>
    <w:rsid w:val="6DEE5A4B"/>
    <w:rsid w:val="6DFC3908"/>
    <w:rsid w:val="6E082B63"/>
    <w:rsid w:val="6E1407C9"/>
    <w:rsid w:val="6E26122C"/>
    <w:rsid w:val="6E380D0C"/>
    <w:rsid w:val="6E5805C6"/>
    <w:rsid w:val="6E58084E"/>
    <w:rsid w:val="6E586EDC"/>
    <w:rsid w:val="6E5A0C83"/>
    <w:rsid w:val="6E6935BC"/>
    <w:rsid w:val="6E7917CD"/>
    <w:rsid w:val="6E7B0B82"/>
    <w:rsid w:val="6E824333"/>
    <w:rsid w:val="6E8A2163"/>
    <w:rsid w:val="6E9A3298"/>
    <w:rsid w:val="6E9C3E25"/>
    <w:rsid w:val="6E9C59A5"/>
    <w:rsid w:val="6EC02EE3"/>
    <w:rsid w:val="6ED60E1A"/>
    <w:rsid w:val="6F0025C6"/>
    <w:rsid w:val="6F060E0B"/>
    <w:rsid w:val="6F113F86"/>
    <w:rsid w:val="6F12155D"/>
    <w:rsid w:val="6F3A2A36"/>
    <w:rsid w:val="6F40631D"/>
    <w:rsid w:val="6F423DC2"/>
    <w:rsid w:val="6F4E6CB1"/>
    <w:rsid w:val="6F535454"/>
    <w:rsid w:val="6F59718C"/>
    <w:rsid w:val="6F6A42F0"/>
    <w:rsid w:val="6F76166B"/>
    <w:rsid w:val="6F7860F5"/>
    <w:rsid w:val="6F8A04D3"/>
    <w:rsid w:val="6F8D308B"/>
    <w:rsid w:val="6F906185"/>
    <w:rsid w:val="6F962C4E"/>
    <w:rsid w:val="6F992425"/>
    <w:rsid w:val="6F9A0306"/>
    <w:rsid w:val="6FA34364"/>
    <w:rsid w:val="6FA6078D"/>
    <w:rsid w:val="6FA84DB7"/>
    <w:rsid w:val="6FC605F1"/>
    <w:rsid w:val="6FC8060B"/>
    <w:rsid w:val="6FCC3B42"/>
    <w:rsid w:val="6FD4133D"/>
    <w:rsid w:val="6FDC1202"/>
    <w:rsid w:val="6FEC1DAE"/>
    <w:rsid w:val="6FF670D1"/>
    <w:rsid w:val="701461F9"/>
    <w:rsid w:val="70235537"/>
    <w:rsid w:val="703A3924"/>
    <w:rsid w:val="70545BA6"/>
    <w:rsid w:val="706212BB"/>
    <w:rsid w:val="706349B0"/>
    <w:rsid w:val="70806B15"/>
    <w:rsid w:val="70815DB5"/>
    <w:rsid w:val="70822713"/>
    <w:rsid w:val="70882BE0"/>
    <w:rsid w:val="708A5715"/>
    <w:rsid w:val="70AB7195"/>
    <w:rsid w:val="70B10487"/>
    <w:rsid w:val="70B60684"/>
    <w:rsid w:val="70BA16D4"/>
    <w:rsid w:val="70E05190"/>
    <w:rsid w:val="70EF4035"/>
    <w:rsid w:val="70F53623"/>
    <w:rsid w:val="70F65B41"/>
    <w:rsid w:val="70FC72F4"/>
    <w:rsid w:val="71003DE3"/>
    <w:rsid w:val="711B0C70"/>
    <w:rsid w:val="71291A99"/>
    <w:rsid w:val="7137174F"/>
    <w:rsid w:val="71431EA2"/>
    <w:rsid w:val="714A4BCF"/>
    <w:rsid w:val="71722F2A"/>
    <w:rsid w:val="71774B87"/>
    <w:rsid w:val="71840A0F"/>
    <w:rsid w:val="71883D19"/>
    <w:rsid w:val="718D5813"/>
    <w:rsid w:val="71956476"/>
    <w:rsid w:val="71DB5A40"/>
    <w:rsid w:val="71F13D46"/>
    <w:rsid w:val="72113330"/>
    <w:rsid w:val="721B4303"/>
    <w:rsid w:val="721D1578"/>
    <w:rsid w:val="722E332F"/>
    <w:rsid w:val="724A38B1"/>
    <w:rsid w:val="724F6F10"/>
    <w:rsid w:val="726873B6"/>
    <w:rsid w:val="727B3274"/>
    <w:rsid w:val="72831637"/>
    <w:rsid w:val="728764C6"/>
    <w:rsid w:val="729246A4"/>
    <w:rsid w:val="72A669EB"/>
    <w:rsid w:val="72A93526"/>
    <w:rsid w:val="72B74068"/>
    <w:rsid w:val="72BF7C4E"/>
    <w:rsid w:val="72EF6B41"/>
    <w:rsid w:val="72F21E9A"/>
    <w:rsid w:val="72FC4436"/>
    <w:rsid w:val="72FF43ED"/>
    <w:rsid w:val="72FF762F"/>
    <w:rsid w:val="73006C20"/>
    <w:rsid w:val="73171838"/>
    <w:rsid w:val="732D1205"/>
    <w:rsid w:val="73405D12"/>
    <w:rsid w:val="73675471"/>
    <w:rsid w:val="73685DD0"/>
    <w:rsid w:val="73740A39"/>
    <w:rsid w:val="73750E39"/>
    <w:rsid w:val="738471B3"/>
    <w:rsid w:val="73874186"/>
    <w:rsid w:val="73912A38"/>
    <w:rsid w:val="73A91D83"/>
    <w:rsid w:val="73AB3D2F"/>
    <w:rsid w:val="73B753F9"/>
    <w:rsid w:val="73CC2623"/>
    <w:rsid w:val="73CE252A"/>
    <w:rsid w:val="73DE6B8A"/>
    <w:rsid w:val="74036FD2"/>
    <w:rsid w:val="740A314B"/>
    <w:rsid w:val="740F09F7"/>
    <w:rsid w:val="74170723"/>
    <w:rsid w:val="741C1AC7"/>
    <w:rsid w:val="74363B53"/>
    <w:rsid w:val="74762CAC"/>
    <w:rsid w:val="747B2BE8"/>
    <w:rsid w:val="747E1443"/>
    <w:rsid w:val="748A67E2"/>
    <w:rsid w:val="74A52E74"/>
    <w:rsid w:val="74AC5FB0"/>
    <w:rsid w:val="74B3733F"/>
    <w:rsid w:val="74D066B3"/>
    <w:rsid w:val="74E66F97"/>
    <w:rsid w:val="74EA2845"/>
    <w:rsid w:val="74EB6F63"/>
    <w:rsid w:val="74F0711C"/>
    <w:rsid w:val="74FC0092"/>
    <w:rsid w:val="75064E88"/>
    <w:rsid w:val="750E25F0"/>
    <w:rsid w:val="750E6C6B"/>
    <w:rsid w:val="7517136B"/>
    <w:rsid w:val="751769C1"/>
    <w:rsid w:val="75264E50"/>
    <w:rsid w:val="752A36CF"/>
    <w:rsid w:val="75315B60"/>
    <w:rsid w:val="75357D8E"/>
    <w:rsid w:val="75367948"/>
    <w:rsid w:val="7543372C"/>
    <w:rsid w:val="754F1C06"/>
    <w:rsid w:val="755D0C41"/>
    <w:rsid w:val="756242F1"/>
    <w:rsid w:val="756E0804"/>
    <w:rsid w:val="7571175F"/>
    <w:rsid w:val="757A0016"/>
    <w:rsid w:val="75843AD1"/>
    <w:rsid w:val="759058D2"/>
    <w:rsid w:val="75B9759E"/>
    <w:rsid w:val="75BE0200"/>
    <w:rsid w:val="75C13CDD"/>
    <w:rsid w:val="75C96E39"/>
    <w:rsid w:val="75CD6575"/>
    <w:rsid w:val="75E874BC"/>
    <w:rsid w:val="75F1781A"/>
    <w:rsid w:val="75F66C28"/>
    <w:rsid w:val="75F91FCA"/>
    <w:rsid w:val="760065B4"/>
    <w:rsid w:val="76151D7D"/>
    <w:rsid w:val="761D2251"/>
    <w:rsid w:val="762304F4"/>
    <w:rsid w:val="76236C81"/>
    <w:rsid w:val="762A08DC"/>
    <w:rsid w:val="76650B0D"/>
    <w:rsid w:val="767D5EE6"/>
    <w:rsid w:val="76B96504"/>
    <w:rsid w:val="76BB66CB"/>
    <w:rsid w:val="76D534E5"/>
    <w:rsid w:val="76D70CC6"/>
    <w:rsid w:val="76DE7079"/>
    <w:rsid w:val="76E2712A"/>
    <w:rsid w:val="77005500"/>
    <w:rsid w:val="77101B32"/>
    <w:rsid w:val="772774BF"/>
    <w:rsid w:val="772B72C2"/>
    <w:rsid w:val="772D6470"/>
    <w:rsid w:val="773813A6"/>
    <w:rsid w:val="77433F33"/>
    <w:rsid w:val="774424D0"/>
    <w:rsid w:val="775D17F5"/>
    <w:rsid w:val="77680FEC"/>
    <w:rsid w:val="776D7D15"/>
    <w:rsid w:val="777803CC"/>
    <w:rsid w:val="7784241B"/>
    <w:rsid w:val="778F3B4C"/>
    <w:rsid w:val="77911E54"/>
    <w:rsid w:val="779D227F"/>
    <w:rsid w:val="77A053CF"/>
    <w:rsid w:val="77A13DC6"/>
    <w:rsid w:val="77D31AA6"/>
    <w:rsid w:val="77D45F4A"/>
    <w:rsid w:val="77DC095A"/>
    <w:rsid w:val="77EC31A3"/>
    <w:rsid w:val="77F55179"/>
    <w:rsid w:val="77FC72FD"/>
    <w:rsid w:val="78083365"/>
    <w:rsid w:val="781D027F"/>
    <w:rsid w:val="781D0435"/>
    <w:rsid w:val="78401455"/>
    <w:rsid w:val="78525858"/>
    <w:rsid w:val="7858337E"/>
    <w:rsid w:val="78622C2E"/>
    <w:rsid w:val="78827754"/>
    <w:rsid w:val="788C400A"/>
    <w:rsid w:val="788C4C71"/>
    <w:rsid w:val="78955996"/>
    <w:rsid w:val="789D71C2"/>
    <w:rsid w:val="78AD7761"/>
    <w:rsid w:val="78B94E3C"/>
    <w:rsid w:val="78C47F96"/>
    <w:rsid w:val="78C90CFE"/>
    <w:rsid w:val="78CE1A49"/>
    <w:rsid w:val="78D056F8"/>
    <w:rsid w:val="78D14FDF"/>
    <w:rsid w:val="78D833C3"/>
    <w:rsid w:val="78F11DFE"/>
    <w:rsid w:val="78FE23EA"/>
    <w:rsid w:val="78FF2DE5"/>
    <w:rsid w:val="79002D6F"/>
    <w:rsid w:val="79114B17"/>
    <w:rsid w:val="792F71B0"/>
    <w:rsid w:val="79366578"/>
    <w:rsid w:val="794256F9"/>
    <w:rsid w:val="798A0B74"/>
    <w:rsid w:val="799A6D1F"/>
    <w:rsid w:val="799B398C"/>
    <w:rsid w:val="799B65F3"/>
    <w:rsid w:val="799E6B55"/>
    <w:rsid w:val="79A32931"/>
    <w:rsid w:val="79A34CE9"/>
    <w:rsid w:val="79AE4579"/>
    <w:rsid w:val="79AE63EE"/>
    <w:rsid w:val="79B076B6"/>
    <w:rsid w:val="79BF0C3A"/>
    <w:rsid w:val="79D25219"/>
    <w:rsid w:val="79E178A8"/>
    <w:rsid w:val="79EA3A61"/>
    <w:rsid w:val="79ED1BE6"/>
    <w:rsid w:val="7A04295E"/>
    <w:rsid w:val="7A097A01"/>
    <w:rsid w:val="7A0C3049"/>
    <w:rsid w:val="7A13262E"/>
    <w:rsid w:val="7A1D4D65"/>
    <w:rsid w:val="7A260172"/>
    <w:rsid w:val="7A2B5748"/>
    <w:rsid w:val="7A7F13A9"/>
    <w:rsid w:val="7A802579"/>
    <w:rsid w:val="7A8401D6"/>
    <w:rsid w:val="7A9E188D"/>
    <w:rsid w:val="7A9E49BD"/>
    <w:rsid w:val="7A9E7A00"/>
    <w:rsid w:val="7AAD3912"/>
    <w:rsid w:val="7AB21B7D"/>
    <w:rsid w:val="7AD17903"/>
    <w:rsid w:val="7AF1296F"/>
    <w:rsid w:val="7AF51A51"/>
    <w:rsid w:val="7B031548"/>
    <w:rsid w:val="7B285728"/>
    <w:rsid w:val="7B2C7846"/>
    <w:rsid w:val="7B426DE2"/>
    <w:rsid w:val="7B44241C"/>
    <w:rsid w:val="7B523A2D"/>
    <w:rsid w:val="7B5573A2"/>
    <w:rsid w:val="7B66335D"/>
    <w:rsid w:val="7B7C7497"/>
    <w:rsid w:val="7B8321F4"/>
    <w:rsid w:val="7B8E0946"/>
    <w:rsid w:val="7BAA7FB8"/>
    <w:rsid w:val="7BB1340F"/>
    <w:rsid w:val="7BC2255D"/>
    <w:rsid w:val="7BCF6E26"/>
    <w:rsid w:val="7BDA1655"/>
    <w:rsid w:val="7BE15DEA"/>
    <w:rsid w:val="7C0C5586"/>
    <w:rsid w:val="7C0F099A"/>
    <w:rsid w:val="7C120DEF"/>
    <w:rsid w:val="7C156B31"/>
    <w:rsid w:val="7C1D7794"/>
    <w:rsid w:val="7C2428D0"/>
    <w:rsid w:val="7C297569"/>
    <w:rsid w:val="7C2D3049"/>
    <w:rsid w:val="7C3E30E8"/>
    <w:rsid w:val="7C3E55E1"/>
    <w:rsid w:val="7C442530"/>
    <w:rsid w:val="7C4A13F0"/>
    <w:rsid w:val="7C4C2ACF"/>
    <w:rsid w:val="7C712166"/>
    <w:rsid w:val="7C9C600A"/>
    <w:rsid w:val="7CB91715"/>
    <w:rsid w:val="7CC543B7"/>
    <w:rsid w:val="7CD36376"/>
    <w:rsid w:val="7CEB021A"/>
    <w:rsid w:val="7CFB2EED"/>
    <w:rsid w:val="7D143C73"/>
    <w:rsid w:val="7D2A62D5"/>
    <w:rsid w:val="7D4A1D50"/>
    <w:rsid w:val="7D541CBA"/>
    <w:rsid w:val="7D7358BD"/>
    <w:rsid w:val="7D7C721D"/>
    <w:rsid w:val="7D8B377A"/>
    <w:rsid w:val="7D99109C"/>
    <w:rsid w:val="7D9B67D5"/>
    <w:rsid w:val="7DB11140"/>
    <w:rsid w:val="7DB96427"/>
    <w:rsid w:val="7DC154C2"/>
    <w:rsid w:val="7DD017E4"/>
    <w:rsid w:val="7DD160B8"/>
    <w:rsid w:val="7DDF52E9"/>
    <w:rsid w:val="7E0C559A"/>
    <w:rsid w:val="7E0D552E"/>
    <w:rsid w:val="7E25567E"/>
    <w:rsid w:val="7E3641FA"/>
    <w:rsid w:val="7E4632E3"/>
    <w:rsid w:val="7E501F21"/>
    <w:rsid w:val="7E6037A6"/>
    <w:rsid w:val="7E745D91"/>
    <w:rsid w:val="7E964FB2"/>
    <w:rsid w:val="7E9E2E0E"/>
    <w:rsid w:val="7EB97C47"/>
    <w:rsid w:val="7EBB3522"/>
    <w:rsid w:val="7EC11FCF"/>
    <w:rsid w:val="7ED62442"/>
    <w:rsid w:val="7EDC1B9E"/>
    <w:rsid w:val="7EDD1A58"/>
    <w:rsid w:val="7EE11E3F"/>
    <w:rsid w:val="7EEB4BAE"/>
    <w:rsid w:val="7F123F70"/>
    <w:rsid w:val="7F1B620C"/>
    <w:rsid w:val="7F1E3F4E"/>
    <w:rsid w:val="7F336D44"/>
    <w:rsid w:val="7F3635A4"/>
    <w:rsid w:val="7F477001"/>
    <w:rsid w:val="7F482D79"/>
    <w:rsid w:val="7F597276"/>
    <w:rsid w:val="7F897AA6"/>
    <w:rsid w:val="7FB10C38"/>
    <w:rsid w:val="7FC44AF6"/>
    <w:rsid w:val="7FE049AE"/>
    <w:rsid w:val="7FE90150"/>
    <w:rsid w:val="7FEA3B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semiHidden="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26"/>
    <w:qFormat/>
    <w:uiPriority w:val="0"/>
    <w:pPr>
      <w:keepNext/>
      <w:keepLines/>
      <w:jc w:val="left"/>
      <w:outlineLvl w:val="1"/>
    </w:pPr>
    <w:rPr>
      <w:b/>
      <w:bCs/>
      <w:sz w:val="32"/>
      <w:szCs w:val="32"/>
    </w:rPr>
  </w:style>
  <w:style w:type="paragraph" w:styleId="6">
    <w:name w:val="heading 3"/>
    <w:basedOn w:val="1"/>
    <w:next w:val="1"/>
    <w:qFormat/>
    <w:uiPriority w:val="0"/>
    <w:pPr>
      <w:keepNext/>
      <w:keepLines/>
      <w:tabs>
        <w:tab w:val="left" w:pos="-108"/>
      </w:tabs>
      <w:adjustRightInd w:val="0"/>
      <w:spacing w:line="420" w:lineRule="atLeast"/>
      <w:outlineLvl w:val="2"/>
    </w:pPr>
    <w:rPr>
      <w:rFonts w:ascii="宋体"/>
      <w:b/>
      <w:kern w:val="0"/>
      <w:sz w:val="28"/>
      <w:szCs w:val="20"/>
    </w:rPr>
  </w:style>
  <w:style w:type="paragraph" w:styleId="7">
    <w:name w:val="heading 4"/>
    <w:basedOn w:val="1"/>
    <w:next w:val="1"/>
    <w:qFormat/>
    <w:uiPriority w:val="0"/>
    <w:pPr>
      <w:keepNext/>
      <w:keepLines/>
      <w:spacing w:before="120" w:after="120" w:line="360" w:lineRule="auto"/>
      <w:ind w:left="1077" w:hanging="1077"/>
      <w:outlineLvl w:val="3"/>
    </w:pPr>
    <w:rPr>
      <w:rFonts w:ascii="宋体" w:hAnsi="宋体" w:eastAsia="黑体"/>
      <w:b/>
      <w:bCs/>
      <w:spacing w:val="15"/>
      <w:sz w:val="28"/>
      <w:szCs w:val="28"/>
    </w:rPr>
  </w:style>
  <w:style w:type="paragraph" w:styleId="8">
    <w:name w:val="heading 5"/>
    <w:basedOn w:val="1"/>
    <w:next w:val="1"/>
    <w:qFormat/>
    <w:uiPriority w:val="0"/>
    <w:pPr>
      <w:keepNext/>
      <w:keepLines/>
      <w:spacing w:before="280" w:after="290" w:line="376" w:lineRule="auto"/>
      <w:outlineLvl w:val="4"/>
    </w:pPr>
    <w:rPr>
      <w:b/>
      <w:bCs/>
      <w:color w:val="auto"/>
      <w:sz w:val="28"/>
      <w:szCs w:val="28"/>
    </w:rPr>
  </w:style>
  <w:style w:type="paragraph" w:styleId="9">
    <w:name w:val="heading 9"/>
    <w:basedOn w:val="1"/>
    <w:next w:val="1"/>
    <w:qFormat/>
    <w:uiPriority w:val="0"/>
    <w:pPr>
      <w:keepNext/>
      <w:keepLines/>
      <w:numPr>
        <w:ilvl w:val="8"/>
        <w:numId w:val="1"/>
      </w:numPr>
      <w:adjustRightInd w:val="0"/>
      <w:snapToGrid w:val="0"/>
      <w:spacing w:line="360" w:lineRule="auto"/>
      <w:outlineLvl w:val="8"/>
    </w:pPr>
    <w:rPr>
      <w:rFonts w:ascii="Arial" w:hAnsi="Arial" w:eastAsia="黑体"/>
      <w:sz w:val="24"/>
      <w:szCs w:val="20"/>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pPr>
    <w:rPr>
      <w:kern w:val="0"/>
      <w:sz w:val="24"/>
      <w:szCs w:val="20"/>
    </w:rPr>
  </w:style>
  <w:style w:type="paragraph" w:customStyle="1" w:styleId="4">
    <w:name w:val="1正文段落"/>
    <w:basedOn w:val="1"/>
    <w:qFormat/>
    <w:uiPriority w:val="0"/>
    <w:pPr>
      <w:widowControl/>
      <w:wordWrap w:val="0"/>
      <w:spacing w:line="360" w:lineRule="auto"/>
      <w:ind w:firstLine="480"/>
      <w:jc w:val="left"/>
    </w:pPr>
    <w:rPr>
      <w:rFonts w:ascii="Calibri" w:hAnsi="Calibri" w:eastAsia="宋体" w:cs="Times New Roman"/>
      <w:sz w:val="24"/>
    </w:rPr>
  </w:style>
  <w:style w:type="paragraph" w:styleId="10">
    <w:name w:val="caption"/>
    <w:basedOn w:val="1"/>
    <w:next w:val="1"/>
    <w:link w:val="93"/>
    <w:unhideWhenUsed/>
    <w:qFormat/>
    <w:uiPriority w:val="0"/>
    <w:pPr>
      <w:keepNext/>
      <w:adjustRightInd w:val="0"/>
      <w:snapToGrid w:val="0"/>
      <w:spacing w:line="276" w:lineRule="auto"/>
      <w:jc w:val="center"/>
    </w:pPr>
    <w:rPr>
      <w:b/>
      <w:color w:val="000000"/>
      <w:szCs w:val="21"/>
    </w:rPr>
  </w:style>
  <w:style w:type="paragraph" w:styleId="11">
    <w:name w:val="Document Map"/>
    <w:basedOn w:val="1"/>
    <w:link w:val="98"/>
    <w:qFormat/>
    <w:uiPriority w:val="0"/>
    <w:rPr>
      <w:rFonts w:ascii="宋体"/>
      <w:sz w:val="18"/>
      <w:szCs w:val="18"/>
    </w:rPr>
  </w:style>
  <w:style w:type="paragraph" w:styleId="12">
    <w:name w:val="annotation text"/>
    <w:basedOn w:val="1"/>
    <w:link w:val="95"/>
    <w:qFormat/>
    <w:uiPriority w:val="0"/>
    <w:pPr>
      <w:jc w:val="left"/>
    </w:pPr>
  </w:style>
  <w:style w:type="paragraph" w:styleId="13">
    <w:name w:val="Body Text"/>
    <w:basedOn w:val="1"/>
    <w:next w:val="14"/>
    <w:qFormat/>
    <w:uiPriority w:val="0"/>
    <w:pPr>
      <w:jc w:val="left"/>
    </w:pPr>
    <w:rPr>
      <w:szCs w:val="21"/>
    </w:rPr>
  </w:style>
  <w:style w:type="paragraph" w:styleId="14">
    <w:name w:val="List Bullet 5"/>
    <w:basedOn w:val="1"/>
    <w:qFormat/>
    <w:uiPriority w:val="0"/>
    <w:pPr>
      <w:numPr>
        <w:ilvl w:val="0"/>
        <w:numId w:val="2"/>
      </w:numPr>
    </w:pPr>
  </w:style>
  <w:style w:type="paragraph" w:styleId="15">
    <w:name w:val="Body Text Indent"/>
    <w:basedOn w:val="1"/>
    <w:next w:val="16"/>
    <w:qFormat/>
    <w:uiPriority w:val="0"/>
    <w:pPr>
      <w:spacing w:line="440" w:lineRule="exact"/>
      <w:ind w:firstLine="560"/>
    </w:pPr>
    <w:rPr>
      <w:rFonts w:eastAsia="仿宋_GB2312"/>
      <w:sz w:val="28"/>
    </w:rPr>
  </w:style>
  <w:style w:type="paragraph" w:styleId="16">
    <w:name w:val="Body Text First Indent 2"/>
    <w:basedOn w:val="15"/>
    <w:next w:val="1"/>
    <w:qFormat/>
    <w:uiPriority w:val="0"/>
    <w:pPr>
      <w:spacing w:after="120" w:line="240" w:lineRule="auto"/>
      <w:ind w:left="420" w:leftChars="200" w:firstLine="420" w:firstLineChars="200"/>
    </w:pPr>
    <w:rPr>
      <w:sz w:val="21"/>
    </w:rPr>
  </w:style>
  <w:style w:type="paragraph" w:styleId="17">
    <w:name w:val="Plain Text"/>
    <w:basedOn w:val="1"/>
    <w:qFormat/>
    <w:uiPriority w:val="0"/>
    <w:pPr>
      <w:spacing w:line="240" w:lineRule="atLeast"/>
    </w:pPr>
    <w:rPr>
      <w:rFonts w:ascii="宋体" w:hAnsi="Courier New"/>
      <w:sz w:val="28"/>
      <w:szCs w:val="21"/>
    </w:rPr>
  </w:style>
  <w:style w:type="paragraph" w:styleId="18">
    <w:name w:val="Date"/>
    <w:basedOn w:val="1"/>
    <w:next w:val="1"/>
    <w:qFormat/>
    <w:uiPriority w:val="0"/>
    <w:rPr>
      <w:sz w:val="28"/>
      <w:szCs w:val="20"/>
    </w:rPr>
  </w:style>
  <w:style w:type="paragraph" w:styleId="19">
    <w:name w:val="Body Text Indent 2"/>
    <w:basedOn w:val="1"/>
    <w:next w:val="1"/>
    <w:qFormat/>
    <w:uiPriority w:val="0"/>
    <w:pPr>
      <w:tabs>
        <w:tab w:val="left" w:pos="0"/>
      </w:tabs>
      <w:ind w:firstLine="480"/>
    </w:pPr>
    <w:rPr>
      <w:sz w:val="24"/>
      <w:szCs w:val="20"/>
    </w:rPr>
  </w:style>
  <w:style w:type="paragraph" w:styleId="20">
    <w:name w:val="Balloon Text"/>
    <w:basedOn w:val="1"/>
    <w:link w:val="97"/>
    <w:qFormat/>
    <w:uiPriority w:val="0"/>
    <w:rPr>
      <w:sz w:val="18"/>
      <w:szCs w:val="18"/>
    </w:rPr>
  </w:style>
  <w:style w:type="paragraph" w:styleId="21">
    <w:name w:val="footer"/>
    <w:basedOn w:val="1"/>
    <w:qFormat/>
    <w:uiPriority w:val="99"/>
    <w:pPr>
      <w:tabs>
        <w:tab w:val="center" w:pos="4153"/>
        <w:tab w:val="right" w:pos="8306"/>
      </w:tabs>
      <w:snapToGrid w:val="0"/>
      <w:jc w:val="left"/>
    </w:pPr>
    <w:rPr>
      <w:kern w:val="0"/>
      <w:sz w:val="18"/>
      <w:szCs w:val="20"/>
    </w:rPr>
  </w:style>
  <w:style w:type="paragraph" w:styleId="2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toc 1"/>
    <w:basedOn w:val="1"/>
    <w:next w:val="1"/>
    <w:unhideWhenUsed/>
    <w:qFormat/>
    <w:uiPriority w:val="39"/>
  </w:style>
  <w:style w:type="paragraph" w:styleId="24">
    <w:name w:val="index heading"/>
    <w:basedOn w:val="1"/>
    <w:next w:val="25"/>
    <w:qFormat/>
    <w:uiPriority w:val="0"/>
    <w:rPr>
      <w:rFonts w:hint="eastAsia" w:ascii="Cambria" w:hAnsi="Cambria"/>
      <w:b/>
    </w:rPr>
  </w:style>
  <w:style w:type="paragraph" w:styleId="25">
    <w:name w:val="index 1"/>
    <w:basedOn w:val="1"/>
    <w:next w:val="1"/>
    <w:qFormat/>
    <w:uiPriority w:val="0"/>
    <w:pPr>
      <w:ind w:firstLine="0"/>
    </w:pPr>
  </w:style>
  <w:style w:type="paragraph" w:styleId="26">
    <w:name w:val="List Number 5"/>
    <w:basedOn w:val="1"/>
    <w:qFormat/>
    <w:uiPriority w:val="0"/>
    <w:pPr>
      <w:numPr>
        <w:ilvl w:val="0"/>
        <w:numId w:val="3"/>
      </w:numPr>
    </w:pPr>
  </w:style>
  <w:style w:type="paragraph" w:styleId="27">
    <w:name w:val="List"/>
    <w:basedOn w:val="1"/>
    <w:next w:val="1"/>
    <w:qFormat/>
    <w:uiPriority w:val="0"/>
    <w:pPr>
      <w:ind w:left="200" w:hanging="200" w:hangingChars="200"/>
    </w:pPr>
  </w:style>
  <w:style w:type="paragraph" w:styleId="28">
    <w:name w:val="Body Text Indent 3"/>
    <w:basedOn w:val="1"/>
    <w:qFormat/>
    <w:uiPriority w:val="0"/>
    <w:pPr>
      <w:spacing w:line="500" w:lineRule="atLeast"/>
      <w:ind w:left="-105" w:firstLine="585"/>
    </w:pPr>
    <w:rPr>
      <w:rFonts w:ascii="宋体"/>
      <w:sz w:val="24"/>
      <w:szCs w:val="20"/>
    </w:rPr>
  </w:style>
  <w:style w:type="paragraph" w:styleId="29">
    <w:name w:val="table of figures"/>
    <w:basedOn w:val="1"/>
    <w:next w:val="1"/>
    <w:unhideWhenUsed/>
    <w:qFormat/>
    <w:uiPriority w:val="99"/>
    <w:pPr>
      <w:jc w:val="center"/>
    </w:pPr>
    <w:rPr>
      <w:sz w:val="24"/>
    </w:rPr>
  </w:style>
  <w:style w:type="paragraph" w:styleId="30">
    <w:name w:val="Body Text 2"/>
    <w:basedOn w:val="1"/>
    <w:next w:val="1"/>
    <w:qFormat/>
    <w:uiPriority w:val="0"/>
    <w:pPr>
      <w:spacing w:line="500" w:lineRule="atLeast"/>
      <w:jc w:val="center"/>
    </w:pPr>
    <w:rPr>
      <w:sz w:val="30"/>
      <w:szCs w:val="20"/>
    </w:rPr>
  </w:style>
  <w:style w:type="paragraph" w:styleId="3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2">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33">
    <w:name w:val="annotation subject"/>
    <w:basedOn w:val="12"/>
    <w:next w:val="12"/>
    <w:link w:val="96"/>
    <w:qFormat/>
    <w:uiPriority w:val="0"/>
    <w:rPr>
      <w:b/>
      <w:bCs/>
    </w:rPr>
  </w:style>
  <w:style w:type="paragraph" w:styleId="34">
    <w:name w:val="Body Text First Indent"/>
    <w:basedOn w:val="13"/>
    <w:qFormat/>
    <w:uiPriority w:val="0"/>
    <w:pPr>
      <w:ind w:firstLine="420" w:firstLineChars="100"/>
    </w:pPr>
  </w:style>
  <w:style w:type="table" w:styleId="36">
    <w:name w:val="Table Grid"/>
    <w:basedOn w:val="3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basedOn w:val="37"/>
    <w:qFormat/>
    <w:uiPriority w:val="0"/>
    <w:rPr>
      <w:b/>
    </w:rPr>
  </w:style>
  <w:style w:type="character" w:styleId="39">
    <w:name w:val="page number"/>
    <w:basedOn w:val="37"/>
    <w:qFormat/>
    <w:uiPriority w:val="0"/>
  </w:style>
  <w:style w:type="character" w:styleId="40">
    <w:name w:val="Emphasis"/>
    <w:qFormat/>
    <w:uiPriority w:val="20"/>
    <w:rPr>
      <w:i/>
      <w:iCs/>
    </w:rPr>
  </w:style>
  <w:style w:type="character" w:styleId="41">
    <w:name w:val="Hyperlink"/>
    <w:qFormat/>
    <w:uiPriority w:val="0"/>
    <w:rPr>
      <w:color w:val="0000FF"/>
      <w:u w:val="single"/>
    </w:rPr>
  </w:style>
  <w:style w:type="character" w:styleId="42">
    <w:name w:val="annotation reference"/>
    <w:basedOn w:val="37"/>
    <w:qFormat/>
    <w:uiPriority w:val="0"/>
    <w:rPr>
      <w:sz w:val="21"/>
      <w:szCs w:val="21"/>
    </w:rPr>
  </w:style>
  <w:style w:type="paragraph" w:customStyle="1" w:styleId="43">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44">
    <w:name w:val="Char Char Char Char Char Char Char Char Char1 Char"/>
    <w:basedOn w:val="1"/>
    <w:qFormat/>
    <w:uiPriority w:val="0"/>
    <w:pPr>
      <w:spacing w:line="360" w:lineRule="auto"/>
      <w:ind w:firstLine="200" w:firstLineChars="200"/>
    </w:pPr>
    <w:rPr>
      <w:rFonts w:hAnsi="宋体" w:cs="宋体"/>
      <w:spacing w:val="0"/>
      <w:sz w:val="24"/>
      <w:szCs w:val="24"/>
    </w:rPr>
  </w:style>
  <w:style w:type="paragraph" w:customStyle="1" w:styleId="45">
    <w:name w:val="表头"/>
    <w:basedOn w:val="46"/>
    <w:next w:val="1"/>
    <w:qFormat/>
    <w:uiPriority w:val="0"/>
    <w:pPr>
      <w:adjustRightInd w:val="0"/>
      <w:snapToGrid w:val="0"/>
      <w:spacing w:before="120" w:line="520" w:lineRule="atLeast"/>
      <w:jc w:val="center"/>
    </w:pPr>
  </w:style>
  <w:style w:type="paragraph" w:customStyle="1" w:styleId="46">
    <w:name w:val="表标题"/>
    <w:basedOn w:val="13"/>
    <w:next w:val="13"/>
    <w:qFormat/>
    <w:uiPriority w:val="0"/>
    <w:pPr>
      <w:spacing w:line="500" w:lineRule="exact"/>
      <w:ind w:firstLine="482" w:firstLineChars="200"/>
      <w:jc w:val="center"/>
    </w:pPr>
    <w:rPr>
      <w:rFonts w:ascii="仿宋_GB2312" w:eastAsia="仿宋_GB2312"/>
      <w:b/>
      <w:sz w:val="24"/>
      <w:szCs w:val="20"/>
    </w:rPr>
  </w:style>
  <w:style w:type="paragraph" w:customStyle="1" w:styleId="47">
    <w:name w:val="表格内"/>
    <w:basedOn w:val="1"/>
    <w:qFormat/>
    <w:uiPriority w:val="0"/>
    <w:pPr>
      <w:spacing w:line="360" w:lineRule="exact"/>
      <w:jc w:val="center"/>
    </w:pPr>
    <w:rPr>
      <w:snapToGrid w:val="0"/>
      <w:szCs w:val="21"/>
    </w:rPr>
  </w:style>
  <w:style w:type="paragraph" w:customStyle="1" w:styleId="48">
    <w:name w:val="Date1"/>
    <w:basedOn w:val="1"/>
    <w:next w:val="1"/>
    <w:qFormat/>
    <w:uiPriority w:val="0"/>
    <w:pPr>
      <w:adjustRightInd w:val="0"/>
      <w:jc w:val="left"/>
      <w:textAlignment w:val="baseline"/>
    </w:pPr>
    <w:rPr>
      <w:rFonts w:ascii="宋体" w:hAnsi="宋体"/>
      <w:sz w:val="28"/>
      <w:szCs w:val="20"/>
    </w:rPr>
  </w:style>
  <w:style w:type="paragraph" w:customStyle="1" w:styleId="49">
    <w:name w:val="Default"/>
    <w:basedOn w:val="50"/>
    <w:next w:val="1"/>
    <w:qFormat/>
    <w:uiPriority w:val="0"/>
    <w:pPr>
      <w:tabs>
        <w:tab w:val="left" w:pos="2760"/>
      </w:tabs>
      <w:autoSpaceDE w:val="0"/>
      <w:autoSpaceDN w:val="0"/>
    </w:pPr>
    <w:rPr>
      <w:rFonts w:ascii="仿宋" w:eastAsia="仿宋" w:cs="仿宋"/>
      <w:color w:val="000000"/>
      <w:sz w:val="24"/>
      <w:szCs w:val="24"/>
    </w:rPr>
  </w:style>
  <w:style w:type="paragraph" w:customStyle="1" w:styleId="50">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51">
    <w:name w:val="纯文本1"/>
    <w:basedOn w:val="1"/>
    <w:qFormat/>
    <w:uiPriority w:val="0"/>
    <w:pPr>
      <w:tabs>
        <w:tab w:val="left" w:pos="2760"/>
      </w:tabs>
      <w:adjustRightInd w:val="0"/>
    </w:pPr>
    <w:rPr>
      <w:rFonts w:ascii="宋体" w:hAnsi="Courier New"/>
      <w:szCs w:val="20"/>
    </w:rPr>
  </w:style>
  <w:style w:type="paragraph" w:customStyle="1" w:styleId="52">
    <w:name w:val="xl27"/>
    <w:basedOn w:val="1"/>
    <w:unhideWhenUsed/>
    <w:qFormat/>
    <w:uiPriority w:val="0"/>
    <w:pPr>
      <w:widowControl/>
      <w:pBdr>
        <w:bottom w:val="single" w:color="auto" w:sz="4" w:space="0"/>
        <w:right w:val="single" w:color="auto" w:sz="4" w:space="0"/>
      </w:pBdr>
      <w:spacing w:beforeAutospacing="1" w:afterAutospacing="1"/>
      <w:jc w:val="center"/>
    </w:pPr>
    <w:rPr>
      <w:rFonts w:hint="eastAsia"/>
      <w:kern w:val="0"/>
      <w:sz w:val="24"/>
    </w:rPr>
  </w:style>
  <w:style w:type="paragraph" w:customStyle="1" w:styleId="53">
    <w:name w:val="样式 正文文本缩进 + 行距: 1.5 倍行距"/>
    <w:basedOn w:val="15"/>
    <w:qFormat/>
    <w:uiPriority w:val="0"/>
    <w:pPr>
      <w:spacing w:line="360" w:lineRule="auto"/>
      <w:ind w:left="90" w:leftChars="32"/>
    </w:pPr>
  </w:style>
  <w:style w:type="paragraph" w:customStyle="1" w:styleId="54">
    <w:name w:val="样式 宋体 小四 行距: 1.5 倍行距"/>
    <w:basedOn w:val="1"/>
    <w:next w:val="8"/>
    <w:qFormat/>
    <w:uiPriority w:val="0"/>
    <w:pPr>
      <w:widowControl/>
      <w:spacing w:after="120" w:line="360" w:lineRule="auto"/>
      <w:ind w:firstLine="480" w:firstLineChars="200"/>
      <w:textAlignment w:val="baseline"/>
    </w:pPr>
    <w:rPr>
      <w:rFonts w:ascii="宋体" w:hAnsi="宋体" w:cs="宋体"/>
      <w:kern w:val="0"/>
      <w:sz w:val="24"/>
      <w:szCs w:val="20"/>
    </w:rPr>
  </w:style>
  <w:style w:type="paragraph" w:customStyle="1" w:styleId="55">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Char"/>
    <w:qFormat/>
    <w:uiPriority w:val="0"/>
    <w:pPr>
      <w:widowControl w:val="0"/>
      <w:overflowPunct w:val="0"/>
      <w:snapToGrid w:val="0"/>
      <w:spacing w:line="360" w:lineRule="auto"/>
      <w:ind w:firstLine="480" w:firstLineChars="200"/>
    </w:pPr>
    <w:rPr>
      <w:rFonts w:ascii="仿宋_GB2312" w:hAnsi="宋体" w:eastAsia="仿宋_GB2312" w:cs="Times New Roman"/>
      <w:snapToGrid w:val="0"/>
      <w:sz w:val="24"/>
      <w:szCs w:val="24"/>
      <w:lang w:val="en-US" w:eastAsia="zh-CN" w:bidi="ar-SA"/>
    </w:rPr>
  </w:style>
  <w:style w:type="paragraph" w:customStyle="1" w:styleId="57">
    <w:name w:val="样式 正文缩进正文缩进2正文缩进 Char Char正文缩进 Char Char Char Char正文缩进 Char ..."/>
    <w:basedOn w:val="2"/>
    <w:qFormat/>
    <w:uiPriority w:val="0"/>
    <w:pPr>
      <w:ind w:firstLine="200"/>
    </w:pPr>
    <w:rPr>
      <w:rFonts w:cs="宋体"/>
    </w:rPr>
  </w:style>
  <w:style w:type="paragraph" w:customStyle="1" w:styleId="58">
    <w:name w:val="表格"/>
    <w:basedOn w:val="27"/>
    <w:next w:val="1"/>
    <w:qFormat/>
    <w:uiPriority w:val="0"/>
    <w:pPr>
      <w:adjustRightInd w:val="0"/>
      <w:snapToGrid w:val="0"/>
      <w:spacing w:beforeLines="10" w:afterLines="10" w:line="259" w:lineRule="auto"/>
      <w:jc w:val="center"/>
    </w:pPr>
    <w:rPr>
      <w:rFonts w:ascii="宋体"/>
      <w:kern w:val="0"/>
      <w:szCs w:val="20"/>
    </w:rPr>
  </w:style>
  <w:style w:type="paragraph" w:customStyle="1" w:styleId="59">
    <w:name w:val="Table Paragraph"/>
    <w:basedOn w:val="1"/>
    <w:qFormat/>
    <w:uiPriority w:val="1"/>
    <w:pPr>
      <w:jc w:val="center"/>
    </w:pPr>
    <w:rPr>
      <w:rFonts w:ascii="宋体" w:hAnsi="宋体" w:cs="宋体"/>
      <w:lang w:val="zh-CN" w:bidi="zh-CN"/>
    </w:rPr>
  </w:style>
  <w:style w:type="paragraph" w:customStyle="1" w:styleId="60">
    <w:name w:val="样式1"/>
    <w:basedOn w:val="24"/>
    <w:next w:val="1"/>
    <w:qFormat/>
    <w:uiPriority w:val="0"/>
    <w:pPr>
      <w:spacing w:line="360" w:lineRule="auto"/>
      <w:ind w:firstLine="510"/>
    </w:pPr>
    <w:rPr>
      <w:sz w:val="24"/>
      <w:szCs w:val="20"/>
    </w:rPr>
  </w:style>
  <w:style w:type="paragraph" w:customStyle="1" w:styleId="61">
    <w:name w:val="正文 03"/>
    <w:basedOn w:val="1"/>
    <w:qFormat/>
    <w:uiPriority w:val="0"/>
    <w:pPr>
      <w:autoSpaceDE w:val="0"/>
      <w:autoSpaceDN w:val="0"/>
      <w:adjustRightInd w:val="0"/>
      <w:textAlignment w:val="baseline"/>
    </w:pPr>
    <w:rPr>
      <w:rFonts w:eastAsia="楷体_GB2312"/>
      <w:kern w:val="0"/>
      <w:sz w:val="24"/>
      <w:szCs w:val="20"/>
    </w:rPr>
  </w:style>
  <w:style w:type="paragraph" w:customStyle="1" w:styleId="62">
    <w:name w:val="样式 首行缩进:  2 字符1"/>
    <w:basedOn w:val="1"/>
    <w:qFormat/>
    <w:uiPriority w:val="0"/>
    <w:pPr>
      <w:spacing w:line="400" w:lineRule="exact"/>
    </w:pPr>
    <w:rPr>
      <w:rFonts w:ascii="宋体"/>
      <w:szCs w:val="20"/>
    </w:rPr>
  </w:style>
  <w:style w:type="paragraph" w:customStyle="1" w:styleId="63">
    <w:name w:val="表格内容"/>
    <w:basedOn w:val="2"/>
    <w:next w:val="64"/>
    <w:qFormat/>
    <w:uiPriority w:val="0"/>
    <w:pPr>
      <w:ind w:left="-9" w:leftChars="-9" w:firstLine="0"/>
      <w:jc w:val="center"/>
    </w:pPr>
    <w:rPr>
      <w:sz w:val="21"/>
    </w:rPr>
  </w:style>
  <w:style w:type="paragraph" w:customStyle="1" w:styleId="64">
    <w:name w:val="文本正文"/>
    <w:basedOn w:val="1"/>
    <w:qFormat/>
    <w:uiPriority w:val="0"/>
    <w:pPr>
      <w:spacing w:line="360" w:lineRule="auto"/>
      <w:ind w:firstLine="480" w:firstLineChars="200"/>
    </w:pPr>
    <w:rPr>
      <w:sz w:val="24"/>
    </w:rPr>
  </w:style>
  <w:style w:type="paragraph" w:customStyle="1" w:styleId="65">
    <w:name w:val="报告表正文"/>
    <w:basedOn w:val="1"/>
    <w:qFormat/>
    <w:uiPriority w:val="0"/>
    <w:pPr>
      <w:adjustRightInd w:val="0"/>
      <w:spacing w:line="360" w:lineRule="auto"/>
      <w:ind w:firstLine="640" w:firstLineChars="200"/>
      <w:textAlignment w:val="baseline"/>
    </w:pPr>
    <w:rPr>
      <w:color w:val="000000"/>
      <w:kern w:val="0"/>
      <w:sz w:val="24"/>
    </w:rPr>
  </w:style>
  <w:style w:type="paragraph" w:customStyle="1" w:styleId="66">
    <w:name w:val="正文11111111"/>
    <w:basedOn w:val="1"/>
    <w:qFormat/>
    <w:uiPriority w:val="0"/>
    <w:pPr>
      <w:spacing w:line="360" w:lineRule="auto"/>
      <w:ind w:firstLine="200" w:firstLineChars="200"/>
    </w:pPr>
    <w:rPr>
      <w:rFonts w:cs="宋体"/>
      <w:sz w:val="24"/>
      <w:szCs w:val="20"/>
    </w:rPr>
  </w:style>
  <w:style w:type="paragraph" w:customStyle="1" w:styleId="67">
    <w:name w:val="标题123456"/>
    <w:basedOn w:val="1"/>
    <w:qFormat/>
    <w:uiPriority w:val="0"/>
    <w:pPr>
      <w:overflowPunct w:val="0"/>
      <w:autoSpaceDE w:val="0"/>
      <w:autoSpaceDN w:val="0"/>
      <w:adjustRightInd w:val="0"/>
      <w:spacing w:before="93" w:after="93" w:line="360" w:lineRule="auto"/>
      <w:jc w:val="center"/>
      <w:textAlignment w:val="baseline"/>
    </w:pPr>
    <w:rPr>
      <w:rFonts w:ascii="宋体" w:hAnsi="宋体"/>
      <w:b/>
      <w:kern w:val="0"/>
      <w:szCs w:val="21"/>
    </w:rPr>
  </w:style>
  <w:style w:type="paragraph" w:customStyle="1" w:styleId="68">
    <w:name w:val="样式 小四 行距: 1.5 倍行距"/>
    <w:basedOn w:val="1"/>
    <w:qFormat/>
    <w:uiPriority w:val="0"/>
    <w:pPr>
      <w:ind w:firstLine="480" w:firstLineChars="200"/>
    </w:pPr>
    <w:rPr>
      <w:rFonts w:cs="宋体"/>
    </w:rPr>
  </w:style>
  <w:style w:type="paragraph" w:customStyle="1" w:styleId="69">
    <w:name w:val="XZW"/>
    <w:basedOn w:val="70"/>
    <w:qFormat/>
    <w:uiPriority w:val="0"/>
    <w:rPr>
      <w:rFonts w:eastAsia="仿宋_GB2312"/>
      <w:sz w:val="28"/>
    </w:rPr>
  </w:style>
  <w:style w:type="paragraph" w:customStyle="1" w:styleId="70">
    <w:name w:val="ZW"/>
    <w:basedOn w:val="1"/>
    <w:qFormat/>
    <w:uiPriority w:val="0"/>
    <w:pPr>
      <w:adjustRightInd w:val="0"/>
      <w:snapToGrid w:val="0"/>
      <w:ind w:firstLine="200"/>
    </w:pPr>
    <w:rPr>
      <w:kern w:val="0"/>
    </w:rPr>
  </w:style>
  <w:style w:type="paragraph" w:customStyle="1" w:styleId="71">
    <w:name w:val="环评 正文"/>
    <w:basedOn w:val="30"/>
    <w:qFormat/>
    <w:uiPriority w:val="0"/>
    <w:pPr>
      <w:spacing w:beforeLines="25" w:afterLines="25" w:line="360" w:lineRule="auto"/>
    </w:pPr>
    <w:rPr>
      <w:bCs/>
      <w:kern w:val="0"/>
      <w:lang w:val="zh-CN"/>
    </w:rPr>
  </w:style>
  <w:style w:type="paragraph" w:customStyle="1" w:styleId="72">
    <w:name w:val="表格标题"/>
    <w:basedOn w:val="45"/>
    <w:qFormat/>
    <w:uiPriority w:val="99"/>
    <w:pPr>
      <w:spacing w:line="240" w:lineRule="atLeast"/>
      <w:ind w:firstLine="515" w:firstLineChars="245"/>
    </w:pPr>
    <w:rPr>
      <w:rFonts w:ascii="宋体"/>
      <w:szCs w:val="20"/>
    </w:rPr>
  </w:style>
  <w:style w:type="paragraph" w:customStyle="1" w:styleId="73">
    <w:name w:val="@正文缩进"/>
    <w:basedOn w:val="1"/>
    <w:qFormat/>
    <w:uiPriority w:val="0"/>
    <w:pPr>
      <w:ind w:firstLine="200" w:firstLineChars="200"/>
      <w:jc w:val="left"/>
    </w:pPr>
    <w:rPr>
      <w:kern w:val="0"/>
    </w:rPr>
  </w:style>
  <w:style w:type="paragraph" w:customStyle="1" w:styleId="74">
    <w:name w:val="表格内文字"/>
    <w:qFormat/>
    <w:uiPriority w:val="0"/>
    <w:pPr>
      <w:spacing w:line="320" w:lineRule="exact"/>
      <w:ind w:left="51" w:right="51"/>
      <w:jc w:val="center"/>
    </w:pPr>
    <w:rPr>
      <w:rFonts w:ascii="方正宋三简体" w:hAnsi="方正宋三简体" w:eastAsia="宋体" w:cs="Times New Roman"/>
      <w:sz w:val="21"/>
      <w:szCs w:val="24"/>
      <w:lang w:val="en-US" w:eastAsia="zh-CN" w:bidi="ar-SA"/>
    </w:rPr>
  </w:style>
  <w:style w:type="paragraph" w:customStyle="1" w:styleId="75">
    <w:name w:val="表格文字2"/>
    <w:basedOn w:val="1"/>
    <w:qFormat/>
    <w:uiPriority w:val="0"/>
    <w:pPr>
      <w:adjustRightInd w:val="0"/>
      <w:spacing w:before="60"/>
      <w:jc w:val="center"/>
      <w:textAlignment w:val="baseline"/>
    </w:pPr>
    <w:rPr>
      <w:rFonts w:ascii="宋体"/>
      <w:kern w:val="0"/>
      <w:sz w:val="24"/>
      <w:szCs w:val="20"/>
    </w:rPr>
  </w:style>
  <w:style w:type="paragraph" w:styleId="76">
    <w:name w:val="List Paragraph"/>
    <w:basedOn w:val="1"/>
    <w:qFormat/>
    <w:uiPriority w:val="0"/>
    <w:pPr>
      <w:spacing w:line="360" w:lineRule="auto"/>
      <w:ind w:firstLine="420" w:firstLineChars="200"/>
    </w:pPr>
  </w:style>
  <w:style w:type="paragraph" w:customStyle="1" w:styleId="77">
    <w:name w:val="表内内容"/>
    <w:basedOn w:val="1"/>
    <w:qFormat/>
    <w:uiPriority w:val="0"/>
    <w:pPr>
      <w:jc w:val="center"/>
    </w:pPr>
  </w:style>
  <w:style w:type="paragraph" w:customStyle="1" w:styleId="78">
    <w:name w:val="表格2"/>
    <w:basedOn w:val="1"/>
    <w:next w:val="1"/>
    <w:qFormat/>
    <w:uiPriority w:val="0"/>
    <w:pPr>
      <w:spacing w:line="360" w:lineRule="atLeast"/>
      <w:jc w:val="center"/>
    </w:pPr>
    <w:rPr>
      <w:szCs w:val="21"/>
    </w:rPr>
  </w:style>
  <w:style w:type="paragraph" w:customStyle="1" w:styleId="79">
    <w:name w:val="文本"/>
    <w:basedOn w:val="1"/>
    <w:qFormat/>
    <w:uiPriority w:val="0"/>
    <w:pPr>
      <w:adjustRightInd w:val="0"/>
      <w:snapToGrid w:val="0"/>
      <w:spacing w:line="360" w:lineRule="auto"/>
      <w:ind w:firstLine="480" w:firstLineChars="200"/>
      <w:jc w:val="left"/>
    </w:pPr>
    <w:rPr>
      <w:sz w:val="24"/>
    </w:rPr>
  </w:style>
  <w:style w:type="paragraph" w:customStyle="1" w:styleId="80">
    <w:name w:val="表格文字"/>
    <w:basedOn w:val="1"/>
    <w:next w:val="1"/>
    <w:qFormat/>
    <w:uiPriority w:val="0"/>
    <w:pPr>
      <w:adjustRightInd w:val="0"/>
      <w:snapToGrid w:val="0"/>
      <w:spacing w:line="360" w:lineRule="exact"/>
      <w:jc w:val="center"/>
    </w:pPr>
    <w:rPr>
      <w:rFonts w:hAnsi="宋体" w:cs="宋体"/>
      <w:bCs/>
      <w:spacing w:val="4"/>
      <w:kern w:val="0"/>
      <w:szCs w:val="21"/>
    </w:rPr>
  </w:style>
  <w:style w:type="paragraph" w:customStyle="1" w:styleId="81">
    <w:name w:val="Body text|1"/>
    <w:basedOn w:val="1"/>
    <w:qFormat/>
    <w:uiPriority w:val="0"/>
    <w:pPr>
      <w:spacing w:line="413" w:lineRule="auto"/>
      <w:ind w:firstLine="100"/>
    </w:pPr>
    <w:rPr>
      <w:rFonts w:ascii="宋体" w:hAnsi="宋体" w:cs="宋体"/>
      <w:sz w:val="56"/>
      <w:szCs w:val="56"/>
      <w:lang w:val="zh-TW" w:eastAsia="zh-TW" w:bidi="zh-TW"/>
    </w:rPr>
  </w:style>
  <w:style w:type="paragraph" w:customStyle="1" w:styleId="82">
    <w:name w:val="Picture caption|1"/>
    <w:basedOn w:val="1"/>
    <w:qFormat/>
    <w:uiPriority w:val="0"/>
    <w:pPr>
      <w:spacing w:after="40"/>
      <w:ind w:left="3210"/>
    </w:pPr>
    <w:rPr>
      <w:rFonts w:ascii="宋体" w:hAnsi="宋体" w:cs="宋体"/>
      <w:sz w:val="56"/>
      <w:szCs w:val="56"/>
      <w:lang w:val="zh-TW" w:eastAsia="zh-TW" w:bidi="zh-TW"/>
    </w:rPr>
  </w:style>
  <w:style w:type="character" w:customStyle="1" w:styleId="83">
    <w:name w:val="font41"/>
    <w:basedOn w:val="37"/>
    <w:qFormat/>
    <w:uiPriority w:val="0"/>
    <w:rPr>
      <w:rFonts w:hint="default" w:ascii="Times New Roman" w:hAnsi="Times New Roman" w:cs="Times New Roman"/>
      <w:color w:val="000000"/>
      <w:sz w:val="21"/>
      <w:szCs w:val="21"/>
      <w:u w:val="none"/>
      <w:vertAlign w:val="subscript"/>
    </w:rPr>
  </w:style>
  <w:style w:type="character" w:customStyle="1" w:styleId="84">
    <w:name w:val="font21"/>
    <w:basedOn w:val="37"/>
    <w:qFormat/>
    <w:uiPriority w:val="0"/>
    <w:rPr>
      <w:rFonts w:hint="default" w:ascii="Times New Roman" w:hAnsi="Times New Roman" w:cs="Times New Roman"/>
      <w:color w:val="000000"/>
      <w:sz w:val="21"/>
      <w:szCs w:val="21"/>
      <w:u w:val="none"/>
    </w:rPr>
  </w:style>
  <w:style w:type="character" w:customStyle="1" w:styleId="85">
    <w:name w:val="font31"/>
    <w:basedOn w:val="37"/>
    <w:qFormat/>
    <w:uiPriority w:val="0"/>
    <w:rPr>
      <w:rFonts w:hint="eastAsia" w:ascii="宋体" w:hAnsi="宋体" w:eastAsia="宋体" w:cs="宋体"/>
      <w:color w:val="000000"/>
      <w:sz w:val="21"/>
      <w:szCs w:val="21"/>
      <w:u w:val="none"/>
    </w:rPr>
  </w:style>
  <w:style w:type="character" w:customStyle="1" w:styleId="86">
    <w:name w:val="font61"/>
    <w:basedOn w:val="37"/>
    <w:qFormat/>
    <w:uiPriority w:val="0"/>
    <w:rPr>
      <w:rFonts w:hint="eastAsia" w:ascii="宋体" w:hAnsi="宋体" w:eastAsia="宋体" w:cs="宋体"/>
      <w:color w:val="0000FF"/>
      <w:sz w:val="21"/>
      <w:szCs w:val="21"/>
      <w:u w:val="none"/>
    </w:rPr>
  </w:style>
  <w:style w:type="character" w:customStyle="1" w:styleId="87">
    <w:name w:val="font11"/>
    <w:basedOn w:val="37"/>
    <w:qFormat/>
    <w:uiPriority w:val="0"/>
    <w:rPr>
      <w:rFonts w:hint="default" w:ascii="Times New Roman" w:hAnsi="Times New Roman" w:cs="Times New Roman"/>
      <w:color w:val="0000FF"/>
      <w:sz w:val="21"/>
      <w:szCs w:val="21"/>
      <w:u w:val="none"/>
    </w:rPr>
  </w:style>
  <w:style w:type="character" w:customStyle="1" w:styleId="88">
    <w:name w:val="font51"/>
    <w:basedOn w:val="37"/>
    <w:qFormat/>
    <w:uiPriority w:val="0"/>
    <w:rPr>
      <w:rFonts w:hint="default" w:ascii="Times New Roman" w:hAnsi="Times New Roman" w:cs="Times New Roman"/>
      <w:color w:val="0000FF"/>
      <w:sz w:val="21"/>
      <w:szCs w:val="21"/>
      <w:u w:val="none"/>
      <w:vertAlign w:val="superscript"/>
    </w:rPr>
  </w:style>
  <w:style w:type="paragraph" w:customStyle="1" w:styleId="89">
    <w:name w:val="表头、图号"/>
    <w:basedOn w:val="1"/>
    <w:qFormat/>
    <w:uiPriority w:val="0"/>
    <w:pPr>
      <w:spacing w:beforeLines="10" w:afterLines="10" w:line="360" w:lineRule="auto"/>
      <w:jc w:val="center"/>
    </w:pPr>
    <w:rPr>
      <w:rFonts w:eastAsia="黑体"/>
      <w:sz w:val="24"/>
    </w:rPr>
  </w:style>
  <w:style w:type="paragraph" w:customStyle="1" w:styleId="90">
    <w:name w:val="君邦正文"/>
    <w:basedOn w:val="1"/>
    <w:qFormat/>
    <w:uiPriority w:val="0"/>
    <w:pPr>
      <w:spacing w:line="360" w:lineRule="auto"/>
      <w:ind w:firstLine="200" w:firstLineChars="200"/>
    </w:pPr>
    <w:rPr>
      <w:sz w:val="24"/>
      <w:szCs w:val="20"/>
    </w:rPr>
  </w:style>
  <w:style w:type="paragraph" w:customStyle="1" w:styleId="91">
    <w:name w:val="正文JJ"/>
    <w:basedOn w:val="1"/>
    <w:qFormat/>
    <w:uiPriority w:val="99"/>
    <w:pPr>
      <w:spacing w:line="360" w:lineRule="auto"/>
      <w:ind w:firstLine="200" w:firstLineChars="200"/>
    </w:pPr>
    <w:rPr>
      <w:rFonts w:asciiTheme="minorHAnsi" w:hAnsiTheme="minorHAnsi" w:eastAsiaTheme="minorEastAsia"/>
      <w:sz w:val="24"/>
    </w:rPr>
  </w:style>
  <w:style w:type="paragraph" w:customStyle="1" w:styleId="92">
    <w:name w:val="文本-正文"/>
    <w:basedOn w:val="1"/>
    <w:qFormat/>
    <w:uiPriority w:val="0"/>
    <w:pPr>
      <w:spacing w:line="360" w:lineRule="auto"/>
      <w:ind w:firstLine="200" w:firstLineChars="200"/>
    </w:pPr>
    <w:rPr>
      <w:sz w:val="24"/>
    </w:rPr>
  </w:style>
  <w:style w:type="character" w:customStyle="1" w:styleId="93">
    <w:name w:val="题注 Char"/>
    <w:link w:val="10"/>
    <w:qFormat/>
    <w:uiPriority w:val="0"/>
    <w:rPr>
      <w:b/>
      <w:color w:val="000000"/>
      <w:sz w:val="21"/>
      <w:szCs w:val="21"/>
    </w:rPr>
  </w:style>
  <w:style w:type="paragraph" w:styleId="94">
    <w:name w:val="No Spacing"/>
    <w:basedOn w:val="1"/>
    <w:qFormat/>
    <w:uiPriority w:val="1"/>
    <w:pPr>
      <w:spacing w:line="360" w:lineRule="exact"/>
      <w:jc w:val="center"/>
    </w:pPr>
  </w:style>
  <w:style w:type="character" w:customStyle="1" w:styleId="95">
    <w:name w:val="批注文字 Char"/>
    <w:basedOn w:val="37"/>
    <w:link w:val="12"/>
    <w:qFormat/>
    <w:uiPriority w:val="0"/>
    <w:rPr>
      <w:kern w:val="2"/>
      <w:sz w:val="21"/>
      <w:szCs w:val="24"/>
    </w:rPr>
  </w:style>
  <w:style w:type="character" w:customStyle="1" w:styleId="96">
    <w:name w:val="批注主题 Char"/>
    <w:basedOn w:val="95"/>
    <w:link w:val="33"/>
    <w:qFormat/>
    <w:uiPriority w:val="0"/>
  </w:style>
  <w:style w:type="character" w:customStyle="1" w:styleId="97">
    <w:name w:val="批注框文本 Char"/>
    <w:basedOn w:val="37"/>
    <w:link w:val="20"/>
    <w:qFormat/>
    <w:uiPriority w:val="0"/>
    <w:rPr>
      <w:kern w:val="2"/>
      <w:sz w:val="18"/>
      <w:szCs w:val="18"/>
    </w:rPr>
  </w:style>
  <w:style w:type="character" w:customStyle="1" w:styleId="98">
    <w:name w:val="文档结构图 Char"/>
    <w:basedOn w:val="37"/>
    <w:link w:val="11"/>
    <w:qFormat/>
    <w:uiPriority w:val="0"/>
    <w:rPr>
      <w:rFonts w:ascii="宋体"/>
      <w:kern w:val="2"/>
      <w:sz w:val="18"/>
      <w:szCs w:val="18"/>
    </w:rPr>
  </w:style>
  <w:style w:type="paragraph" w:customStyle="1" w:styleId="99">
    <w:name w:val="正文(首行缩进)"/>
    <w:basedOn w:val="1"/>
    <w:next w:val="5"/>
    <w:semiHidden/>
    <w:qFormat/>
    <w:uiPriority w:val="0"/>
    <w:pPr>
      <w:spacing w:line="360" w:lineRule="auto"/>
      <w:ind w:firstLine="540" w:firstLineChars="225"/>
    </w:pPr>
    <w:rPr>
      <w:snapToGrid w:val="0"/>
      <w:color w:val="000000"/>
      <w:kern w:val="0"/>
      <w:sz w:val="24"/>
    </w:rPr>
  </w:style>
  <w:style w:type="paragraph" w:customStyle="1" w:styleId="100">
    <w:name w:val="正"/>
    <w:basedOn w:val="1"/>
    <w:link w:val="103"/>
    <w:qFormat/>
    <w:uiPriority w:val="0"/>
    <w:pPr>
      <w:spacing w:line="360" w:lineRule="auto"/>
      <w:ind w:firstLine="200" w:firstLineChars="200"/>
    </w:pPr>
    <w:rPr>
      <w:kern w:val="0"/>
      <w:sz w:val="24"/>
      <w:szCs w:val="20"/>
    </w:rPr>
  </w:style>
  <w:style w:type="paragraph" w:customStyle="1" w:styleId="101">
    <w:name w:val="表格正文"/>
    <w:basedOn w:val="72"/>
    <w:qFormat/>
    <w:uiPriority w:val="0"/>
    <w:pPr>
      <w:spacing w:line="320" w:lineRule="exact"/>
      <w:jc w:val="center"/>
    </w:pPr>
    <w:rPr>
      <w:kern w:val="0"/>
      <w:szCs w:val="20"/>
    </w:rPr>
  </w:style>
  <w:style w:type="character" w:customStyle="1" w:styleId="102">
    <w:name w:val="书籍标题1"/>
    <w:basedOn w:val="37"/>
    <w:qFormat/>
    <w:uiPriority w:val="33"/>
    <w:rPr>
      <w:b/>
      <w:smallCaps/>
      <w:spacing w:val="5"/>
    </w:rPr>
  </w:style>
  <w:style w:type="character" w:customStyle="1" w:styleId="103">
    <w:name w:val="正 Char"/>
    <w:link w:val="100"/>
    <w:qFormat/>
    <w:locked/>
    <w:uiPriority w:val="0"/>
    <w:rPr>
      <w:sz w:val="24"/>
    </w:rPr>
  </w:style>
  <w:style w:type="table" w:customStyle="1" w:styleId="104">
    <w:name w:val="Table Normal"/>
    <w:semiHidden/>
    <w:unhideWhenUsed/>
    <w:qFormat/>
    <w:uiPriority w:val="2"/>
    <w:pPr>
      <w:widowControl w:val="0"/>
      <w:autoSpaceDE w:val="0"/>
      <w:autoSpaceDN w:val="0"/>
    </w:pPr>
    <w:rPr>
      <w:kern w:val="0"/>
      <w:sz w:val="22"/>
      <w:lang w:eastAsia="en-US" w:bidi="ar-SA"/>
    </w:rPr>
    <w:tblPr>
      <w:tblCellMar>
        <w:top w:w="0" w:type="dxa"/>
        <w:left w:w="0" w:type="dxa"/>
        <w:bottom w:w="0" w:type="dxa"/>
        <w:right w:w="0" w:type="dxa"/>
      </w:tblCellMar>
    </w:tblPr>
  </w:style>
  <w:style w:type="paragraph" w:customStyle="1" w:styleId="105">
    <w:name w:val="标题四A"/>
    <w:basedOn w:val="1"/>
    <w:qFormat/>
    <w:uiPriority w:val="0"/>
    <w:pPr>
      <w:spacing w:line="500" w:lineRule="exact"/>
      <w:outlineLvl w:val="3"/>
    </w:pPr>
    <w:rPr>
      <w:rFonts w:ascii="Times New Roman" w:hAnsi="Times New Roman"/>
      <w:b/>
      <w:kern w:val="0"/>
      <w:sz w:val="24"/>
      <w:szCs w:val="24"/>
    </w:rPr>
  </w:style>
  <w:style w:type="paragraph" w:customStyle="1" w:styleId="106">
    <w:name w:val="正文A"/>
    <w:basedOn w:val="107"/>
    <w:qFormat/>
    <w:uiPriority w:val="0"/>
    <w:pPr>
      <w:spacing w:line="500" w:lineRule="exact"/>
      <w:ind w:firstLine="480" w:firstLineChars="200"/>
    </w:pPr>
    <w:rPr>
      <w:rFonts w:ascii="Times New Roman" w:hAnsi="Times New Roman" w:cs="华文仿宋"/>
      <w:sz w:val="24"/>
      <w:szCs w:val="24"/>
    </w:rPr>
  </w:style>
  <w:style w:type="paragraph" w:customStyle="1" w:styleId="107">
    <w:name w:val="正文!!!!!!!!!!!"/>
    <w:basedOn w:val="108"/>
    <w:qFormat/>
    <w:uiPriority w:val="0"/>
    <w:pPr>
      <w:ind w:firstLine="480"/>
    </w:pPr>
    <w:rPr>
      <w:rFonts w:ascii="Times New Roman" w:hAnsi="Times New Roman" w:eastAsia="宋体" w:cs="Times New Roman"/>
    </w:rPr>
  </w:style>
  <w:style w:type="paragraph" w:customStyle="1" w:styleId="108">
    <w:name w:val="正文 楷体"/>
    <w:basedOn w:val="1"/>
    <w:qFormat/>
    <w:uiPriority w:val="0"/>
    <w:pPr>
      <w:spacing w:line="500" w:lineRule="exact"/>
      <w:ind w:firstLine="200" w:firstLineChars="200"/>
    </w:pPr>
    <w:rPr>
      <w:rFonts w:ascii="楷体_GB2312" w:hAnsi="楷体_GB2312" w:eastAsia="楷体_GB2312" w:cs="宋体"/>
      <w:sz w:val="24"/>
      <w:szCs w:val="24"/>
    </w:rPr>
  </w:style>
  <w:style w:type="paragraph" w:customStyle="1" w:styleId="109">
    <w:name w:val="正文格式"/>
    <w:basedOn w:val="30"/>
    <w:next w:val="13"/>
    <w:qFormat/>
    <w:uiPriority w:val="0"/>
    <w:pPr>
      <w:spacing w:after="0" w:line="360" w:lineRule="auto"/>
      <w:ind w:firstLine="200" w:firstLineChars="200"/>
    </w:pPr>
    <w:rPr>
      <w:rFonts w:ascii="宋体"/>
      <w:sz w:val="24"/>
    </w:rPr>
  </w:style>
  <w:style w:type="paragraph" w:customStyle="1" w:styleId="110">
    <w:name w:val="表内字"/>
    <w:basedOn w:val="1"/>
    <w:qFormat/>
    <w:uiPriority w:val="0"/>
    <w:pPr>
      <w:jc w:val="center"/>
    </w:pPr>
    <w:rPr>
      <w:kern w:val="0"/>
      <w:szCs w:val="24"/>
    </w:rPr>
  </w:style>
  <w:style w:type="paragraph" w:customStyle="1" w:styleId="111">
    <w:name w:val="默认段落"/>
    <w:basedOn w:val="1"/>
    <w:qFormat/>
    <w:uiPriority w:val="0"/>
    <w:rPr>
      <w:rFonts w:ascii="Calibri" w:hAnsi="Calibri" w:eastAsia="宋体" w:cs="Times New Roman"/>
    </w:rPr>
  </w:style>
  <w:style w:type="paragraph" w:customStyle="1" w:styleId="112">
    <w:name w:val="表"/>
    <w:basedOn w:val="1"/>
    <w:qFormat/>
    <w:uiPriority w:val="0"/>
    <w:pPr>
      <w:spacing w:line="240" w:lineRule="auto"/>
      <w:ind w:firstLine="0" w:firstLineChars="0"/>
      <w:jc w:val="center"/>
      <w:outlineLvl w:val="9"/>
    </w:pPr>
    <w:rPr>
      <w:kern w:val="0"/>
      <w:sz w:val="21"/>
      <w:szCs w:val="21"/>
    </w:rPr>
  </w:style>
  <w:style w:type="paragraph" w:customStyle="1" w:styleId="113">
    <w:name w:val="表头标题格式"/>
    <w:basedOn w:val="1"/>
    <w:qFormat/>
    <w:uiPriority w:val="0"/>
    <w:pPr>
      <w:tabs>
        <w:tab w:val="left" w:pos="360"/>
        <w:tab w:val="left" w:pos="1620"/>
      </w:tabs>
      <w:spacing w:line="360" w:lineRule="auto"/>
      <w:jc w:val="center"/>
    </w:pPr>
    <w:rPr>
      <w:rFonts w:ascii="黑体" w:hAnsi="宋体" w:eastAsia="黑体" w:cs="宋体"/>
      <w:b/>
      <w:bCs/>
      <w:sz w:val="24"/>
      <w:szCs w:val="20"/>
    </w:rPr>
  </w:style>
  <w:style w:type="paragraph" w:customStyle="1" w:styleId="114">
    <w:name w:val="中文报告书样式"/>
    <w:basedOn w:val="1"/>
    <w:qFormat/>
    <w:uiPriority w:val="0"/>
    <w:pPr>
      <w:adjustRightInd w:val="0"/>
      <w:spacing w:line="420" w:lineRule="atLeast"/>
      <w:textAlignment w:val="baseline"/>
    </w:pPr>
    <w:rPr>
      <w:kern w:val="24"/>
      <w:sz w:val="24"/>
      <w:szCs w:val="20"/>
    </w:rPr>
  </w:style>
  <w:style w:type="paragraph" w:customStyle="1" w:styleId="115">
    <w:name w:val="报告正文"/>
    <w:basedOn w:val="116"/>
    <w:qFormat/>
    <w:uiPriority w:val="0"/>
    <w:pPr>
      <w:widowControl/>
      <w:suppressAutoHyphens/>
      <w:topLinePunct/>
      <w:adjustRightInd w:val="0"/>
      <w:snapToGrid w:val="0"/>
      <w:spacing w:line="360" w:lineRule="auto"/>
      <w:ind w:firstLine="200" w:firstLineChars="200"/>
    </w:pPr>
    <w:rPr>
      <w:kern w:val="0"/>
      <w:sz w:val="24"/>
    </w:rPr>
  </w:style>
  <w:style w:type="paragraph" w:customStyle="1" w:styleId="116">
    <w:name w:val="p17"/>
    <w:basedOn w:val="1"/>
    <w:qFormat/>
    <w:uiPriority w:val="0"/>
    <w:pPr>
      <w:widowControl/>
    </w:pPr>
    <w:rPr>
      <w:rFonts w:ascii="宋体" w:hAnsi="宋体" w:cs="宋体"/>
      <w:kern w:val="0"/>
      <w:szCs w:val="21"/>
    </w:rPr>
  </w:style>
  <w:style w:type="paragraph" w:customStyle="1" w:styleId="117">
    <w:name w:val="样式4"/>
    <w:basedOn w:val="1"/>
    <w:qFormat/>
    <w:uiPriority w:val="0"/>
    <w:pPr>
      <w:tabs>
        <w:tab w:val="left" w:pos="9128"/>
      </w:tabs>
      <w:adjustRightInd w:val="0"/>
      <w:snapToGrid w:val="0"/>
      <w:spacing w:line="500" w:lineRule="exact"/>
      <w:jc w:val="center"/>
    </w:pPr>
    <w:rPr>
      <w:rFonts w:ascii="宋体" w:hAnsi="宋体"/>
      <w:szCs w:val="24"/>
    </w:rPr>
  </w:style>
  <w:style w:type="paragraph" w:customStyle="1" w:styleId="118">
    <w:name w:val="Body Text First Indent 2"/>
    <w:basedOn w:val="1"/>
    <w:qFormat/>
    <w:uiPriority w:val="0"/>
    <w:pPr>
      <w:spacing w:after="120" w:afterLines="0"/>
      <w:ind w:left="420" w:leftChars="200" w:firstLine="420"/>
    </w:pPr>
    <w:rPr>
      <w:rFonts w:eastAsia="宋体"/>
      <w:kern w:val="2"/>
      <w:sz w:val="21"/>
      <w:szCs w:val="24"/>
      <w:lang w:val="en-US" w:eastAsia="zh-CN"/>
    </w:rPr>
  </w:style>
  <w:style w:type="paragraph" w:customStyle="1" w:styleId="119">
    <w:name w:val="标题  2"/>
    <w:basedOn w:val="5"/>
    <w:qFormat/>
    <w:uiPriority w:val="0"/>
    <w:pPr>
      <w:widowControl/>
      <w:spacing w:before="120" w:beforeLines="0" w:after="120" w:afterLines="0" w:line="360" w:lineRule="auto"/>
      <w:jc w:val="left"/>
    </w:pPr>
    <w:rPr>
      <w:rFonts w:ascii="宋体" w:hAnsi="宋体" w:eastAsia="宋体" w:cs="宋体"/>
      <w:sz w:val="30"/>
      <w:szCs w:val="24"/>
    </w:rPr>
  </w:style>
  <w:style w:type="paragraph" w:customStyle="1" w:styleId="120">
    <w:name w:val="YJ正文*"/>
    <w:basedOn w:val="1"/>
    <w:qFormat/>
    <w:uiPriority w:val="0"/>
    <w:pPr>
      <w:spacing w:line="500" w:lineRule="exact"/>
      <w:ind w:firstLine="200" w:firstLineChars="200"/>
    </w:pPr>
    <w:rPr>
      <w:rFonts w:ascii="宋体" w:hAnsi="宋体" w:eastAsia="宋体"/>
      <w:kern w:val="0"/>
      <w:sz w:val="24"/>
      <w:szCs w:val="24"/>
    </w:rPr>
  </w:style>
  <w:style w:type="paragraph" w:customStyle="1" w:styleId="121">
    <w:name w:val="！正文"/>
    <w:basedOn w:val="1"/>
    <w:qFormat/>
    <w:uiPriority w:val="0"/>
    <w:pPr>
      <w:spacing w:line="360" w:lineRule="auto"/>
      <w:ind w:firstLine="480" w:firstLineChars="200"/>
    </w:pPr>
    <w:rPr>
      <w:rFonts w:hAnsi="Times New Roman" w:cs="宋体"/>
      <w:kern w:val="2"/>
      <w:lang w:eastAsia="zh-CN"/>
    </w:rPr>
  </w:style>
  <w:style w:type="paragraph" w:customStyle="1" w:styleId="122">
    <w:name w:val="邓表格文字"/>
    <w:basedOn w:val="1"/>
    <w:qFormat/>
    <w:uiPriority w:val="0"/>
    <w:pPr>
      <w:widowControl/>
      <w:snapToGrid w:val="0"/>
      <w:spacing w:line="220" w:lineRule="exact"/>
      <w:jc w:val="center"/>
    </w:pPr>
    <w:rPr>
      <w:rFonts w:ascii="宋体" w:hAnsi="宋体"/>
      <w:sz w:val="18"/>
      <w:szCs w:val="18"/>
    </w:rPr>
  </w:style>
  <w:style w:type="paragraph" w:customStyle="1" w:styleId="123">
    <w:name w:val="表字-书"/>
    <w:basedOn w:val="1"/>
    <w:qFormat/>
    <w:uiPriority w:val="0"/>
    <w:pPr>
      <w:spacing w:line="300" w:lineRule="atLeast"/>
      <w:jc w:val="center"/>
    </w:pPr>
    <w:rPr>
      <w:rFonts w:ascii="宋体" w:hAnsi="宋体" w:cs="Arial"/>
      <w:szCs w:val="21"/>
    </w:rPr>
  </w:style>
  <w:style w:type="paragraph" w:customStyle="1" w:styleId="124">
    <w:name w:val="表中文字"/>
    <w:basedOn w:val="1"/>
    <w:qFormat/>
    <w:uiPriority w:val="0"/>
    <w:pPr>
      <w:snapToGrid w:val="0"/>
      <w:spacing w:line="240" w:lineRule="auto"/>
      <w:ind w:left="0" w:leftChars="0" w:right="0" w:rightChars="0" w:firstLine="0" w:firstLineChars="0"/>
      <w:jc w:val="center"/>
      <w:textAlignment w:val="center"/>
    </w:pPr>
    <w:rPr>
      <w:rFonts w:eastAsia="宋体" w:cs="Times New Roman"/>
      <w:bCs/>
      <w:kern w:val="0"/>
      <w:sz w:val="21"/>
      <w:szCs w:val="18"/>
    </w:rPr>
  </w:style>
  <w:style w:type="table" w:customStyle="1" w:styleId="125">
    <w:name w:val="专业网格2"/>
    <w:basedOn w:val="35"/>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6">
    <w:name w:val="标题 2 Char"/>
    <w:basedOn w:val="37"/>
    <w:link w:val="5"/>
    <w:qFormat/>
    <w:uiPriority w:val="9"/>
    <w:rPr>
      <w:b/>
      <w:bCs/>
      <w:sz w:val="32"/>
      <w:szCs w:val="32"/>
    </w:rPr>
  </w:style>
  <w:style w:type="paragraph" w:customStyle="1" w:styleId="127">
    <w:name w:val="正文1"/>
    <w:qFormat/>
    <w:uiPriority w:val="0"/>
    <w:pPr>
      <w:widowControl w:val="0"/>
      <w:spacing w:line="240" w:lineRule="atLeast"/>
      <w:jc w:val="center"/>
    </w:pPr>
    <w:rPr>
      <w:rFonts w:ascii="宋体" w:hAnsi="宋体" w:eastAsia="宋体" w:cs="宋体"/>
      <w:lang w:val="en-US" w:eastAsia="zh-CN" w:bidi="ar-SA"/>
    </w:rPr>
  </w:style>
  <w:style w:type="paragraph" w:customStyle="1" w:styleId="128">
    <w:name w:val="样式 样式 正文缩进正文（首行缩进两字）正文2 + 首行缩进:  2 字符 + 首行缩进:  2 字符"/>
    <w:basedOn w:val="1"/>
    <w:qFormat/>
    <w:uiPriority w:val="0"/>
    <w:pPr>
      <w:spacing w:line="324" w:lineRule="auto"/>
      <w:ind w:firstLine="600"/>
    </w:pPr>
    <w:rPr>
      <w:rFonts w:hAnsi="宋体" w:cs="宋体"/>
      <w:sz w:val="28"/>
      <w:szCs w:val="20"/>
    </w:rPr>
  </w:style>
  <w:style w:type="paragraph" w:customStyle="1" w:styleId="129">
    <w:name w:val="sll-正文"/>
    <w:basedOn w:val="1"/>
    <w:qFormat/>
    <w:uiPriority w:val="0"/>
    <w:pPr>
      <w:autoSpaceDE w:val="0"/>
      <w:autoSpaceDN w:val="0"/>
      <w:adjustRightInd w:val="0"/>
      <w:snapToGrid w:val="0"/>
      <w:spacing w:line="360" w:lineRule="auto"/>
      <w:ind w:firstLine="720" w:firstLineChars="200"/>
      <w:jc w:val="left"/>
    </w:pPr>
    <w:rPr>
      <w:rFonts w:ascii="Times New Roman" w:hAnsi="Times New Roman" w:eastAsia="宋体" w:cs="宋体"/>
      <w:kern w:val="0"/>
      <w:sz w:val="24"/>
      <w:szCs w:val="21"/>
    </w:rPr>
  </w:style>
  <w:style w:type="paragraph" w:customStyle="1" w:styleId="130">
    <w:name w:val="深泽正文"/>
    <w:basedOn w:val="17"/>
    <w:qFormat/>
    <w:uiPriority w:val="0"/>
    <w:pPr>
      <w:spacing w:line="440" w:lineRule="exact"/>
      <w:ind w:firstLine="488"/>
    </w:pPr>
    <w:rPr>
      <w:rFonts w:ascii="Times New Roman" w:hAnsi="Times New Roman" w:eastAsia="宋体" w:cs="Times New Roman"/>
      <w:spacing w:val="4"/>
      <w:kern w:val="0"/>
      <w:szCs w:val="24"/>
      <w:lang w:val="zh-CN"/>
    </w:rPr>
  </w:style>
  <w:style w:type="paragraph" w:customStyle="1" w:styleId="131">
    <w:name w:val="深泽图名"/>
    <w:basedOn w:val="1"/>
    <w:qFormat/>
    <w:uiPriority w:val="0"/>
    <w:pPr>
      <w:spacing w:line="440" w:lineRule="exact"/>
      <w:jc w:val="center"/>
    </w:pPr>
    <w:rPr>
      <w:b/>
      <w:szCs w:val="21"/>
    </w:rPr>
  </w:style>
  <w:style w:type="paragraph" w:customStyle="1" w:styleId="132">
    <w:name w:val="深泽表头"/>
    <w:basedOn w:val="15"/>
    <w:qFormat/>
    <w:uiPriority w:val="0"/>
    <w:pPr>
      <w:spacing w:before="120" w:line="440" w:lineRule="exact"/>
      <w:ind w:firstLine="0"/>
      <w:jc w:val="center"/>
    </w:pPr>
    <w:rPr>
      <w:b/>
      <w:spacing w:val="4"/>
      <w:szCs w:val="21"/>
    </w:rPr>
  </w:style>
  <w:style w:type="paragraph" w:customStyle="1" w:styleId="133">
    <w:name w:val="正宋小四"/>
    <w:basedOn w:val="1"/>
    <w:qFormat/>
    <w:uiPriority w:val="0"/>
    <w:pPr>
      <w:spacing w:line="360" w:lineRule="auto"/>
      <w:ind w:firstLine="1205" w:firstLineChars="200"/>
    </w:pPr>
  </w:style>
  <w:style w:type="paragraph" w:customStyle="1" w:styleId="134">
    <w:name w:val="标题2"/>
    <w:basedOn w:val="5"/>
    <w:next w:val="1"/>
    <w:qFormat/>
    <w:uiPriority w:val="0"/>
    <w:pPr>
      <w:numPr>
        <w:ilvl w:val="1"/>
        <w:numId w:val="4"/>
      </w:numPr>
      <w:spacing w:before="0" w:after="0" w:line="440" w:lineRule="exact"/>
    </w:pPr>
    <w:rPr>
      <w:kern w:val="0"/>
      <w:sz w:val="28"/>
    </w:rPr>
  </w:style>
  <w:style w:type="paragraph" w:customStyle="1" w:styleId="135">
    <w:name w:val="标准"/>
    <w:basedOn w:val="1"/>
    <w:qFormat/>
    <w:uiPriority w:val="0"/>
    <w:pPr>
      <w:adjustRightInd w:val="0"/>
      <w:spacing w:line="312" w:lineRule="atLeast"/>
      <w:jc w:val="center"/>
      <w:textAlignment w:val="baseline"/>
    </w:pPr>
    <w:rPr>
      <w:kern w:val="0"/>
      <w:sz w:val="28"/>
      <w:szCs w:val="20"/>
    </w:rPr>
  </w:style>
  <w:style w:type="paragraph" w:customStyle="1" w:styleId="136">
    <w:name w:val="正文修改"/>
    <w:basedOn w:val="1"/>
    <w:qFormat/>
    <w:uiPriority w:val="0"/>
    <w:pPr>
      <w:spacing w:line="360" w:lineRule="auto"/>
      <w:ind w:firstLine="200" w:firstLineChars="200"/>
    </w:pPr>
    <w:rPr>
      <w:rFonts w:cs="宋体"/>
      <w:kern w:val="0"/>
      <w:sz w:val="24"/>
      <w:szCs w:val="20"/>
    </w:rPr>
  </w:style>
  <w:style w:type="paragraph" w:customStyle="1" w:styleId="137">
    <w:name w:val="11正文"/>
    <w:qFormat/>
    <w:uiPriority w:val="0"/>
    <w:pPr>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138">
    <w:name w:val="表格内容自定"/>
    <w:basedOn w:val="1"/>
    <w:qFormat/>
    <w:uiPriority w:val="0"/>
    <w:pPr>
      <w:spacing w:line="280" w:lineRule="exact"/>
      <w:jc w:val="center"/>
    </w:pPr>
    <w:rPr>
      <w:kern w:val="0"/>
      <w:sz w:val="18"/>
      <w:szCs w:val="21"/>
    </w:rPr>
  </w:style>
  <w:style w:type="paragraph" w:customStyle="1" w:styleId="139">
    <w:name w:val="p0"/>
    <w:basedOn w:val="1"/>
    <w:qFormat/>
    <w:uiPriority w:val="0"/>
    <w:pPr>
      <w:widowControl/>
    </w:pPr>
    <w:rPr>
      <w:kern w:val="0"/>
      <w:szCs w:val="21"/>
    </w:rPr>
  </w:style>
  <w:style w:type="paragraph" w:customStyle="1" w:styleId="140">
    <w:name w:val="B正文"/>
    <w:basedOn w:val="1"/>
    <w:qFormat/>
    <w:uiPriority w:val="0"/>
    <w:pPr>
      <w:widowControl/>
      <w:spacing w:line="360" w:lineRule="auto"/>
      <w:ind w:firstLine="200" w:firstLineChars="200"/>
      <w:jc w:val="left"/>
    </w:pPr>
    <w:rPr>
      <w:rFonts w:cs="宋体"/>
      <w:kern w:val="0"/>
      <w:sz w:val="24"/>
    </w:rPr>
  </w:style>
  <w:style w:type="paragraph" w:customStyle="1" w:styleId="141">
    <w:name w:val="Table Text"/>
    <w:basedOn w:val="1"/>
    <w:semiHidden/>
    <w:qFormat/>
    <w:uiPriority w:val="0"/>
    <w:rPr>
      <w:rFonts w:ascii="宋体" w:hAnsi="宋体" w:eastAsia="宋体" w:cs="宋体"/>
      <w:sz w:val="24"/>
      <w:szCs w:val="24"/>
      <w:lang w:val="en-US" w:eastAsia="en-US" w:bidi="ar-SA"/>
    </w:rPr>
  </w:style>
  <w:style w:type="paragraph" w:customStyle="1" w:styleId="142">
    <w:name w:val="1正文"/>
    <w:basedOn w:val="1"/>
    <w:qFormat/>
    <w:uiPriority w:val="0"/>
    <w:pPr>
      <w:widowControl/>
      <w:spacing w:line="360" w:lineRule="auto"/>
      <w:ind w:firstLine="200" w:firstLineChars="200"/>
    </w:pPr>
    <w:rPr>
      <w:kern w:val="0"/>
      <w:sz w:val="24"/>
      <w:szCs w:val="20"/>
      <w:lang w:val="en-GB"/>
    </w:rPr>
  </w:style>
  <w:style w:type="paragraph" w:customStyle="1" w:styleId="143">
    <w:name w:val="表格1"/>
    <w:basedOn w:val="1"/>
    <w:qFormat/>
    <w:uiPriority w:val="0"/>
    <w:pPr>
      <w:adjustRightInd w:val="0"/>
      <w:snapToGrid w:val="0"/>
      <w:jc w:val="center"/>
    </w:pPr>
    <w:rPr>
      <w:rFonts w:ascii="Times New Roman" w:hAnsi="Times New Roman" w:eastAsia="方正仿宋_GBK"/>
      <w:color w:val="000000"/>
      <w:kern w:val="0"/>
      <w:szCs w:val="24"/>
    </w:rPr>
  </w:style>
  <w:style w:type="paragraph" w:customStyle="1" w:styleId="144">
    <w:name w:val="MEL正文*"/>
    <w:basedOn w:val="1"/>
    <w:qFormat/>
    <w:uiPriority w:val="0"/>
    <w:pPr>
      <w:spacing w:line="500" w:lineRule="exact"/>
      <w:ind w:firstLine="200" w:firstLineChars="200"/>
    </w:pPr>
    <w:rPr>
      <w:rFonts w:ascii="宋体"/>
      <w:kern w:val="0"/>
      <w:sz w:val="24"/>
    </w:rPr>
  </w:style>
  <w:style w:type="paragraph" w:customStyle="1" w:styleId="145">
    <w:name w:val="表格-居中"/>
    <w:basedOn w:val="1"/>
    <w:next w:val="1"/>
    <w:qFormat/>
    <w:uiPriority w:val="0"/>
    <w:pPr>
      <w:jc w:val="center"/>
    </w:pPr>
    <w:rPr>
      <w:rFonts w:ascii="黑体" w:eastAsia="黑体"/>
      <w:szCs w:val="21"/>
    </w:rPr>
  </w:style>
  <w:style w:type="paragraph" w:customStyle="1" w:styleId="146">
    <w:name w:val="Default1"/>
    <w:qFormat/>
    <w:uiPriority w:val="0"/>
    <w:pPr>
      <w:widowControl w:val="0"/>
      <w:autoSpaceDE w:val="0"/>
      <w:autoSpaceDN w:val="0"/>
      <w:adjustRightInd w:val="0"/>
    </w:pPr>
    <w:rPr>
      <w:rFonts w:ascii="宋体" w:cs="宋体" w:hAnsiTheme="minorHAnsi" w:eastAsiaTheme="minorEastAsia"/>
      <w:color w:val="000000"/>
      <w:sz w:val="24"/>
      <w:szCs w:val="24"/>
      <w:lang w:val="en-US" w:eastAsia="zh-CN" w:bidi="ar-SA"/>
    </w:rPr>
  </w:style>
  <w:style w:type="paragraph" w:customStyle="1" w:styleId="147">
    <w:name w:val="B3"/>
    <w:basedOn w:val="1"/>
    <w:next w:val="1"/>
    <w:qFormat/>
    <w:uiPriority w:val="0"/>
    <w:pPr>
      <w:widowControl/>
      <w:numPr>
        <w:ilvl w:val="2"/>
        <w:numId w:val="5"/>
      </w:numPr>
      <w:spacing w:before="80" w:after="80" w:line="360" w:lineRule="auto"/>
      <w:jc w:val="left"/>
      <w:outlineLvl w:val="2"/>
    </w:pPr>
    <w:rPr>
      <w:b/>
      <w:kern w:val="0"/>
      <w:sz w:val="28"/>
    </w:rPr>
  </w:style>
  <w:style w:type="paragraph" w:customStyle="1" w:styleId="148">
    <w:name w:val="环5表格"/>
    <w:basedOn w:val="1"/>
    <w:qFormat/>
    <w:uiPriority w:val="0"/>
    <w:pPr>
      <w:jc w:val="center"/>
    </w:pPr>
    <w:rPr>
      <w:rFonts w:eastAsia="黑体"/>
    </w:rPr>
  </w:style>
  <w:style w:type="paragraph" w:customStyle="1" w:styleId="149">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50">
    <w:name w:val="我"/>
    <w:basedOn w:val="1"/>
    <w:qFormat/>
    <w:uiPriority w:val="0"/>
    <w:pPr>
      <w:spacing w:line="360" w:lineRule="auto"/>
      <w:ind w:firstLine="640" w:firstLineChars="200"/>
    </w:pPr>
    <w:rPr>
      <w:kern w:val="0"/>
      <w:sz w:val="24"/>
      <w:szCs w:val="20"/>
    </w:rPr>
  </w:style>
  <w:style w:type="paragraph" w:customStyle="1" w:styleId="151">
    <w:name w:val="正文新"/>
    <w:basedOn w:val="152"/>
    <w:qFormat/>
    <w:uiPriority w:val="0"/>
    <w:pPr>
      <w:spacing w:line="460" w:lineRule="exact"/>
      <w:ind w:firstLine="480" w:firstLineChars="200"/>
    </w:pPr>
    <w:rPr>
      <w:sz w:val="24"/>
    </w:rPr>
  </w:style>
  <w:style w:type="paragraph" w:customStyle="1" w:styleId="152">
    <w:name w:val="正文11"/>
    <w:basedOn w:val="1"/>
    <w:qFormat/>
    <w:uiPriority w:val="0"/>
    <w:pPr>
      <w:spacing w:line="480" w:lineRule="exact"/>
      <w:ind w:firstLine="200" w:firstLineChars="200"/>
    </w:pPr>
    <w:rPr>
      <w:rFonts w:ascii="宋体" w:hAnsi="宋体" w:eastAsia="宋体" w:cs="宋体"/>
      <w:sz w:val="24"/>
    </w:rPr>
  </w:style>
  <w:style w:type="paragraph" w:customStyle="1" w:styleId="153">
    <w:name w:val="表头字体"/>
    <w:basedOn w:val="1"/>
    <w:qFormat/>
    <w:uiPriority w:val="0"/>
    <w:pPr>
      <w:spacing w:line="360" w:lineRule="auto"/>
      <w:ind w:firstLine="0" w:firstLineChars="0"/>
      <w:jc w:val="center"/>
    </w:pPr>
    <w:rPr>
      <w:rFonts w:ascii="Times New Roman" w:hAnsi="Times New Roman" w:eastAsia="宋体"/>
      <w:b/>
      <w:kern w:val="2"/>
      <w:sz w:val="24"/>
      <w:szCs w:val="24"/>
    </w:rPr>
  </w:style>
  <w:style w:type="paragraph" w:customStyle="1" w:styleId="154">
    <w:name w:val="环评表格文字格式"/>
    <w:qFormat/>
    <w:uiPriority w:val="0"/>
    <w:pPr>
      <w:widowControl w:val="0"/>
      <w:adjustRightInd w:val="0"/>
      <w:snapToGrid w:val="0"/>
      <w:jc w:val="center"/>
    </w:pPr>
    <w:rPr>
      <w:rFonts w:ascii="Times New Roman" w:hAnsi="Times New Roman" w:eastAsia="宋体" w:cs="Times New Roman"/>
      <w:sz w:val="21"/>
      <w:lang w:val="en-US" w:eastAsia="zh-CN" w:bidi="ar-SA"/>
    </w:rPr>
  </w:style>
  <w:style w:type="character" w:customStyle="1" w:styleId="155">
    <w:name w:val="font81"/>
    <w:basedOn w:val="37"/>
    <w:qFormat/>
    <w:uiPriority w:val="0"/>
    <w:rPr>
      <w:rFonts w:ascii="宋体" w:hAnsi="宋体" w:eastAsia="宋体" w:cs="宋体"/>
      <w:color w:val="000000"/>
      <w:sz w:val="26"/>
      <w:szCs w:val="26"/>
      <w:u w:val="none"/>
    </w:rPr>
  </w:style>
  <w:style w:type="character" w:customStyle="1" w:styleId="156">
    <w:name w:val="font91"/>
    <w:basedOn w:val="37"/>
    <w:qFormat/>
    <w:uiPriority w:val="0"/>
    <w:rPr>
      <w:rFonts w:ascii="宋体" w:hAnsi="宋体" w:eastAsia="宋体" w:cs="宋体"/>
      <w:color w:val="203040"/>
      <w:sz w:val="26"/>
      <w:szCs w:val="26"/>
      <w:u w:val="none"/>
    </w:rPr>
  </w:style>
  <w:style w:type="character" w:customStyle="1" w:styleId="157">
    <w:name w:val="font101"/>
    <w:basedOn w:val="37"/>
    <w:qFormat/>
    <w:uiPriority w:val="0"/>
    <w:rPr>
      <w:rFonts w:hint="default" w:ascii="Calibri" w:hAnsi="Calibri" w:cs="Calibri"/>
      <w:color w:val="000000"/>
      <w:sz w:val="26"/>
      <w:szCs w:val="26"/>
      <w:u w:val="none"/>
    </w:rPr>
  </w:style>
  <w:style w:type="character" w:customStyle="1" w:styleId="158">
    <w:name w:val="font112"/>
    <w:basedOn w:val="37"/>
    <w:qFormat/>
    <w:uiPriority w:val="0"/>
    <w:rPr>
      <w:rFonts w:ascii="宋体" w:hAnsi="宋体" w:eastAsia="宋体" w:cs="宋体"/>
      <w:color w:val="403050"/>
      <w:sz w:val="26"/>
      <w:szCs w:val="26"/>
      <w:u w:val="none"/>
    </w:rPr>
  </w:style>
  <w:style w:type="character" w:customStyle="1" w:styleId="159">
    <w:name w:val="font121"/>
    <w:basedOn w:val="37"/>
    <w:qFormat/>
    <w:uiPriority w:val="0"/>
    <w:rPr>
      <w:rFonts w:ascii="宋体" w:hAnsi="宋体" w:eastAsia="宋体" w:cs="宋体"/>
      <w:color w:val="304060"/>
      <w:sz w:val="26"/>
      <w:szCs w:val="26"/>
      <w:u w:val="none"/>
    </w:rPr>
  </w:style>
  <w:style w:type="character" w:customStyle="1" w:styleId="160">
    <w:name w:val="font131"/>
    <w:basedOn w:val="37"/>
    <w:qFormat/>
    <w:uiPriority w:val="0"/>
    <w:rPr>
      <w:rFonts w:ascii="宋体" w:hAnsi="宋体" w:eastAsia="宋体" w:cs="宋体"/>
      <w:color w:val="404050"/>
      <w:sz w:val="26"/>
      <w:szCs w:val="26"/>
      <w:u w:val="none"/>
    </w:rPr>
  </w:style>
  <w:style w:type="character" w:customStyle="1" w:styleId="161">
    <w:name w:val="font141"/>
    <w:basedOn w:val="37"/>
    <w:qFormat/>
    <w:uiPriority w:val="0"/>
    <w:rPr>
      <w:rFonts w:ascii="宋体" w:hAnsi="宋体" w:eastAsia="宋体" w:cs="宋体"/>
      <w:color w:val="303040"/>
      <w:sz w:val="26"/>
      <w:szCs w:val="26"/>
      <w:u w:val="none"/>
    </w:rPr>
  </w:style>
  <w:style w:type="character" w:customStyle="1" w:styleId="162">
    <w:name w:val="font71"/>
    <w:basedOn w:val="37"/>
    <w:qFormat/>
    <w:uiPriority w:val="0"/>
    <w:rPr>
      <w:rFonts w:hint="default" w:ascii="Calibri" w:hAnsi="Calibri" w:cs="Calibri"/>
      <w:color w:val="303040"/>
      <w:sz w:val="26"/>
      <w:szCs w:val="26"/>
      <w:u w:val="none"/>
    </w:rPr>
  </w:style>
  <w:style w:type="character" w:customStyle="1" w:styleId="163">
    <w:name w:val="textbig1"/>
    <w:qFormat/>
    <w:uiPriority w:val="0"/>
    <w:rPr>
      <w:rFonts w:ascii="宋体" w:hAnsi="宋体" w:cs="宋体"/>
      <w:sz w:val="18"/>
      <w:szCs w:val="18"/>
    </w:rPr>
  </w:style>
  <w:style w:type="paragraph" w:customStyle="1" w:styleId="164">
    <w:name w:val="段落1"/>
    <w:basedOn w:val="1"/>
    <w:qFormat/>
    <w:uiPriority w:val="99"/>
    <w:pPr>
      <w:spacing w:line="480" w:lineRule="exact"/>
      <w:ind w:firstLine="584" w:firstLineChars="200"/>
    </w:pPr>
    <w:rPr>
      <w:spacing w:val="6"/>
      <w:sz w:val="28"/>
    </w:rPr>
  </w:style>
  <w:style w:type="paragraph" w:customStyle="1" w:styleId="165">
    <w:name w:val="正文小四缩"/>
    <w:basedOn w:val="1"/>
    <w:qFormat/>
    <w:uiPriority w:val="0"/>
    <w:pPr>
      <w:adjustRightInd w:val="0"/>
      <w:spacing w:before="120" w:beforeLines="0" w:line="360" w:lineRule="auto"/>
      <w:ind w:firstLine="510"/>
      <w:textAlignment w:val="baseline"/>
    </w:pPr>
    <w:rPr>
      <w:rFonts w:ascii="宋体" w:hAnsi="宋体"/>
      <w:bCs/>
      <w:kern w:val="0"/>
    </w:rPr>
  </w:style>
  <w:style w:type="paragraph" w:customStyle="1" w:styleId="166">
    <w:name w:val="Z报表正文"/>
    <w:basedOn w:val="1"/>
    <w:qFormat/>
    <w:uiPriority w:val="0"/>
    <w:pPr>
      <w:spacing w:line="560" w:lineRule="exact"/>
      <w:ind w:firstLine="200" w:firstLineChars="200"/>
      <w:jc w:val="left"/>
    </w:pPr>
    <w:rPr>
      <w:kern w:val="0"/>
      <w:sz w:val="24"/>
      <w:lang w:eastAsia="en-US"/>
    </w:rPr>
  </w:style>
  <w:style w:type="paragraph" w:customStyle="1" w:styleId="167">
    <w:name w:val="表格后空行"/>
    <w:basedOn w:val="1"/>
    <w:qFormat/>
    <w:uiPriority w:val="0"/>
    <w:pPr>
      <w:widowControl/>
      <w:spacing w:line="240" w:lineRule="exact"/>
      <w:textAlignment w:val="baseline"/>
    </w:pPr>
    <w:rPr>
      <w:rFonts w:ascii="宋体" w:cs="宋体"/>
      <w:color w:val="000000"/>
      <w:kern w:val="0"/>
      <w:sz w:val="18"/>
      <w:szCs w:val="20"/>
      <w:u w:val="none"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wmf"/><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e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mFRbWw2YlhwcVZFeExNVGM0TWpVMkpUSXlKVE5CSlRkQ0pUSXlhV1FsTWpJbE0wRWxNakphUW1sNmJYcHFWRXhMTVRjNE1qVTJ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aGpWV3g1Y25wVVZIQXhORFk0T0RBbE1qSWxOMFFsTWtNbE4wSWxNakp1WVcxbEpUSXlKVE5CSlRJeUpVVTFKVGt3SlRoRUpVVTNKVUUzSlVJd0pUSXlKVEpESlRJeWRIbHdaU1V5TWlVelFTVXlNbk4wY21sdVp5VXlNaVV5UXlVeU1uWmhiSFZsSlRJeUpUTkJKVEl5SlRJeUpUSkRKVEl5WTJGMFpXZHZjbmtsTWpJbE0wRWxNakprWldaaGRXeDBKVEl5SlRKREpUSXlhV1FsTWpJbE0wRWxNakoyV1ZkdlFtUndhRVYyTWpjd016T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azJKVUl3SlVVNUpVSXlKVGxESlVVMkpVSXdKVUkwSlRORFpHbDJKVE5GTVRJd01DVXpReVV5Um1ScGRpVXpS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eFBURk51Ykc1SlkxRTRPREV6TWprbE1qSWxNMEVsTjBJbE1qSnBaQ1V5TWlVelFTVXlNbXhQVEZOdWJHNUpZMUU0T0RFek1q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NVTjZSbkJuVTIxQmRqUTBNRGM1TXlVeU1pVTNSQ1V5UXlVM1FpVXlNbTVoYldVbE1qSWxNMEVsTWpJbFJUVWxPVEFsT0VRbFJUY2xRVGNsUWpBbE1qSWxNa01sTWpKMGVYQmxKVEl5SlROQkpUSXljM1J5YVc1bkpUSXlKVEpESlRJeWRtRnNkV1VsTWpJbE0wRWxNaklsTWpJbE1rTWxNakpqWVhSbFoyOXllU1V5TWlVelFTVXlNbVJsWm1GMWJIUWxNaklsTWtNbE1qSnBaQ1V5TWlVelFTVXlNbXhUZUZoVlNXMXZWa0UzTWpBeE56Z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0pUazBKVGxHSlVVMkpVSTBKVUpDSlVVM0pUazBKVUU0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RWh3ZFdoaGVIZEtlalkxTXpVNU1pVXlNaVV6UVNVM1FpVXlNbWxrSlRJeUpUTkJKVEl5VUVod2RXaGhlSGRLZWpZMU16VTVNaV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dSMUp2WlU5cFZHaDFPVE01TlRrekpUSXlKVGRFSlRKREpUZENKVEl5Ym1GdFpTVXlNaVV6UVNVeU1pVkZOU1U1TUNVNFJDVkZOeVZCTnlWQ01DVXlNaVV5UXlVeU1uUjVjR1VsTWpJbE0wRWxNakp6ZEhKcGJtY2xNaklsTWtNbE1qSjJZV3gxWlNVeU1pVXpRU1V5TWlVeU1pVXlReVV5TW1OaGRHVm5iM0o1SlRJeUpUTkJKVEl5WkdWbVlYVnNkQ1V5TWlVeVF5VXlNbWxrSlRJeUpUTkJKVEl5V0dwWmNWRnBWVXBwWVRBNE1UYzV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RU1sT1RZbFJUY2xRaklsUVVFbFJUWWxRakVsUVRB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JU1VoVlpWQk1UVWxQTlRJd01USXhKVEl5SlROQkpUZENKVEl5YVdRbE1qSWxNMEVsTWpKSVNVaFZaVkJNVFVsUE5USXdNVEl4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kJ5ZDJkbldtTkZWVzh4TURjMk9UUWxNaklsTjBRbE1rTWxOMElsTWpKdVlXMWxKVEl5SlROQkpUSXlKVVUxSlRrd0pUaEVKVVUzSlVFM0pVSXdKVEl5SlRKREpUSXlkSGx3WlNVeU1pVXpRU1V5TW5OMGNtbHVaeVV5TWlVeVF5VXlNblpoYkhWbEpUSXlKVE5CSlRJeUpUSXlKVEpESlRJeVkyRjBaV2R2Y25rbE1qSWxNMEVsTWpKa1pXWmhkV3gwSlRJeUpUSkRKVEl5YVdRbE1qSWxNMEVsTWpKNFdHVkNZbWRaWkhGSE5EVTFORE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U1ZDTUNVNE9TVkZOeVU0UVNVNE1TVkZOU1U0UlNWQ1JpVkZOaVZDTVNWQk1TVkZOaVZDTUNWQ05DVkZOU1ZCTkNVNE5DVkZOeVU1TUNVNE5pVkZOU1U0UlNVNE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eVVGUlVaVkY1ZVZJM09ESTFNREVsTWpJbE0wRWxOMElsTWpKcFpDVXlNaVV6UVNVeU1sTnlVRlJVWlZGNWVWSTNPREkxTURF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FhKQ1EzQjJaVWwzYnpreU16VXhOaVV5TWlVM1JDVXlReVUzUWlVeU1tNWhiV1VsTWpJbE0wRWxNaklsUlRVbE9UQWxPRVFsUlRjbFFUY2xRakFsTWpJbE1rTWxNakowZVhCbEpUSXlKVE5CSlRJeWMzUnlhVzVuSlRJeUpUSkRKVEl5ZG1Gc2RXVWxNaklsTTBFbE1qSWxNaklsTWtNbE1qSmpZWFJsWjI5eWVTVXlNaVV6UVNVeU1tUmxabUYxYkhRbE1qSWxNa01sTWpKcFpDVXlNaVV6UVNVeU1sSk5SM0ZTWjI1dWVFUTJNVFk1TXp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xSlRnMkpVSTNKVVUxSlRoRUpVSTB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sbFVZMDVGVjJwV1J6QTRORGMyTUNVeU1pVXpRU1UzUWlVeU1tbGtKVEl5SlROQkpUSXljbGxVWTA1RlYycFdSekE0TkRjMk1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GExbFhTMDV2VWxoaU9UQTVOakF3SlRJeUpUZEVKVEpESlRkQ0pUSXlibUZ0WlNVeU1pVXpRU1V5TWlWRk5TVTVNQ1U0UkNWRk55VkJOeVZDTUNVeU1pVXlReVV5TW5SNWNHVWxNaklsTTBFbE1qSnpkSEpwYm1jbE1qSWxNa01sTWpKMllXeDFaU1V5TWlVelFTVXlNaVV5TWlVeVF5VXlNbU5oZEdWbmIzSjVKVEl5SlROQkpUSXlaR1ZtWVhWc2RDVXlNaVV5UXlVeU1tbGtKVEl5SlROQkpUSXlkbXBhV201eVVITm5Rell6TlRVMU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E9EWWxRamNsUlRVbE9FUWxRalFsUlRVbFFURWxP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mhXRVpFVkZCS1ZFTldNVGcyTmpBNUpUSXlKVE5CSlRkQ0pUSXlhV1FsTWpJbE0wRWxNakpoV0VaRVZGQktWRU5XTVRnMk5qQTV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aE5hV2gzVjI5UWNGVTNOemN5TXpZbE1qSWxOMFFsTWtNbE4wSWxNakp1WVcxbEpUSXlKVE5CSlRJeUpVVTFKVGt3SlRoRUpVVTNKVUUzSlVJd0pUSXlKVEpESlRJeWRIbHdaU1V5TWlVelFTVXlNbk4wY21sdVp5VXlNaVV5UXlVeU1uWmhiSFZsSlRJeUpUTkJKVEl5SlRJeUpUSkRKVEl5WTJGMFpXZHZjbmtsTWpJbE0wRWxNakprWldaaGRXeDBKVEl5SlRKREpUSXlhV1FsTWpJbE0wRWxNakpKYkV0UGRFVkNTa3B3TnpRNU1EZz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RFlsUWpjbFJUVWxPRVFsUWpR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CZW5Ka1dFSjZRbGRvTURnNU5qVTVKVEl5SlROQkpUZENKVEl5YVdRbE1qSWxNMEVsTWpKQmVuSmtXRUo2UWxkb01EZzVOalU1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3REZEVGTVVWSnFUR0kwTnpVMk1Ua2xNaklsTjBRbE1rTWxOMElsTWpKdVlXMWxKVEl5SlROQkpUSXlKVVUxSlRrd0pUaEVKVVUzSlVFM0pVSXdKVEl5SlRKREpUSXlkSGx3WlNVeU1pVXpRU1V5TW5OMGNtbHVaeVV5TWlVeVF5VXlNblpoYkhWbEpUSXlKVE5CSlRJeUpUSXlKVEpESlRJeVkyRjBaV2R2Y25rbE1qSWxNMEVsTWpKa1pXWmhkV3gwSlRJeUpUSkRKVEl5YVdRbE1qSWxNMEVsTWpKNlVYQndRazV4VFU1NE9ETTJOamMx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UWpJbE9Ea2xSVFlsUWpjbE9EQWxSVFlsUWpFbFFUQ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dZV2RsSlRJeUpUTkJKVGRDSlRJeVltRmphMmR5YjNWdVpFTnZiRzl5SlRJeUpUTkJKVEl5ZEhKaGJuTndZWEpsYm5RbE1qSWxOMFFsTjBRbE4wUT0iLAoJIkZpbGVJZCIgOiAiZTkwMmY5OGUtMWYzOC00NDdhLTgwN2UtMzI3YmY2OWYwODJmIgp9Cg=="/>
    </extobj>
    <extobj name="ECB019B1-382A-4266-B25C-5B523AA43C14-2">
      <extobjdata type="ECB019B1-382A-4266-B25C-5B523AA43C14" data="ewoJIkZpbGVJZCIgOiAiMTY0MTgzNzU4ODI3IiwKCSJHcm91cElkIiA6ICIyNzY0ODIxMTIiLAoJIkltYWdlIiA6ICJpVkJPUncwS0dnb0FBQUFOU1VoRVVnQUFBdFlBQUFCL0NBWUFBQURMbklYSkFBQUFDWEJJV1hNQUFBc1RBQUFMRXdFQW1wd1lBQUFZZkVsRVFWUjRuTzNkZTNRVTVmM0g4Yy9NSmx3U2JvVURpYVVnSUpYK1NqMGxpVVg1bFFJQ2xVSVZLTFlVcEZXd0lkU2lHQlFGaXFCU29JZUw3ZUZ5Tk54T09WeEVvOXhzQkpGTHdVQWpWb2lBUWNLbDNLRWhEVW5JQmJMWjNmbjlFWForV1hJaENadHNFdCt2Y3pqSnpqdzc4eDJlWjUvOXpqUFBUQ1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"/>
    </extobj>
  </extobj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F31352-BB54-43BE-912B-FD11AC9EC642}">
  <ds:schemaRefs/>
</ds:datastoreItem>
</file>

<file path=docProps/app.xml><?xml version="1.0" encoding="utf-8"?>
<Properties xmlns="http://schemas.openxmlformats.org/officeDocument/2006/extended-properties" xmlns:vt="http://schemas.openxmlformats.org/officeDocument/2006/docPropsVTypes">
  <Template>Normal</Template>
  <Company>MS</Company>
  <Pages>96</Pages>
  <Words>11581</Words>
  <Characters>12402</Characters>
  <Lines>329</Lines>
  <Paragraphs>92</Paragraphs>
  <TotalTime>5</TotalTime>
  <ScaleCrop>false</ScaleCrop>
  <LinksUpToDate>false</LinksUpToDate>
  <CharactersWithSpaces>12464</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2021-03-26T02:30:00Z</dcterms:created>
  <dc:creator>Administrator</dc:creator>
  <cp:lastModifiedBy>Administrator</cp:lastModifiedBy>
  <cp:lastPrinted>2024-05-20T02:40:00Z</cp:lastPrinted>
  <dcterms:modified xsi:type="dcterms:W3CDTF">2026-10-22T03:38:03Z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AED36319FF6E418196C845D299EA3372_13</vt:lpwstr>
  </property>
  <property fmtid="{D5CDD505-2E9C-101B-9397-08002B2CF9AE}" pid="4" name="KSOTemplateDocerSaveRecord">
    <vt:lpwstr>eyJoZGlkIjoiMDliYTVhNDI2NTkyNjY4N2MyYzJjMTQ3MDIxMTJiNjkiLCJ1c2VySWQiOiIzMTczOTY3MzMifQ==</vt:lpwstr>
  </property>
</Properties>
</file>