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default" w:ascii="Times New Roman" w:hAnsi="Times New Roman" w:eastAsia="宋体" w:cs="Times New Roman"/>
          <w:b/>
          <w:bCs/>
          <w:kern w:val="2"/>
          <w:sz w:val="44"/>
          <w:szCs w:val="44"/>
          <w:lang w:val="en-US" w:eastAsia="zh-CN" w:bidi="ar-SA"/>
        </w:rPr>
        <w:id w:val="147456902"/>
        <w15:color w:val="DBDBDB"/>
        <w:docPartObj>
          <w:docPartGallery w:val="Table of Contents"/>
          <w:docPartUnique/>
        </w:docPartObj>
      </w:sdtPr>
      <w:sdtEndPr>
        <w:rPr>
          <w:rFonts w:hint="eastAsia" w:ascii="黑体" w:hAnsi="黑体" w:eastAsia="黑体" w:cs="Times New Roman"/>
          <w:b/>
          <w:bCs/>
          <w:snapToGrid w:val="0"/>
          <w:color w:val="auto"/>
          <w:kern w:val="0"/>
          <w:sz w:val="24"/>
          <w:szCs w:val="30"/>
          <w:highlight w:val="none"/>
          <w:lang w:val="en-US" w:eastAsia="zh-CN" w:bidi="ar-SA"/>
        </w:rPr>
      </w:sdtEndPr>
      <w:sdtContent>
        <w:p w14:paraId="3E535388">
          <w:pPr>
            <w:rPr>
              <w:rFonts w:hint="eastAsia" w:ascii="宋体" w:hAnsi="宋体" w:eastAsia="宋体" w:cs="宋体"/>
              <w:kern w:val="21"/>
              <w:sz w:val="36"/>
              <w:szCs w:val="36"/>
              <w:lang w:val="en-US" w:eastAsia="zh-CN"/>
            </w:rPr>
          </w:pPr>
        </w:p>
        <w:p w14:paraId="767376A5">
          <w:pPr>
            <w:adjustRightInd w:val="0"/>
            <w:snapToGrid w:val="0"/>
            <w:jc w:val="both"/>
            <w:outlineLvl w:val="9"/>
            <w:rPr>
              <w:rFonts w:hint="eastAsia" w:ascii="方正姚体" w:eastAsia="方正姚体"/>
              <w:bCs/>
              <w:kern w:val="21"/>
              <w:sz w:val="72"/>
              <w:szCs w:val="72"/>
            </w:rPr>
          </w:pPr>
        </w:p>
        <w:p w14:paraId="7AF051D1">
          <w:pPr>
            <w:adjustRightInd w:val="0"/>
            <w:snapToGrid w:val="0"/>
            <w:jc w:val="center"/>
            <w:outlineLvl w:val="0"/>
            <w:rPr>
              <w:rFonts w:hint="eastAsia" w:ascii="方正小标宋_GBK" w:eastAsia="方正小标宋_GBK"/>
              <w:bCs/>
              <w:kern w:val="21"/>
              <w:sz w:val="72"/>
              <w:szCs w:val="72"/>
            </w:rPr>
          </w:pPr>
          <w:bookmarkStart w:id="0" w:name="_Toc18827"/>
          <w:bookmarkStart w:id="1" w:name="_Toc7492"/>
          <w:r>
            <w:rPr>
              <w:rFonts w:hint="eastAsia" w:ascii="方正小标宋_GBK" w:eastAsia="方正小标宋_GBK"/>
              <w:bCs/>
              <w:kern w:val="21"/>
              <w:sz w:val="72"/>
              <w:szCs w:val="72"/>
            </w:rPr>
            <w:t>建设项目环境影响报告表</w:t>
          </w:r>
          <w:bookmarkEnd w:id="0"/>
          <w:bookmarkEnd w:id="1"/>
        </w:p>
        <w:p w14:paraId="0684B86B">
          <w:pPr>
            <w:adjustRightInd w:val="0"/>
            <w:snapToGrid w:val="0"/>
            <w:spacing w:before="192" w:beforeLines="80"/>
            <w:jc w:val="center"/>
            <w:rPr>
              <w:rFonts w:hint="eastAsia" w:ascii="楷体_GB2312" w:eastAsia="楷体_GB2312"/>
              <w:bCs/>
              <w:kern w:val="21"/>
              <w:sz w:val="48"/>
              <w:szCs w:val="48"/>
            </w:rPr>
          </w:pPr>
          <w:r>
            <w:rPr>
              <w:rFonts w:hint="eastAsia" w:ascii="楷体_GB2312" w:eastAsia="楷体_GB2312"/>
              <w:bCs/>
              <w:kern w:val="21"/>
              <w:sz w:val="48"/>
              <w:szCs w:val="48"/>
            </w:rPr>
            <w:t>（污染</w:t>
          </w:r>
          <w:r>
            <w:rPr>
              <w:rFonts w:hint="eastAsia" w:ascii="楷体_GB2312" w:eastAsia="楷体_GB2312"/>
              <w:bCs/>
              <w:kern w:val="21"/>
              <w:sz w:val="48"/>
              <w:szCs w:val="48"/>
              <w:lang w:eastAsia="zh-CN"/>
            </w:rPr>
            <w:t>影响</w:t>
          </w:r>
          <w:r>
            <w:rPr>
              <w:rFonts w:hint="eastAsia" w:ascii="楷体_GB2312" w:eastAsia="楷体_GB2312"/>
              <w:bCs/>
              <w:kern w:val="21"/>
              <w:sz w:val="48"/>
              <w:szCs w:val="48"/>
            </w:rPr>
            <w:t>类）</w:t>
          </w:r>
        </w:p>
        <w:p w14:paraId="22176BA9">
          <w:pPr>
            <w:pStyle w:val="11"/>
            <w:jc w:val="center"/>
            <w:rPr>
              <w:rFonts w:hint="eastAsia" w:ascii="楷体_GB2312" w:hAnsi="Times New Roman" w:eastAsia="楷体_GB2312" w:cs="Times New Roman"/>
              <w:bCs/>
              <w:kern w:val="21"/>
              <w:sz w:val="48"/>
              <w:szCs w:val="48"/>
              <w:lang w:val="en-US" w:eastAsia="zh-CN" w:bidi="ar-SA"/>
            </w:rPr>
          </w:pPr>
          <w:r>
            <w:rPr>
              <w:rFonts w:hint="eastAsia" w:ascii="楷体_GB2312" w:hAnsi="Times New Roman" w:eastAsia="楷体_GB2312" w:cs="Times New Roman"/>
              <w:bCs/>
              <w:kern w:val="21"/>
              <w:sz w:val="48"/>
              <w:szCs w:val="48"/>
              <w:lang w:val="en-US" w:eastAsia="zh-CN" w:bidi="ar-SA"/>
            </w:rPr>
            <w:t>（送审稿）</w:t>
          </w:r>
        </w:p>
        <w:p w14:paraId="4BB4A1B9">
          <w:pPr>
            <w:adjustRightInd w:val="0"/>
            <w:snapToGrid w:val="0"/>
            <w:spacing w:before="192" w:beforeLines="80"/>
            <w:jc w:val="center"/>
            <w:rPr>
              <w:rFonts w:hint="eastAsia" w:ascii="楷体" w:eastAsia="楷体"/>
              <w:bCs/>
              <w:kern w:val="21"/>
              <w:sz w:val="48"/>
              <w:szCs w:val="48"/>
            </w:rPr>
          </w:pPr>
        </w:p>
        <w:p w14:paraId="5A89127E">
          <w:pPr>
            <w:adjustRightInd w:val="0"/>
            <w:snapToGrid w:val="0"/>
            <w:spacing w:before="192" w:beforeLines="80"/>
            <w:jc w:val="center"/>
            <w:rPr>
              <w:rFonts w:hint="eastAsia" w:ascii="楷体" w:eastAsia="楷体"/>
              <w:bCs/>
              <w:kern w:val="21"/>
              <w:sz w:val="48"/>
              <w:szCs w:val="48"/>
            </w:rPr>
          </w:pPr>
        </w:p>
        <w:p w14:paraId="14852BA1">
          <w:pPr>
            <w:pStyle w:val="11"/>
            <w:rPr>
              <w:rFonts w:hint="eastAsia"/>
            </w:rPr>
          </w:pPr>
        </w:p>
        <w:p w14:paraId="07EEE949">
          <w:pPr>
            <w:pStyle w:val="11"/>
            <w:rPr>
              <w:rFonts w:eastAsia="仿宋"/>
              <w:kern w:val="21"/>
              <w:sz w:val="44"/>
              <w:szCs w:val="44"/>
            </w:rPr>
          </w:pPr>
        </w:p>
        <w:p w14:paraId="1FFBFE8E">
          <w:pPr>
            <w:pStyle w:val="16"/>
            <w:numPr>
              <w:ilvl w:val="0"/>
              <w:numId w:val="0"/>
            </w:numPr>
          </w:pPr>
        </w:p>
        <w:p w14:paraId="16B792F9">
          <w:pPr>
            <w:adjustRightInd w:val="0"/>
            <w:snapToGrid w:val="0"/>
            <w:spacing w:line="360" w:lineRule="auto"/>
            <w:ind w:left="2159" w:leftChars="171" w:hanging="1800" w:hangingChars="500"/>
            <w:rPr>
              <w:rFonts w:hint="eastAsia" w:ascii="宋体" w:hAnsi="Calibri" w:eastAsia="宋体"/>
              <w:kern w:val="21"/>
              <w:sz w:val="36"/>
              <w:szCs w:val="36"/>
              <w:u w:val="single"/>
            </w:rPr>
          </w:pPr>
          <w:r>
            <w:rPr>
              <w:rFonts w:hint="eastAsia" w:ascii="宋体" w:eastAsia="宋体"/>
              <w:kern w:val="21"/>
              <w:sz w:val="36"/>
              <w:szCs w:val="36"/>
            </w:rPr>
            <w:t>项目名称</w:t>
          </w:r>
          <w:r>
            <w:rPr>
              <w:rFonts w:hint="eastAsia" w:ascii="宋体" w:hAnsi="Calibri" w:eastAsia="宋体"/>
              <w:kern w:val="21"/>
              <w:sz w:val="36"/>
              <w:szCs w:val="36"/>
            </w:rPr>
            <w:t>：</w:t>
          </w:r>
          <w:r>
            <w:rPr>
              <w:rFonts w:hint="eastAsia" w:ascii="宋体" w:hAnsi="Calibri" w:eastAsia="宋体"/>
              <w:kern w:val="21"/>
              <w:sz w:val="36"/>
              <w:szCs w:val="36"/>
              <w:u w:val="single"/>
              <w:lang w:eastAsia="zh-CN"/>
            </w:rPr>
            <w:t>巴州启辰恒远新材料有限公司塑料制品建设项目</w:t>
          </w:r>
          <w:r>
            <w:rPr>
              <w:rFonts w:hint="eastAsia" w:ascii="宋体" w:hAnsi="Calibri" w:eastAsia="宋体"/>
              <w:kern w:val="21"/>
              <w:sz w:val="36"/>
              <w:szCs w:val="36"/>
              <w:u w:val="single"/>
            </w:rPr>
            <w:t xml:space="preserve">     </w:t>
          </w:r>
        </w:p>
        <w:p w14:paraId="47FD3792">
          <w:pPr>
            <w:adjustRightInd w:val="0"/>
            <w:snapToGrid w:val="0"/>
            <w:spacing w:line="360" w:lineRule="auto"/>
            <w:ind w:firstLine="360" w:firstLineChars="100"/>
            <w:rPr>
              <w:rFonts w:ascii="宋体" w:hAnsi="Calibri" w:eastAsia="宋体"/>
              <w:kern w:val="21"/>
              <w:sz w:val="36"/>
              <w:szCs w:val="36"/>
            </w:rPr>
          </w:pPr>
          <w:r>
            <w:rPr>
              <w:rFonts w:hint="eastAsia" w:ascii="宋体" w:hAnsi="Calibri" w:eastAsia="宋体"/>
              <w:kern w:val="21"/>
              <w:sz w:val="36"/>
              <w:szCs w:val="36"/>
            </w:rPr>
            <w:t>建设单位（盖章）：</w:t>
          </w:r>
          <w:r>
            <w:rPr>
              <w:rFonts w:hint="eastAsia" w:ascii="宋体" w:hAnsi="Calibri" w:eastAsia="宋体"/>
              <w:kern w:val="21"/>
              <w:sz w:val="36"/>
              <w:szCs w:val="36"/>
              <w:u w:val="single"/>
            </w:rPr>
            <w:t xml:space="preserve">巴州启辰恒远新材料有限公司 </w:t>
          </w:r>
        </w:p>
        <w:p w14:paraId="21252BA3">
          <w:pPr>
            <w:adjustRightInd w:val="0"/>
            <w:snapToGrid w:val="0"/>
            <w:spacing w:line="360" w:lineRule="auto"/>
            <w:ind w:firstLine="360" w:firstLineChars="100"/>
            <w:rPr>
              <w:rFonts w:hint="eastAsia" w:ascii="宋体" w:eastAsia="宋体"/>
              <w:kern w:val="21"/>
              <w:sz w:val="36"/>
              <w:szCs w:val="36"/>
              <w:u w:val="single"/>
            </w:rPr>
          </w:pPr>
          <w:r>
            <w:rPr>
              <w:rFonts w:hint="eastAsia" w:ascii="宋体" w:eastAsia="宋体"/>
              <w:kern w:val="21"/>
              <w:sz w:val="36"/>
              <w:szCs w:val="36"/>
            </w:rPr>
            <w:t>编制日期：</w:t>
          </w:r>
          <w:r>
            <w:rPr>
              <w:rFonts w:hint="eastAsia" w:ascii="宋体" w:eastAsia="宋体"/>
              <w:kern w:val="21"/>
              <w:sz w:val="36"/>
              <w:szCs w:val="36"/>
              <w:u w:val="single"/>
            </w:rPr>
            <w:t xml:space="preserve"> </w:t>
          </w:r>
          <w:r>
            <w:rPr>
              <w:rFonts w:ascii="宋体" w:eastAsia="宋体"/>
              <w:kern w:val="21"/>
              <w:sz w:val="36"/>
              <w:szCs w:val="36"/>
              <w:u w:val="single"/>
            </w:rPr>
            <w:t xml:space="preserve">   </w:t>
          </w:r>
          <w:r>
            <w:rPr>
              <w:rFonts w:hint="eastAsia" w:ascii="宋体" w:eastAsia="宋体"/>
              <w:kern w:val="21"/>
              <w:sz w:val="36"/>
              <w:szCs w:val="36"/>
              <w:u w:val="single"/>
              <w:lang w:val="en-US" w:eastAsia="zh-CN"/>
            </w:rPr>
            <w:t xml:space="preserve">  </w:t>
          </w:r>
          <w:r>
            <w:rPr>
              <w:rFonts w:hint="eastAsia" w:ascii="宋体" w:eastAsia="宋体"/>
              <w:kern w:val="21"/>
              <w:sz w:val="36"/>
              <w:szCs w:val="36"/>
              <w:u w:val="single"/>
            </w:rPr>
            <w:t xml:space="preserve"> </w:t>
          </w:r>
          <w:r>
            <w:rPr>
              <w:rFonts w:hint="eastAsia" w:ascii="宋体" w:eastAsia="宋体"/>
              <w:kern w:val="21"/>
              <w:sz w:val="36"/>
              <w:szCs w:val="36"/>
              <w:u w:val="single"/>
              <w:lang w:val="en-US" w:eastAsia="zh-CN"/>
            </w:rPr>
            <w:t xml:space="preserve">    </w:t>
          </w:r>
          <w:r>
            <w:rPr>
              <w:rFonts w:hint="eastAsia" w:ascii="宋体" w:eastAsia="宋体"/>
              <w:kern w:val="21"/>
              <w:sz w:val="36"/>
              <w:szCs w:val="36"/>
              <w:u w:val="single"/>
            </w:rPr>
            <w:t>二〇二</w:t>
          </w:r>
          <w:r>
            <w:rPr>
              <w:rFonts w:hint="eastAsia" w:ascii="宋体" w:eastAsia="宋体"/>
              <w:kern w:val="21"/>
              <w:sz w:val="36"/>
              <w:szCs w:val="36"/>
              <w:u w:val="single"/>
              <w:lang w:eastAsia="zh-CN"/>
            </w:rPr>
            <w:t>六</w:t>
          </w:r>
          <w:r>
            <w:rPr>
              <w:rFonts w:hint="eastAsia" w:ascii="宋体" w:eastAsia="宋体"/>
              <w:kern w:val="21"/>
              <w:sz w:val="36"/>
              <w:szCs w:val="36"/>
              <w:u w:val="single"/>
            </w:rPr>
            <w:t>年</w:t>
          </w:r>
          <w:r>
            <w:rPr>
              <w:rFonts w:hint="eastAsia" w:ascii="宋体"/>
              <w:kern w:val="21"/>
              <w:sz w:val="36"/>
              <w:szCs w:val="36"/>
              <w:u w:val="single"/>
              <w:lang w:val="en-US" w:eastAsia="zh-CN"/>
            </w:rPr>
            <w:t>九</w:t>
          </w:r>
          <w:r>
            <w:rPr>
              <w:rFonts w:hint="eastAsia" w:ascii="宋体" w:eastAsia="宋体"/>
              <w:kern w:val="21"/>
              <w:sz w:val="36"/>
              <w:szCs w:val="36"/>
              <w:u w:val="single"/>
            </w:rPr>
            <w:t>月</w:t>
          </w:r>
          <w:r>
            <w:rPr>
              <w:rFonts w:hint="eastAsia" w:ascii="宋体" w:eastAsia="宋体"/>
              <w:kern w:val="21"/>
              <w:sz w:val="36"/>
              <w:szCs w:val="36"/>
              <w:u w:val="single"/>
              <w:lang w:val="en-US" w:eastAsia="zh-CN"/>
            </w:rPr>
            <w:t xml:space="preserve">             </w:t>
          </w:r>
          <w:r>
            <w:rPr>
              <w:rFonts w:hint="eastAsia" w:ascii="宋体" w:eastAsia="宋体"/>
              <w:kern w:val="21"/>
              <w:sz w:val="36"/>
              <w:szCs w:val="36"/>
              <w:u w:val="none"/>
              <w:lang w:val="en-US" w:eastAsia="zh-CN"/>
            </w:rPr>
            <w:t xml:space="preserve">  </w:t>
          </w:r>
          <w:r>
            <w:rPr>
              <w:rFonts w:ascii="宋体" w:eastAsia="宋体"/>
              <w:kern w:val="21"/>
              <w:sz w:val="36"/>
              <w:szCs w:val="36"/>
              <w:u w:val="none"/>
            </w:rPr>
            <w:t xml:space="preserve">     </w:t>
          </w:r>
          <w:r>
            <w:rPr>
              <w:rFonts w:hint="eastAsia" w:ascii="宋体" w:eastAsia="宋体"/>
              <w:kern w:val="21"/>
              <w:sz w:val="36"/>
              <w:szCs w:val="36"/>
              <w:u w:val="none"/>
            </w:rPr>
            <w:t xml:space="preserve">     </w:t>
          </w:r>
          <w:r>
            <w:rPr>
              <w:rFonts w:ascii="宋体" w:eastAsia="宋体"/>
              <w:kern w:val="21"/>
              <w:sz w:val="36"/>
              <w:szCs w:val="36"/>
              <w:u w:val="single"/>
            </w:rPr>
            <w:t xml:space="preserve">    </w:t>
          </w:r>
        </w:p>
        <w:p w14:paraId="67735DB8">
          <w:pPr>
            <w:adjustRightInd w:val="0"/>
            <w:snapToGrid w:val="0"/>
            <w:spacing w:line="288" w:lineRule="auto"/>
            <w:ind w:firstLine="1040"/>
            <w:rPr>
              <w:rFonts w:ascii="宋体" w:eastAsia="宋体"/>
              <w:kern w:val="21"/>
              <w:sz w:val="36"/>
              <w:szCs w:val="36"/>
              <w:u w:val="single"/>
            </w:rPr>
          </w:pPr>
          <w:bookmarkStart w:id="2" w:name="_Hlk57884087"/>
        </w:p>
        <w:p w14:paraId="5B1B44EB">
          <w:pPr>
            <w:pStyle w:val="11"/>
            <w:rPr>
              <w:rFonts w:hint="eastAsia" w:ascii="宋体" w:eastAsia="宋体"/>
              <w:kern w:val="21"/>
              <w:sz w:val="36"/>
              <w:szCs w:val="36"/>
              <w:u w:val="single"/>
            </w:rPr>
          </w:pPr>
        </w:p>
        <w:p w14:paraId="38AA2333">
          <w:pPr>
            <w:pStyle w:val="12"/>
            <w:rPr>
              <w:rFonts w:hint="eastAsia"/>
            </w:rPr>
          </w:pPr>
        </w:p>
        <w:p w14:paraId="4FAD12BA">
          <w:pPr>
            <w:rPr>
              <w:rFonts w:hint="eastAsia"/>
            </w:rPr>
          </w:pPr>
        </w:p>
        <w:p w14:paraId="1574B394">
          <w:pPr>
            <w:adjustRightInd w:val="0"/>
            <w:snapToGrid w:val="0"/>
            <w:spacing w:line="288" w:lineRule="auto"/>
            <w:ind w:firstLine="1040"/>
            <w:rPr>
              <w:rFonts w:ascii="宋体" w:eastAsia="宋体"/>
              <w:kern w:val="21"/>
              <w:sz w:val="36"/>
              <w:szCs w:val="36"/>
            </w:rPr>
          </w:pPr>
        </w:p>
        <w:bookmarkEnd w:id="2"/>
        <w:p w14:paraId="5C750A04">
          <w:pPr>
            <w:adjustRightInd w:val="0"/>
            <w:snapToGrid w:val="0"/>
            <w:spacing w:line="288" w:lineRule="auto"/>
            <w:jc w:val="center"/>
            <w:rPr>
              <w:rFonts w:hint="default" w:ascii="Times New Roman" w:hAnsi="Times New Roman" w:eastAsia="宋体" w:cs="Times New Roman"/>
              <w:b/>
              <w:bCs/>
              <w:sz w:val="44"/>
              <w:szCs w:val="44"/>
            </w:rPr>
          </w:pPr>
          <w:r>
            <w:rPr>
              <w:rFonts w:eastAsia="楷体"/>
              <w:sz w:val="36"/>
              <w:szCs w:val="36"/>
            </w:rPr>
            <w:t>中华人民共和国生态环境部制</w:t>
          </w:r>
        </w:p>
        <w:p w14:paraId="74C78725">
          <w:pPr>
            <w:keepNext w:val="0"/>
            <w:keepLines w:val="0"/>
            <w:pageBreakBefore w:val="0"/>
            <w:widowControl w:val="0"/>
            <w:kinsoku/>
            <w:wordWrap/>
            <w:overflowPunct/>
            <w:topLinePunct w:val="0"/>
            <w:autoSpaceDE/>
            <w:autoSpaceDN/>
            <w:bidi w:val="0"/>
            <w:adjustRightInd/>
            <w:snapToGrid/>
            <w:spacing w:before="0" w:beforeAutospacing="0" w:after="157" w:afterLines="50" w:afterAutospacing="0" w:line="480" w:lineRule="auto"/>
            <w:ind w:left="0" w:leftChars="0" w:right="0" w:rightChars="0" w:firstLine="0" w:firstLineChars="0"/>
            <w:jc w:val="center"/>
            <w:textAlignment w:val="auto"/>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t>目录</w:t>
          </w:r>
        </w:p>
        <w:p w14:paraId="61705EB6">
          <w:pPr>
            <w:pStyle w:val="7"/>
            <w:keepNext w:val="0"/>
            <w:keepLines w:val="0"/>
            <w:pageBreakBefore w:val="0"/>
            <w:tabs>
              <w:tab w:val="right" w:leader="dot" w:pos="8844"/>
              <w:tab w:val="clear" w:pos="5760"/>
            </w:tabs>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eastAsia="宋体" w:cs="Times New Roman"/>
              <w:b/>
              <w:bCs/>
              <w:sz w:val="28"/>
              <w:szCs w:val="28"/>
            </w:rPr>
          </w:pPr>
          <w:r>
            <w:rPr>
              <w:rFonts w:hint="default" w:ascii="Times New Roman" w:hAnsi="Times New Roman" w:eastAsia="宋体" w:cs="Times New Roman"/>
              <w:b/>
              <w:bCs/>
              <w:snapToGrid w:val="0"/>
              <w:color w:val="auto"/>
              <w:sz w:val="28"/>
              <w:szCs w:val="28"/>
              <w:highlight w:val="none"/>
            </w:rPr>
            <w:fldChar w:fldCharType="begin"/>
          </w:r>
          <w:r>
            <w:rPr>
              <w:rFonts w:hint="default" w:ascii="Times New Roman" w:hAnsi="Times New Roman" w:eastAsia="宋体" w:cs="Times New Roman"/>
              <w:b/>
              <w:bCs/>
              <w:snapToGrid w:val="0"/>
              <w:color w:val="auto"/>
              <w:sz w:val="28"/>
              <w:szCs w:val="28"/>
              <w:highlight w:val="none"/>
            </w:rPr>
            <w:instrText xml:space="preserve">TOC \o "1-1" \h \u </w:instrText>
          </w:r>
          <w:r>
            <w:rPr>
              <w:rFonts w:hint="default" w:ascii="Times New Roman" w:hAnsi="Times New Roman" w:eastAsia="宋体" w:cs="Times New Roman"/>
              <w:b/>
              <w:bCs/>
              <w:snapToGrid w:val="0"/>
              <w:color w:val="auto"/>
              <w:sz w:val="28"/>
              <w:szCs w:val="28"/>
              <w:highlight w:val="none"/>
            </w:rPr>
            <w:fldChar w:fldCharType="separate"/>
          </w:r>
          <w:r>
            <w:rPr>
              <w:rFonts w:hint="default" w:ascii="Times New Roman" w:hAnsi="Times New Roman" w:eastAsia="宋体" w:cs="Times New Roman"/>
              <w:b/>
              <w:bCs/>
              <w:snapToGrid w:val="0"/>
              <w:color w:val="auto"/>
              <w:sz w:val="28"/>
              <w:szCs w:val="28"/>
              <w:highlight w:val="none"/>
            </w:rPr>
            <w:fldChar w:fldCharType="begin"/>
          </w:r>
          <w:r>
            <w:rPr>
              <w:rFonts w:hint="default" w:ascii="Times New Roman" w:hAnsi="Times New Roman" w:eastAsia="宋体" w:cs="Times New Roman"/>
              <w:b/>
              <w:bCs/>
              <w:snapToGrid w:val="0"/>
              <w:sz w:val="28"/>
              <w:szCs w:val="28"/>
              <w:highlight w:val="none"/>
            </w:rPr>
            <w:instrText xml:space="preserve"> HYPERLINK \l _Toc16937 </w:instrText>
          </w:r>
          <w:r>
            <w:rPr>
              <w:rFonts w:hint="default" w:ascii="Times New Roman" w:hAnsi="Times New Roman" w:eastAsia="宋体" w:cs="Times New Roman"/>
              <w:b/>
              <w:bCs/>
              <w:snapToGrid w:val="0"/>
              <w:sz w:val="28"/>
              <w:szCs w:val="28"/>
              <w:highlight w:val="none"/>
            </w:rPr>
            <w:fldChar w:fldCharType="separate"/>
          </w:r>
          <w:r>
            <w:rPr>
              <w:rFonts w:hint="default" w:ascii="Times New Roman" w:hAnsi="Times New Roman" w:eastAsia="宋体" w:cs="Times New Roman"/>
              <w:b/>
              <w:bCs/>
              <w:snapToGrid w:val="0"/>
              <w:sz w:val="28"/>
              <w:szCs w:val="28"/>
              <w:highlight w:val="none"/>
            </w:rPr>
            <w:t>一、建设项目基本情况</w:t>
          </w:r>
          <w:r>
            <w:rPr>
              <w:rFonts w:hint="default" w:ascii="Times New Roman" w:hAnsi="Times New Roman" w:eastAsia="宋体" w:cs="Times New Roman"/>
              <w:b/>
              <w:bCs/>
              <w:sz w:val="28"/>
              <w:szCs w:val="28"/>
            </w:rPr>
            <w:tab/>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PAGEREF _Toc16937 \h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1</w:t>
          </w:r>
          <w:r>
            <w:rPr>
              <w:rFonts w:hint="default" w:ascii="Times New Roman" w:hAnsi="Times New Roman" w:eastAsia="宋体" w:cs="Times New Roman"/>
              <w:b/>
              <w:bCs/>
              <w:sz w:val="28"/>
              <w:szCs w:val="28"/>
            </w:rPr>
            <w:fldChar w:fldCharType="end"/>
          </w:r>
          <w:r>
            <w:rPr>
              <w:rFonts w:hint="default" w:ascii="Times New Roman" w:hAnsi="Times New Roman" w:eastAsia="宋体" w:cs="Times New Roman"/>
              <w:b/>
              <w:bCs/>
              <w:snapToGrid w:val="0"/>
              <w:color w:val="auto"/>
              <w:sz w:val="28"/>
              <w:szCs w:val="28"/>
              <w:highlight w:val="none"/>
            </w:rPr>
            <w:fldChar w:fldCharType="end"/>
          </w:r>
        </w:p>
        <w:p w14:paraId="12F295C8">
          <w:pPr>
            <w:pStyle w:val="7"/>
            <w:keepNext w:val="0"/>
            <w:keepLines w:val="0"/>
            <w:pageBreakBefore w:val="0"/>
            <w:tabs>
              <w:tab w:val="right" w:leader="dot" w:pos="8844"/>
              <w:tab w:val="clear" w:pos="5760"/>
            </w:tabs>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eastAsia="宋体" w:cs="Times New Roman"/>
              <w:b/>
              <w:bCs/>
              <w:sz w:val="28"/>
              <w:szCs w:val="28"/>
            </w:rPr>
          </w:pPr>
          <w:r>
            <w:rPr>
              <w:rFonts w:hint="default" w:ascii="Times New Roman" w:hAnsi="Times New Roman" w:eastAsia="宋体" w:cs="Times New Roman"/>
              <w:b/>
              <w:bCs/>
              <w:snapToGrid w:val="0"/>
              <w:color w:val="auto"/>
              <w:sz w:val="28"/>
              <w:szCs w:val="28"/>
              <w:highlight w:val="none"/>
            </w:rPr>
            <w:fldChar w:fldCharType="begin"/>
          </w:r>
          <w:r>
            <w:rPr>
              <w:rFonts w:hint="default" w:ascii="Times New Roman" w:hAnsi="Times New Roman" w:eastAsia="宋体" w:cs="Times New Roman"/>
              <w:b/>
              <w:bCs/>
              <w:snapToGrid w:val="0"/>
              <w:sz w:val="28"/>
              <w:szCs w:val="28"/>
              <w:highlight w:val="none"/>
            </w:rPr>
            <w:instrText xml:space="preserve"> HYPERLINK \l _Toc29983 </w:instrText>
          </w:r>
          <w:r>
            <w:rPr>
              <w:rFonts w:hint="default" w:ascii="Times New Roman" w:hAnsi="Times New Roman" w:eastAsia="宋体" w:cs="Times New Roman"/>
              <w:b/>
              <w:bCs/>
              <w:snapToGrid w:val="0"/>
              <w:sz w:val="28"/>
              <w:szCs w:val="28"/>
              <w:highlight w:val="none"/>
            </w:rPr>
            <w:fldChar w:fldCharType="separate"/>
          </w:r>
          <w:r>
            <w:rPr>
              <w:rFonts w:hint="default" w:ascii="Times New Roman" w:hAnsi="Times New Roman" w:eastAsia="宋体" w:cs="Times New Roman"/>
              <w:b/>
              <w:bCs/>
              <w:snapToGrid w:val="0"/>
              <w:sz w:val="28"/>
              <w:szCs w:val="28"/>
              <w:highlight w:val="none"/>
            </w:rPr>
            <w:t>二、建设项目工程分析</w:t>
          </w:r>
          <w:r>
            <w:rPr>
              <w:rFonts w:hint="default" w:ascii="Times New Roman" w:hAnsi="Times New Roman" w:eastAsia="宋体" w:cs="Times New Roman"/>
              <w:b/>
              <w:bCs/>
              <w:sz w:val="28"/>
              <w:szCs w:val="28"/>
            </w:rPr>
            <w:tab/>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PAGEREF _Toc29983 \h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16</w:t>
          </w:r>
          <w:r>
            <w:rPr>
              <w:rFonts w:hint="default" w:ascii="Times New Roman" w:hAnsi="Times New Roman" w:eastAsia="宋体" w:cs="Times New Roman"/>
              <w:b/>
              <w:bCs/>
              <w:sz w:val="28"/>
              <w:szCs w:val="28"/>
            </w:rPr>
            <w:fldChar w:fldCharType="end"/>
          </w:r>
          <w:r>
            <w:rPr>
              <w:rFonts w:hint="default" w:ascii="Times New Roman" w:hAnsi="Times New Roman" w:eastAsia="宋体" w:cs="Times New Roman"/>
              <w:b/>
              <w:bCs/>
              <w:snapToGrid w:val="0"/>
              <w:color w:val="auto"/>
              <w:sz w:val="28"/>
              <w:szCs w:val="28"/>
              <w:highlight w:val="none"/>
            </w:rPr>
            <w:fldChar w:fldCharType="end"/>
          </w:r>
        </w:p>
        <w:p w14:paraId="1B94255D">
          <w:pPr>
            <w:pStyle w:val="7"/>
            <w:keepNext w:val="0"/>
            <w:keepLines w:val="0"/>
            <w:pageBreakBefore w:val="0"/>
            <w:tabs>
              <w:tab w:val="right" w:leader="dot" w:pos="8844"/>
              <w:tab w:val="clear" w:pos="5760"/>
            </w:tabs>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eastAsia="宋体" w:cs="Times New Roman"/>
              <w:b/>
              <w:bCs/>
              <w:sz w:val="28"/>
              <w:szCs w:val="28"/>
            </w:rPr>
          </w:pPr>
          <w:r>
            <w:rPr>
              <w:rFonts w:hint="default" w:ascii="Times New Roman" w:hAnsi="Times New Roman" w:eastAsia="宋体" w:cs="Times New Roman"/>
              <w:b/>
              <w:bCs/>
              <w:snapToGrid w:val="0"/>
              <w:color w:val="auto"/>
              <w:sz w:val="28"/>
              <w:szCs w:val="28"/>
              <w:highlight w:val="none"/>
            </w:rPr>
            <w:fldChar w:fldCharType="begin"/>
          </w:r>
          <w:r>
            <w:rPr>
              <w:rFonts w:hint="default" w:ascii="Times New Roman" w:hAnsi="Times New Roman" w:eastAsia="宋体" w:cs="Times New Roman"/>
              <w:b/>
              <w:bCs/>
              <w:snapToGrid w:val="0"/>
              <w:sz w:val="28"/>
              <w:szCs w:val="28"/>
              <w:highlight w:val="none"/>
            </w:rPr>
            <w:instrText xml:space="preserve"> HYPERLINK \l _Toc13746 </w:instrText>
          </w:r>
          <w:r>
            <w:rPr>
              <w:rFonts w:hint="default" w:ascii="Times New Roman" w:hAnsi="Times New Roman" w:eastAsia="宋体" w:cs="Times New Roman"/>
              <w:b/>
              <w:bCs/>
              <w:snapToGrid w:val="0"/>
              <w:sz w:val="28"/>
              <w:szCs w:val="28"/>
              <w:highlight w:val="none"/>
            </w:rPr>
            <w:fldChar w:fldCharType="separate"/>
          </w:r>
          <w:r>
            <w:rPr>
              <w:rFonts w:hint="default" w:ascii="Times New Roman" w:hAnsi="Times New Roman" w:eastAsia="宋体" w:cs="Times New Roman"/>
              <w:b/>
              <w:bCs/>
              <w:snapToGrid w:val="0"/>
              <w:sz w:val="28"/>
              <w:szCs w:val="28"/>
              <w:highlight w:val="none"/>
            </w:rPr>
            <w:t>三、区域环境质量现状、环境保护目标及评价标准</w:t>
          </w:r>
          <w:r>
            <w:rPr>
              <w:rFonts w:hint="default" w:ascii="Times New Roman" w:hAnsi="Times New Roman" w:eastAsia="宋体" w:cs="Times New Roman"/>
              <w:b/>
              <w:bCs/>
              <w:sz w:val="28"/>
              <w:szCs w:val="28"/>
            </w:rPr>
            <w:tab/>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PAGEREF _Toc13746 \h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28</w:t>
          </w:r>
          <w:r>
            <w:rPr>
              <w:rFonts w:hint="default" w:ascii="Times New Roman" w:hAnsi="Times New Roman" w:eastAsia="宋体" w:cs="Times New Roman"/>
              <w:b/>
              <w:bCs/>
              <w:sz w:val="28"/>
              <w:szCs w:val="28"/>
            </w:rPr>
            <w:fldChar w:fldCharType="end"/>
          </w:r>
          <w:r>
            <w:rPr>
              <w:rFonts w:hint="default" w:ascii="Times New Roman" w:hAnsi="Times New Roman" w:eastAsia="宋体" w:cs="Times New Roman"/>
              <w:b/>
              <w:bCs/>
              <w:snapToGrid w:val="0"/>
              <w:color w:val="auto"/>
              <w:sz w:val="28"/>
              <w:szCs w:val="28"/>
              <w:highlight w:val="none"/>
            </w:rPr>
            <w:fldChar w:fldCharType="end"/>
          </w:r>
        </w:p>
        <w:p w14:paraId="74A63430">
          <w:pPr>
            <w:pStyle w:val="7"/>
            <w:keepNext w:val="0"/>
            <w:keepLines w:val="0"/>
            <w:pageBreakBefore w:val="0"/>
            <w:tabs>
              <w:tab w:val="right" w:leader="dot" w:pos="8844"/>
              <w:tab w:val="clear" w:pos="5760"/>
            </w:tabs>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eastAsia="宋体" w:cs="Times New Roman"/>
              <w:b/>
              <w:bCs/>
              <w:sz w:val="28"/>
              <w:szCs w:val="28"/>
            </w:rPr>
          </w:pPr>
          <w:r>
            <w:rPr>
              <w:rFonts w:hint="default" w:ascii="Times New Roman" w:hAnsi="Times New Roman" w:eastAsia="宋体" w:cs="Times New Roman"/>
              <w:b/>
              <w:bCs/>
              <w:snapToGrid w:val="0"/>
              <w:color w:val="auto"/>
              <w:sz w:val="28"/>
              <w:szCs w:val="28"/>
              <w:highlight w:val="none"/>
            </w:rPr>
            <w:fldChar w:fldCharType="begin"/>
          </w:r>
          <w:r>
            <w:rPr>
              <w:rFonts w:hint="default" w:ascii="Times New Roman" w:hAnsi="Times New Roman" w:eastAsia="宋体" w:cs="Times New Roman"/>
              <w:b/>
              <w:bCs/>
              <w:snapToGrid w:val="0"/>
              <w:sz w:val="28"/>
              <w:szCs w:val="28"/>
              <w:highlight w:val="none"/>
            </w:rPr>
            <w:instrText xml:space="preserve"> HYPERLINK \l _Toc25631 </w:instrText>
          </w:r>
          <w:r>
            <w:rPr>
              <w:rFonts w:hint="default" w:ascii="Times New Roman" w:hAnsi="Times New Roman" w:eastAsia="宋体" w:cs="Times New Roman"/>
              <w:b/>
              <w:bCs/>
              <w:snapToGrid w:val="0"/>
              <w:sz w:val="28"/>
              <w:szCs w:val="28"/>
              <w:highlight w:val="none"/>
            </w:rPr>
            <w:fldChar w:fldCharType="separate"/>
          </w:r>
          <w:r>
            <w:rPr>
              <w:rFonts w:hint="default" w:ascii="Times New Roman" w:hAnsi="Times New Roman" w:eastAsia="宋体" w:cs="Times New Roman"/>
              <w:b/>
              <w:bCs/>
              <w:snapToGrid w:val="0"/>
              <w:sz w:val="28"/>
              <w:szCs w:val="28"/>
              <w:highlight w:val="none"/>
            </w:rPr>
            <w:t>四、主要环境影响和保护措施</w:t>
          </w:r>
          <w:r>
            <w:rPr>
              <w:rFonts w:hint="default" w:ascii="Times New Roman" w:hAnsi="Times New Roman" w:eastAsia="宋体" w:cs="Times New Roman"/>
              <w:b/>
              <w:bCs/>
              <w:sz w:val="28"/>
              <w:szCs w:val="28"/>
            </w:rPr>
            <w:tab/>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PAGEREF _Toc25631 \h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34</w:t>
          </w:r>
          <w:r>
            <w:rPr>
              <w:rFonts w:hint="default" w:ascii="Times New Roman" w:hAnsi="Times New Roman" w:eastAsia="宋体" w:cs="Times New Roman"/>
              <w:b/>
              <w:bCs/>
              <w:sz w:val="28"/>
              <w:szCs w:val="28"/>
            </w:rPr>
            <w:fldChar w:fldCharType="end"/>
          </w:r>
          <w:r>
            <w:rPr>
              <w:rFonts w:hint="default" w:ascii="Times New Roman" w:hAnsi="Times New Roman" w:eastAsia="宋体" w:cs="Times New Roman"/>
              <w:b/>
              <w:bCs/>
              <w:snapToGrid w:val="0"/>
              <w:color w:val="auto"/>
              <w:sz w:val="28"/>
              <w:szCs w:val="28"/>
              <w:highlight w:val="none"/>
            </w:rPr>
            <w:fldChar w:fldCharType="end"/>
          </w:r>
        </w:p>
        <w:p w14:paraId="34D994DE">
          <w:pPr>
            <w:pStyle w:val="7"/>
            <w:keepNext w:val="0"/>
            <w:keepLines w:val="0"/>
            <w:pageBreakBefore w:val="0"/>
            <w:tabs>
              <w:tab w:val="right" w:leader="dot" w:pos="8844"/>
              <w:tab w:val="clear" w:pos="5760"/>
            </w:tabs>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eastAsia="宋体" w:cs="Times New Roman"/>
              <w:b/>
              <w:bCs/>
              <w:sz w:val="28"/>
              <w:szCs w:val="28"/>
            </w:rPr>
          </w:pPr>
          <w:r>
            <w:rPr>
              <w:rFonts w:hint="default" w:ascii="Times New Roman" w:hAnsi="Times New Roman" w:eastAsia="宋体" w:cs="Times New Roman"/>
              <w:b/>
              <w:bCs/>
              <w:snapToGrid w:val="0"/>
              <w:color w:val="auto"/>
              <w:sz w:val="28"/>
              <w:szCs w:val="28"/>
              <w:highlight w:val="none"/>
            </w:rPr>
            <w:fldChar w:fldCharType="begin"/>
          </w:r>
          <w:r>
            <w:rPr>
              <w:rFonts w:hint="default" w:ascii="Times New Roman" w:hAnsi="Times New Roman" w:eastAsia="宋体" w:cs="Times New Roman"/>
              <w:b/>
              <w:bCs/>
              <w:snapToGrid w:val="0"/>
              <w:sz w:val="28"/>
              <w:szCs w:val="28"/>
              <w:highlight w:val="none"/>
            </w:rPr>
            <w:instrText xml:space="preserve"> HYPERLINK \l _Toc13002 </w:instrText>
          </w:r>
          <w:r>
            <w:rPr>
              <w:rFonts w:hint="default" w:ascii="Times New Roman" w:hAnsi="Times New Roman" w:eastAsia="宋体" w:cs="Times New Roman"/>
              <w:b/>
              <w:bCs/>
              <w:snapToGrid w:val="0"/>
              <w:sz w:val="28"/>
              <w:szCs w:val="28"/>
              <w:highlight w:val="none"/>
            </w:rPr>
            <w:fldChar w:fldCharType="separate"/>
          </w:r>
          <w:r>
            <w:rPr>
              <w:rFonts w:hint="default" w:ascii="Times New Roman" w:hAnsi="Times New Roman" w:eastAsia="宋体" w:cs="Times New Roman"/>
              <w:b/>
              <w:bCs/>
              <w:snapToGrid w:val="0"/>
              <w:sz w:val="28"/>
              <w:szCs w:val="28"/>
              <w:highlight w:val="none"/>
            </w:rPr>
            <w:t>五、环境保护措施监督检查清单</w:t>
          </w:r>
          <w:r>
            <w:rPr>
              <w:rFonts w:hint="default" w:ascii="Times New Roman" w:hAnsi="Times New Roman" w:eastAsia="宋体" w:cs="Times New Roman"/>
              <w:b/>
              <w:bCs/>
              <w:sz w:val="28"/>
              <w:szCs w:val="28"/>
            </w:rPr>
            <w:tab/>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PAGEREF _Toc13002 \h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60</w:t>
          </w:r>
          <w:r>
            <w:rPr>
              <w:rFonts w:hint="default" w:ascii="Times New Roman" w:hAnsi="Times New Roman" w:eastAsia="宋体" w:cs="Times New Roman"/>
              <w:b/>
              <w:bCs/>
              <w:sz w:val="28"/>
              <w:szCs w:val="28"/>
            </w:rPr>
            <w:fldChar w:fldCharType="end"/>
          </w:r>
          <w:r>
            <w:rPr>
              <w:rFonts w:hint="default" w:ascii="Times New Roman" w:hAnsi="Times New Roman" w:eastAsia="宋体" w:cs="Times New Roman"/>
              <w:b/>
              <w:bCs/>
              <w:snapToGrid w:val="0"/>
              <w:color w:val="auto"/>
              <w:sz w:val="28"/>
              <w:szCs w:val="28"/>
              <w:highlight w:val="none"/>
            </w:rPr>
            <w:fldChar w:fldCharType="end"/>
          </w:r>
        </w:p>
        <w:p w14:paraId="3E49D3E3">
          <w:pPr>
            <w:pStyle w:val="7"/>
            <w:keepNext w:val="0"/>
            <w:keepLines w:val="0"/>
            <w:pageBreakBefore w:val="0"/>
            <w:tabs>
              <w:tab w:val="right" w:leader="dot" w:pos="8844"/>
              <w:tab w:val="clear" w:pos="5760"/>
            </w:tabs>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eastAsia="宋体" w:cs="Times New Roman"/>
              <w:b/>
              <w:bCs/>
              <w:sz w:val="28"/>
              <w:szCs w:val="28"/>
            </w:rPr>
          </w:pPr>
          <w:r>
            <w:rPr>
              <w:rFonts w:hint="default" w:ascii="Times New Roman" w:hAnsi="Times New Roman" w:eastAsia="宋体" w:cs="Times New Roman"/>
              <w:b/>
              <w:bCs/>
              <w:snapToGrid w:val="0"/>
              <w:color w:val="auto"/>
              <w:sz w:val="28"/>
              <w:szCs w:val="28"/>
              <w:highlight w:val="none"/>
            </w:rPr>
            <w:fldChar w:fldCharType="begin"/>
          </w:r>
          <w:r>
            <w:rPr>
              <w:rFonts w:hint="default" w:ascii="Times New Roman" w:hAnsi="Times New Roman" w:eastAsia="宋体" w:cs="Times New Roman"/>
              <w:b/>
              <w:bCs/>
              <w:snapToGrid w:val="0"/>
              <w:sz w:val="28"/>
              <w:szCs w:val="28"/>
              <w:highlight w:val="none"/>
            </w:rPr>
            <w:instrText xml:space="preserve"> HYPERLINK \l _Toc13929 </w:instrText>
          </w:r>
          <w:r>
            <w:rPr>
              <w:rFonts w:hint="default" w:ascii="Times New Roman" w:hAnsi="Times New Roman" w:eastAsia="宋体" w:cs="Times New Roman"/>
              <w:b/>
              <w:bCs/>
              <w:snapToGrid w:val="0"/>
              <w:sz w:val="28"/>
              <w:szCs w:val="28"/>
              <w:highlight w:val="none"/>
            </w:rPr>
            <w:fldChar w:fldCharType="separate"/>
          </w:r>
          <w:r>
            <w:rPr>
              <w:rFonts w:hint="default" w:ascii="Times New Roman" w:hAnsi="Times New Roman" w:eastAsia="宋体" w:cs="Times New Roman"/>
              <w:b/>
              <w:bCs/>
              <w:snapToGrid w:val="0"/>
              <w:sz w:val="28"/>
              <w:szCs w:val="28"/>
              <w:highlight w:val="none"/>
            </w:rPr>
            <w:t>六、结论</w:t>
          </w:r>
          <w:r>
            <w:rPr>
              <w:rFonts w:hint="default" w:ascii="Times New Roman" w:hAnsi="Times New Roman" w:eastAsia="宋体" w:cs="Times New Roman"/>
              <w:b/>
              <w:bCs/>
              <w:sz w:val="28"/>
              <w:szCs w:val="28"/>
            </w:rPr>
            <w:tab/>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PAGEREF _Toc13929 \h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64</w:t>
          </w:r>
          <w:r>
            <w:rPr>
              <w:rFonts w:hint="default" w:ascii="Times New Roman" w:hAnsi="Times New Roman" w:eastAsia="宋体" w:cs="Times New Roman"/>
              <w:b/>
              <w:bCs/>
              <w:sz w:val="28"/>
              <w:szCs w:val="28"/>
            </w:rPr>
            <w:fldChar w:fldCharType="end"/>
          </w:r>
          <w:r>
            <w:rPr>
              <w:rFonts w:hint="default" w:ascii="Times New Roman" w:hAnsi="Times New Roman" w:eastAsia="宋体" w:cs="Times New Roman"/>
              <w:b/>
              <w:bCs/>
              <w:snapToGrid w:val="0"/>
              <w:color w:val="auto"/>
              <w:sz w:val="28"/>
              <w:szCs w:val="28"/>
              <w:highlight w:val="none"/>
            </w:rPr>
            <w:fldChar w:fldCharType="end"/>
          </w:r>
        </w:p>
        <w:p w14:paraId="2C541C91">
          <w:pPr>
            <w:pStyle w:val="7"/>
            <w:keepNext w:val="0"/>
            <w:keepLines w:val="0"/>
            <w:pageBreakBefore w:val="0"/>
            <w:tabs>
              <w:tab w:val="right" w:leader="dot" w:pos="8844"/>
              <w:tab w:val="clear" w:pos="5760"/>
            </w:tabs>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eastAsia="宋体" w:cs="Times New Roman"/>
              <w:b/>
              <w:bCs/>
              <w:sz w:val="28"/>
              <w:szCs w:val="28"/>
            </w:rPr>
          </w:pPr>
          <w:r>
            <w:rPr>
              <w:rFonts w:hint="default" w:ascii="Times New Roman" w:hAnsi="Times New Roman" w:eastAsia="宋体" w:cs="Times New Roman"/>
              <w:b/>
              <w:bCs/>
              <w:snapToGrid w:val="0"/>
              <w:color w:val="auto"/>
              <w:sz w:val="28"/>
              <w:szCs w:val="28"/>
              <w:highlight w:val="none"/>
            </w:rPr>
            <w:fldChar w:fldCharType="begin"/>
          </w:r>
          <w:r>
            <w:rPr>
              <w:rFonts w:hint="default" w:ascii="Times New Roman" w:hAnsi="Times New Roman" w:eastAsia="宋体" w:cs="Times New Roman"/>
              <w:b/>
              <w:bCs/>
              <w:snapToGrid w:val="0"/>
              <w:sz w:val="28"/>
              <w:szCs w:val="28"/>
              <w:highlight w:val="none"/>
            </w:rPr>
            <w:instrText xml:space="preserve"> HYPERLINK \l _Toc4422 </w:instrText>
          </w:r>
          <w:r>
            <w:rPr>
              <w:rFonts w:hint="default" w:ascii="Times New Roman" w:hAnsi="Times New Roman" w:eastAsia="宋体" w:cs="Times New Roman"/>
              <w:b/>
              <w:bCs/>
              <w:snapToGrid w:val="0"/>
              <w:sz w:val="28"/>
              <w:szCs w:val="28"/>
              <w:highlight w:val="none"/>
            </w:rPr>
            <w:fldChar w:fldCharType="separate"/>
          </w:r>
          <w:r>
            <w:rPr>
              <w:rFonts w:hint="default" w:ascii="Times New Roman" w:hAnsi="Times New Roman" w:eastAsia="宋体" w:cs="Times New Roman"/>
              <w:b/>
              <w:bCs/>
              <w:snapToGrid w:val="0"/>
              <w:sz w:val="28"/>
              <w:szCs w:val="28"/>
              <w:highlight w:val="none"/>
            </w:rPr>
            <w:t>建设项目污染物排放量汇总表</w:t>
          </w:r>
          <w:r>
            <w:rPr>
              <w:rFonts w:hint="default" w:ascii="Times New Roman" w:hAnsi="Times New Roman" w:eastAsia="宋体" w:cs="Times New Roman"/>
              <w:b/>
              <w:bCs/>
              <w:sz w:val="28"/>
              <w:szCs w:val="28"/>
            </w:rPr>
            <w:tab/>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PAGEREF _Toc4422 \h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65</w:t>
          </w:r>
          <w:r>
            <w:rPr>
              <w:rFonts w:hint="default" w:ascii="Times New Roman" w:hAnsi="Times New Roman" w:eastAsia="宋体" w:cs="Times New Roman"/>
              <w:b/>
              <w:bCs/>
              <w:sz w:val="28"/>
              <w:szCs w:val="28"/>
            </w:rPr>
            <w:fldChar w:fldCharType="end"/>
          </w:r>
          <w:r>
            <w:rPr>
              <w:rFonts w:hint="default" w:ascii="Times New Roman" w:hAnsi="Times New Roman" w:eastAsia="宋体" w:cs="Times New Roman"/>
              <w:b/>
              <w:bCs/>
              <w:snapToGrid w:val="0"/>
              <w:color w:val="auto"/>
              <w:sz w:val="28"/>
              <w:szCs w:val="28"/>
              <w:highlight w:val="none"/>
            </w:rPr>
            <w:fldChar w:fldCharType="end"/>
          </w:r>
        </w:p>
        <w:p w14:paraId="5E92DBB5">
          <w:pPr>
            <w:pStyle w:val="29"/>
            <w:keepNext w:val="0"/>
            <w:keepLines w:val="0"/>
            <w:pageBreakBefore w:val="0"/>
            <w:kinsoku/>
            <w:wordWrap/>
            <w:overflowPunct/>
            <w:topLinePunct w:val="0"/>
            <w:autoSpaceDE/>
            <w:autoSpaceDN/>
            <w:bidi w:val="0"/>
            <w:adjustRightInd/>
            <w:snapToGrid/>
            <w:spacing w:beforeAutospacing="0" w:afterAutospacing="0" w:line="480" w:lineRule="auto"/>
            <w:jc w:val="center"/>
            <w:textAlignment w:val="auto"/>
            <w:outlineLvl w:val="0"/>
            <w:rPr>
              <w:rFonts w:hint="eastAsia" w:ascii="黑体" w:hAnsi="黑体" w:eastAsia="黑体" w:cs="Times New Roman"/>
              <w:snapToGrid w:val="0"/>
              <w:color w:val="auto"/>
              <w:kern w:val="0"/>
              <w:sz w:val="24"/>
              <w:szCs w:val="30"/>
              <w:highlight w:val="none"/>
              <w:lang w:val="en-US" w:eastAsia="zh-CN" w:bidi="ar-SA"/>
            </w:rPr>
          </w:pPr>
          <w:r>
            <w:rPr>
              <w:rFonts w:hint="default" w:ascii="Times New Roman" w:hAnsi="Times New Roman" w:eastAsia="宋体" w:cs="Times New Roman"/>
              <w:b/>
              <w:bCs/>
              <w:snapToGrid w:val="0"/>
              <w:color w:val="auto"/>
              <w:sz w:val="28"/>
              <w:szCs w:val="28"/>
              <w:highlight w:val="none"/>
            </w:rPr>
            <w:fldChar w:fldCharType="end"/>
          </w:r>
        </w:p>
      </w:sdtContent>
    </w:sdt>
    <w:p w14:paraId="64BD1D1E">
      <w:pPr>
        <w:pStyle w:val="29"/>
        <w:jc w:val="center"/>
        <w:outlineLvl w:val="0"/>
        <w:rPr>
          <w:rFonts w:hint="eastAsia" w:ascii="黑体" w:hAnsi="黑体" w:eastAsia="黑体" w:cs="Times New Roman"/>
          <w:snapToGrid w:val="0"/>
          <w:color w:val="auto"/>
          <w:kern w:val="0"/>
          <w:sz w:val="24"/>
          <w:szCs w:val="30"/>
          <w:highlight w:val="none"/>
          <w:lang w:val="en-US" w:eastAsia="zh-CN" w:bidi="ar-SA"/>
        </w:rPr>
        <w:sectPr>
          <w:footerReference r:id="rId3" w:type="default"/>
          <w:pgSz w:w="11906" w:h="16838"/>
          <w:pgMar w:top="1701" w:right="1531" w:bottom="1701" w:left="1531" w:header="851" w:footer="1077" w:gutter="0"/>
          <w:pgNumType w:start="1"/>
          <w:cols w:space="720" w:num="1"/>
          <w:docGrid w:linePitch="312" w:charSpace="0"/>
        </w:sectPr>
      </w:pPr>
    </w:p>
    <w:p w14:paraId="693AAF98">
      <w:pPr>
        <w:pStyle w:val="29"/>
        <w:jc w:val="center"/>
        <w:outlineLvl w:val="0"/>
        <w:rPr>
          <w:rFonts w:ascii="黑体" w:hAnsi="黑体" w:eastAsia="黑体"/>
          <w:snapToGrid w:val="0"/>
          <w:color w:val="auto"/>
          <w:sz w:val="30"/>
          <w:szCs w:val="30"/>
          <w:highlight w:val="none"/>
        </w:rPr>
      </w:pPr>
      <w:bookmarkStart w:id="3" w:name="_Toc16937"/>
      <w:r>
        <w:rPr>
          <w:rFonts w:hint="eastAsia" w:ascii="黑体" w:hAnsi="黑体" w:eastAsia="黑体"/>
          <w:snapToGrid w:val="0"/>
          <w:color w:val="auto"/>
          <w:sz w:val="30"/>
          <w:szCs w:val="30"/>
          <w:highlight w:val="none"/>
        </w:rPr>
        <w:t>一、建设项目基本情况</w:t>
      </w:r>
      <w:bookmarkEnd w:id="3"/>
    </w:p>
    <w:tbl>
      <w:tblPr>
        <w:tblStyle w:val="3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220"/>
        <w:gridCol w:w="2621"/>
        <w:gridCol w:w="2101"/>
        <w:gridCol w:w="2878"/>
      </w:tblGrid>
      <w:tr w14:paraId="671E00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20" w:type="dxa"/>
            <w:tcMar>
              <w:top w:w="16" w:type="dxa"/>
              <w:left w:w="16" w:type="dxa"/>
              <w:right w:w="16" w:type="dxa"/>
            </w:tcMar>
            <w:vAlign w:val="center"/>
          </w:tcPr>
          <w:p w14:paraId="1B66AD3E">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AnsiTheme="minorEastAsia" w:eastAsiaTheme="minorEastAsia"/>
                <w:color w:val="auto"/>
                <w:sz w:val="24"/>
                <w:highlight w:val="none"/>
              </w:rPr>
              <w:t>建设项目名称</w:t>
            </w:r>
          </w:p>
        </w:tc>
        <w:tc>
          <w:tcPr>
            <w:tcW w:w="7600" w:type="dxa"/>
            <w:gridSpan w:val="3"/>
            <w:vAlign w:val="center"/>
          </w:tcPr>
          <w:p w14:paraId="490A0A43">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int="eastAsia"/>
                <w:color w:val="auto"/>
                <w:sz w:val="24"/>
                <w:highlight w:val="none"/>
                <w:lang w:val="en-US" w:eastAsia="zh-CN"/>
              </w:rPr>
              <w:t>巴州启辰恒远新材料有限公司塑料制品建设项目</w:t>
            </w:r>
          </w:p>
        </w:tc>
      </w:tr>
      <w:tr w14:paraId="1A7F27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20" w:type="dxa"/>
            <w:tcMar>
              <w:top w:w="16" w:type="dxa"/>
              <w:left w:w="16" w:type="dxa"/>
              <w:right w:w="16" w:type="dxa"/>
            </w:tcMar>
            <w:vAlign w:val="center"/>
          </w:tcPr>
          <w:p w14:paraId="213F7888">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AnsiTheme="minorEastAsia" w:eastAsiaTheme="minorEastAsia"/>
                <w:color w:val="auto"/>
                <w:sz w:val="24"/>
                <w:highlight w:val="none"/>
              </w:rPr>
              <w:t>国民经济</w:t>
            </w:r>
          </w:p>
          <w:p w14:paraId="5DA57D4C">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AnsiTheme="minorEastAsia" w:eastAsiaTheme="minorEastAsia"/>
                <w:color w:val="auto"/>
                <w:sz w:val="24"/>
                <w:highlight w:val="none"/>
              </w:rPr>
              <w:t>行业类别</w:t>
            </w:r>
          </w:p>
        </w:tc>
        <w:tc>
          <w:tcPr>
            <w:tcW w:w="2621" w:type="dxa"/>
            <w:vAlign w:val="center"/>
          </w:tcPr>
          <w:p w14:paraId="36CA1369">
            <w:pPr>
              <w:keepNext w:val="0"/>
              <w:keepLines w:val="0"/>
              <w:pageBreakBefore w:val="0"/>
              <w:widowControl w:val="0"/>
              <w:kinsoku/>
              <w:wordWrap/>
              <w:overflowPunct/>
              <w:topLinePunct w:val="0"/>
              <w:bidi w:val="0"/>
              <w:adjustRightInd/>
              <w:snapToGrid/>
              <w:spacing w:line="260" w:lineRule="exact"/>
              <w:jc w:val="center"/>
              <w:textAlignment w:val="auto"/>
              <w:rPr>
                <w:rFonts w:hint="eastAsia" w:eastAsiaTheme="minorEastAsia"/>
                <w:color w:val="auto"/>
                <w:sz w:val="24"/>
                <w:highlight w:val="none"/>
                <w:lang w:eastAsia="zh-CN"/>
              </w:rPr>
            </w:pPr>
            <w:r>
              <w:rPr>
                <w:rFonts w:hint="eastAsia" w:eastAsiaTheme="minorEastAsia"/>
                <w:color w:val="auto"/>
                <w:sz w:val="24"/>
                <w:highlight w:val="none"/>
                <w:lang w:val="en-US" w:eastAsia="zh-CN"/>
              </w:rPr>
              <w:t>C</w:t>
            </w:r>
            <w:r>
              <w:rPr>
                <w:rFonts w:hint="eastAsia" w:eastAsiaTheme="minorEastAsia"/>
                <w:color w:val="auto"/>
                <w:sz w:val="24"/>
                <w:highlight w:val="none"/>
              </w:rPr>
              <w:t>2921塑料薄膜制造</w:t>
            </w:r>
            <w:r>
              <w:rPr>
                <w:rFonts w:hint="eastAsia" w:eastAsiaTheme="minorEastAsia"/>
                <w:color w:val="auto"/>
                <w:sz w:val="24"/>
                <w:highlight w:val="none"/>
                <w:lang w:val="en-US" w:eastAsia="zh-CN"/>
              </w:rPr>
              <w:t>；</w:t>
            </w:r>
            <w:r>
              <w:rPr>
                <w:rFonts w:eastAsiaTheme="minorEastAsia"/>
                <w:color w:val="auto"/>
                <w:sz w:val="24"/>
                <w:highlight w:val="none"/>
              </w:rPr>
              <w:t>C292</w:t>
            </w:r>
            <w:r>
              <w:rPr>
                <w:rFonts w:hint="eastAsia" w:eastAsiaTheme="minorEastAsia"/>
                <w:color w:val="auto"/>
                <w:sz w:val="24"/>
                <w:highlight w:val="none"/>
                <w:lang w:val="en-US" w:eastAsia="zh-CN"/>
              </w:rPr>
              <w:t>6</w:t>
            </w:r>
            <w:r>
              <w:rPr>
                <w:rFonts w:hint="eastAsia" w:hAnsiTheme="minorEastAsia" w:eastAsiaTheme="minorEastAsia"/>
                <w:color w:val="auto"/>
                <w:sz w:val="24"/>
                <w:highlight w:val="none"/>
              </w:rPr>
              <w:t>塑料包装箱及容器制造</w:t>
            </w:r>
            <w:r>
              <w:rPr>
                <w:rFonts w:hint="eastAsia" w:hAnsiTheme="minorEastAsia" w:eastAsiaTheme="minorEastAsia"/>
                <w:color w:val="auto"/>
                <w:sz w:val="24"/>
                <w:highlight w:val="none"/>
                <w:lang w:eastAsia="zh-CN"/>
              </w:rPr>
              <w:t>；2929塑料零件及其他塑料制品制造</w:t>
            </w:r>
          </w:p>
        </w:tc>
        <w:tc>
          <w:tcPr>
            <w:tcW w:w="2101" w:type="dxa"/>
            <w:vAlign w:val="center"/>
          </w:tcPr>
          <w:p w14:paraId="1AC66AC1">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bookmarkStart w:id="4" w:name="_Hlk49843745"/>
            <w:r>
              <w:rPr>
                <w:rFonts w:hAnsiTheme="minorEastAsia" w:eastAsiaTheme="minorEastAsia"/>
                <w:color w:val="auto"/>
                <w:sz w:val="24"/>
                <w:highlight w:val="none"/>
              </w:rPr>
              <w:t>建设项目</w:t>
            </w:r>
          </w:p>
          <w:p w14:paraId="3FC53D55">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AnsiTheme="minorEastAsia" w:eastAsiaTheme="minorEastAsia"/>
                <w:color w:val="auto"/>
                <w:sz w:val="24"/>
                <w:highlight w:val="none"/>
              </w:rPr>
              <w:t>行业类别</w:t>
            </w:r>
            <w:bookmarkEnd w:id="4"/>
          </w:p>
        </w:tc>
        <w:tc>
          <w:tcPr>
            <w:tcW w:w="2878" w:type="dxa"/>
            <w:vAlign w:val="center"/>
          </w:tcPr>
          <w:p w14:paraId="2006A4E0">
            <w:pPr>
              <w:keepNext w:val="0"/>
              <w:keepLines w:val="0"/>
              <w:pageBreakBefore w:val="0"/>
              <w:widowControl w:val="0"/>
              <w:kinsoku/>
              <w:wordWrap/>
              <w:overflowPunct/>
              <w:topLinePunct w:val="0"/>
              <w:bidi w:val="0"/>
              <w:adjustRightInd/>
              <w:snapToGrid/>
              <w:spacing w:line="260" w:lineRule="exact"/>
              <w:jc w:val="left"/>
              <w:textAlignment w:val="auto"/>
              <w:rPr>
                <w:rFonts w:eastAsiaTheme="minorEastAsia"/>
                <w:color w:val="auto"/>
                <w:sz w:val="24"/>
                <w:highlight w:val="none"/>
              </w:rPr>
            </w:pPr>
            <w:r>
              <w:rPr>
                <w:rFonts w:hint="eastAsia"/>
                <w:color w:val="auto"/>
                <w:sz w:val="24"/>
                <w:highlight w:val="none"/>
              </w:rPr>
              <w:t>二十六、橡胶和塑料制品业29—53塑料制品业292</w:t>
            </w:r>
          </w:p>
        </w:tc>
      </w:tr>
      <w:tr w14:paraId="292EC2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20" w:type="dxa"/>
            <w:tcMar>
              <w:top w:w="16" w:type="dxa"/>
              <w:left w:w="16" w:type="dxa"/>
              <w:right w:w="16" w:type="dxa"/>
            </w:tcMar>
            <w:vAlign w:val="center"/>
          </w:tcPr>
          <w:p w14:paraId="79CA07A8">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AnsiTheme="minorEastAsia" w:eastAsiaTheme="minorEastAsia"/>
                <w:color w:val="auto"/>
                <w:sz w:val="24"/>
                <w:highlight w:val="none"/>
              </w:rPr>
              <w:t>建设性质</w:t>
            </w:r>
          </w:p>
        </w:tc>
        <w:tc>
          <w:tcPr>
            <w:tcW w:w="2621" w:type="dxa"/>
            <w:vAlign w:val="center"/>
          </w:tcPr>
          <w:p w14:paraId="1C986B26">
            <w:pPr>
              <w:keepNext w:val="0"/>
              <w:keepLines w:val="0"/>
              <w:pageBreakBefore w:val="0"/>
              <w:widowControl w:val="0"/>
              <w:kinsoku/>
              <w:wordWrap/>
              <w:overflowPunct/>
              <w:topLinePunct w:val="0"/>
              <w:bidi w:val="0"/>
              <w:adjustRightInd/>
              <w:snapToGrid/>
              <w:spacing w:line="260" w:lineRule="exact"/>
              <w:jc w:val="left"/>
              <w:textAlignment w:val="auto"/>
              <w:rPr>
                <w:rFonts w:eastAsiaTheme="minorEastAsia"/>
                <w:color w:val="auto"/>
                <w:sz w:val="24"/>
                <w:highlight w:val="none"/>
              </w:rPr>
            </w:pPr>
            <w:r>
              <w:rPr>
                <w:rFonts w:hint="eastAsia" w:ascii="MS Mincho" w:hAnsi="MS Mincho" w:eastAsia="MS Mincho" w:cs="MS Mincho"/>
                <w:color w:val="auto"/>
                <w:sz w:val="24"/>
                <w:highlight w:val="none"/>
              </w:rPr>
              <w:t>☑</w:t>
            </w:r>
            <w:r>
              <w:rPr>
                <w:rFonts w:hAnsiTheme="minorEastAsia" w:eastAsiaTheme="minorEastAsia"/>
                <w:color w:val="auto"/>
                <w:sz w:val="24"/>
                <w:highlight w:val="none"/>
              </w:rPr>
              <w:t>新建（迁建）</w:t>
            </w:r>
          </w:p>
          <w:p w14:paraId="6B9876BC">
            <w:pPr>
              <w:keepNext w:val="0"/>
              <w:keepLines w:val="0"/>
              <w:pageBreakBefore w:val="0"/>
              <w:widowControl w:val="0"/>
              <w:kinsoku/>
              <w:wordWrap/>
              <w:overflowPunct/>
              <w:topLinePunct w:val="0"/>
              <w:bidi w:val="0"/>
              <w:adjustRightInd/>
              <w:snapToGrid/>
              <w:spacing w:line="260" w:lineRule="exact"/>
              <w:jc w:val="left"/>
              <w:textAlignment w:val="auto"/>
              <w:rPr>
                <w:rFonts w:eastAsiaTheme="minorEastAsia"/>
                <w:color w:val="auto"/>
                <w:sz w:val="24"/>
                <w:highlight w:val="none"/>
              </w:rPr>
            </w:pPr>
            <w:r>
              <w:rPr>
                <w:rFonts w:eastAsiaTheme="minorEastAsia"/>
                <w:color w:val="auto"/>
                <w:sz w:val="24"/>
                <w:highlight w:val="none"/>
              </w:rPr>
              <w:t>□</w:t>
            </w:r>
            <w:r>
              <w:rPr>
                <w:rFonts w:hAnsiTheme="minorEastAsia" w:eastAsiaTheme="minorEastAsia"/>
                <w:color w:val="auto"/>
                <w:sz w:val="24"/>
                <w:highlight w:val="none"/>
              </w:rPr>
              <w:t>改建</w:t>
            </w:r>
          </w:p>
          <w:p w14:paraId="17CAB0E1">
            <w:pPr>
              <w:keepNext w:val="0"/>
              <w:keepLines w:val="0"/>
              <w:pageBreakBefore w:val="0"/>
              <w:widowControl w:val="0"/>
              <w:kinsoku/>
              <w:wordWrap/>
              <w:overflowPunct/>
              <w:topLinePunct w:val="0"/>
              <w:bidi w:val="0"/>
              <w:adjustRightInd/>
              <w:snapToGrid/>
              <w:spacing w:line="260" w:lineRule="exact"/>
              <w:jc w:val="left"/>
              <w:textAlignment w:val="auto"/>
              <w:rPr>
                <w:rFonts w:eastAsiaTheme="minorEastAsia"/>
                <w:color w:val="auto"/>
                <w:sz w:val="24"/>
                <w:highlight w:val="none"/>
              </w:rPr>
            </w:pPr>
            <w:r>
              <w:rPr>
                <w:rFonts w:eastAsiaTheme="minorEastAsia"/>
                <w:color w:val="auto"/>
                <w:sz w:val="24"/>
                <w:highlight w:val="none"/>
              </w:rPr>
              <w:t>□</w:t>
            </w:r>
            <w:r>
              <w:rPr>
                <w:rFonts w:hAnsiTheme="minorEastAsia" w:eastAsiaTheme="minorEastAsia"/>
                <w:color w:val="auto"/>
                <w:sz w:val="24"/>
                <w:highlight w:val="none"/>
              </w:rPr>
              <w:t>扩建</w:t>
            </w:r>
          </w:p>
          <w:p w14:paraId="3AFA2742">
            <w:pPr>
              <w:keepNext w:val="0"/>
              <w:keepLines w:val="0"/>
              <w:pageBreakBefore w:val="0"/>
              <w:widowControl w:val="0"/>
              <w:kinsoku/>
              <w:wordWrap/>
              <w:overflowPunct/>
              <w:topLinePunct w:val="0"/>
              <w:bidi w:val="0"/>
              <w:adjustRightInd/>
              <w:snapToGrid/>
              <w:spacing w:line="260" w:lineRule="exact"/>
              <w:jc w:val="left"/>
              <w:textAlignment w:val="auto"/>
              <w:rPr>
                <w:rFonts w:eastAsiaTheme="minorEastAsia"/>
                <w:color w:val="auto"/>
                <w:sz w:val="24"/>
                <w:highlight w:val="none"/>
              </w:rPr>
            </w:pPr>
            <w:r>
              <w:rPr>
                <w:rFonts w:eastAsiaTheme="minorEastAsia"/>
                <w:color w:val="auto"/>
                <w:sz w:val="24"/>
                <w:highlight w:val="none"/>
              </w:rPr>
              <w:t>□</w:t>
            </w:r>
            <w:r>
              <w:rPr>
                <w:rFonts w:hAnsiTheme="minorEastAsia" w:eastAsiaTheme="minorEastAsia"/>
                <w:color w:val="auto"/>
                <w:sz w:val="24"/>
                <w:highlight w:val="none"/>
              </w:rPr>
              <w:t>技术改造</w:t>
            </w:r>
          </w:p>
        </w:tc>
        <w:tc>
          <w:tcPr>
            <w:tcW w:w="2101" w:type="dxa"/>
            <w:vAlign w:val="center"/>
          </w:tcPr>
          <w:p w14:paraId="2E0255FE">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AnsiTheme="minorEastAsia" w:eastAsiaTheme="minorEastAsia"/>
                <w:color w:val="auto"/>
                <w:sz w:val="24"/>
                <w:highlight w:val="none"/>
              </w:rPr>
              <w:t>建设项目</w:t>
            </w:r>
          </w:p>
          <w:p w14:paraId="3F527A91">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AnsiTheme="minorEastAsia" w:eastAsiaTheme="minorEastAsia"/>
                <w:color w:val="auto"/>
                <w:sz w:val="24"/>
                <w:highlight w:val="none"/>
              </w:rPr>
              <w:t>申报情形</w:t>
            </w:r>
          </w:p>
        </w:tc>
        <w:tc>
          <w:tcPr>
            <w:tcW w:w="2878" w:type="dxa"/>
            <w:vAlign w:val="center"/>
          </w:tcPr>
          <w:p w14:paraId="2449747C">
            <w:pPr>
              <w:keepNext w:val="0"/>
              <w:keepLines w:val="0"/>
              <w:pageBreakBefore w:val="0"/>
              <w:widowControl w:val="0"/>
              <w:kinsoku/>
              <w:wordWrap/>
              <w:overflowPunct/>
              <w:topLinePunct w:val="0"/>
              <w:bidi w:val="0"/>
              <w:adjustRightInd/>
              <w:snapToGrid/>
              <w:spacing w:line="260" w:lineRule="exact"/>
              <w:jc w:val="left"/>
              <w:textAlignment w:val="auto"/>
              <w:rPr>
                <w:rFonts w:eastAsiaTheme="minorEastAsia"/>
                <w:color w:val="auto"/>
                <w:sz w:val="24"/>
                <w:highlight w:val="none"/>
              </w:rPr>
            </w:pPr>
            <w:r>
              <w:rPr>
                <w:rFonts w:hAnsiTheme="minorEastAsia" w:eastAsiaTheme="minorEastAsia"/>
                <w:color w:val="auto"/>
                <w:sz w:val="24"/>
                <w:highlight w:val="none"/>
              </w:rPr>
              <w:t>☑首次申报项目</w:t>
            </w:r>
          </w:p>
          <w:p w14:paraId="33DAC527">
            <w:pPr>
              <w:keepNext w:val="0"/>
              <w:keepLines w:val="0"/>
              <w:pageBreakBefore w:val="0"/>
              <w:widowControl w:val="0"/>
              <w:kinsoku/>
              <w:wordWrap/>
              <w:overflowPunct/>
              <w:topLinePunct w:val="0"/>
              <w:bidi w:val="0"/>
              <w:adjustRightInd/>
              <w:snapToGrid/>
              <w:spacing w:line="260" w:lineRule="exact"/>
              <w:jc w:val="left"/>
              <w:textAlignment w:val="auto"/>
              <w:rPr>
                <w:rFonts w:eastAsiaTheme="minorEastAsia"/>
                <w:color w:val="auto"/>
                <w:sz w:val="24"/>
                <w:highlight w:val="none"/>
              </w:rPr>
            </w:pPr>
            <w:r>
              <w:rPr>
                <w:rFonts w:eastAsiaTheme="minorEastAsia"/>
                <w:color w:val="auto"/>
                <w:sz w:val="24"/>
                <w:highlight w:val="none"/>
              </w:rPr>
              <w:t>□</w:t>
            </w:r>
            <w:r>
              <w:rPr>
                <w:rFonts w:hAnsiTheme="minorEastAsia" w:eastAsiaTheme="minorEastAsia"/>
                <w:color w:val="auto"/>
                <w:sz w:val="24"/>
                <w:highlight w:val="none"/>
              </w:rPr>
              <w:t>不予批准后再次申报项目</w:t>
            </w:r>
          </w:p>
          <w:p w14:paraId="7B4F8A57">
            <w:pPr>
              <w:keepNext w:val="0"/>
              <w:keepLines w:val="0"/>
              <w:pageBreakBefore w:val="0"/>
              <w:widowControl w:val="0"/>
              <w:kinsoku/>
              <w:wordWrap/>
              <w:overflowPunct/>
              <w:topLinePunct w:val="0"/>
              <w:bidi w:val="0"/>
              <w:adjustRightInd/>
              <w:snapToGrid/>
              <w:spacing w:line="260" w:lineRule="exact"/>
              <w:jc w:val="left"/>
              <w:textAlignment w:val="auto"/>
              <w:rPr>
                <w:rFonts w:eastAsiaTheme="minorEastAsia"/>
                <w:color w:val="auto"/>
                <w:sz w:val="24"/>
                <w:highlight w:val="none"/>
              </w:rPr>
            </w:pPr>
            <w:r>
              <w:rPr>
                <w:rFonts w:eastAsiaTheme="minorEastAsia"/>
                <w:color w:val="auto"/>
                <w:sz w:val="24"/>
                <w:highlight w:val="none"/>
              </w:rPr>
              <w:t>□</w:t>
            </w:r>
            <w:r>
              <w:rPr>
                <w:rFonts w:hAnsiTheme="minorEastAsia" w:eastAsiaTheme="minorEastAsia"/>
                <w:color w:val="auto"/>
                <w:sz w:val="24"/>
                <w:highlight w:val="none"/>
              </w:rPr>
              <w:t>超五年重新审核项目</w:t>
            </w:r>
          </w:p>
          <w:p w14:paraId="4C44E950">
            <w:pPr>
              <w:keepNext w:val="0"/>
              <w:keepLines w:val="0"/>
              <w:pageBreakBefore w:val="0"/>
              <w:widowControl w:val="0"/>
              <w:kinsoku/>
              <w:wordWrap/>
              <w:overflowPunct/>
              <w:topLinePunct w:val="0"/>
              <w:bidi w:val="0"/>
              <w:adjustRightInd/>
              <w:snapToGrid/>
              <w:spacing w:line="260" w:lineRule="exact"/>
              <w:jc w:val="left"/>
              <w:textAlignment w:val="auto"/>
              <w:rPr>
                <w:rFonts w:eastAsiaTheme="minorEastAsia"/>
                <w:color w:val="auto"/>
                <w:sz w:val="24"/>
                <w:highlight w:val="none"/>
              </w:rPr>
            </w:pPr>
            <w:r>
              <w:rPr>
                <w:rFonts w:eastAsiaTheme="minorEastAsia"/>
                <w:color w:val="auto"/>
                <w:sz w:val="24"/>
                <w:highlight w:val="none"/>
              </w:rPr>
              <w:t>□</w:t>
            </w:r>
            <w:r>
              <w:rPr>
                <w:rFonts w:hAnsiTheme="minorEastAsia" w:eastAsiaTheme="minorEastAsia"/>
                <w:color w:val="auto"/>
                <w:sz w:val="24"/>
                <w:highlight w:val="none"/>
              </w:rPr>
              <w:t>重大变动重新报批项目</w:t>
            </w:r>
          </w:p>
        </w:tc>
      </w:tr>
      <w:tr w14:paraId="787771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20" w:type="dxa"/>
            <w:tcMar>
              <w:top w:w="16" w:type="dxa"/>
              <w:left w:w="16" w:type="dxa"/>
              <w:right w:w="16" w:type="dxa"/>
            </w:tcMar>
            <w:vAlign w:val="center"/>
          </w:tcPr>
          <w:p w14:paraId="3C132468">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AnsiTheme="minorEastAsia" w:eastAsiaTheme="minorEastAsia"/>
                <w:color w:val="auto"/>
                <w:sz w:val="24"/>
                <w:highlight w:val="none"/>
              </w:rPr>
              <w:t>项目审批（核准</w:t>
            </w:r>
            <w:r>
              <w:rPr>
                <w:rFonts w:eastAsiaTheme="minorEastAsia"/>
                <w:color w:val="auto"/>
                <w:sz w:val="24"/>
                <w:highlight w:val="none"/>
              </w:rPr>
              <w:t>/</w:t>
            </w:r>
          </w:p>
          <w:p w14:paraId="0D2757EA">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AnsiTheme="minorEastAsia" w:eastAsiaTheme="minorEastAsia"/>
                <w:color w:val="auto"/>
                <w:sz w:val="24"/>
                <w:highlight w:val="none"/>
              </w:rPr>
              <w:t>备案）部门（选填）</w:t>
            </w:r>
          </w:p>
        </w:tc>
        <w:tc>
          <w:tcPr>
            <w:tcW w:w="2621" w:type="dxa"/>
            <w:vAlign w:val="center"/>
          </w:tcPr>
          <w:p w14:paraId="69E10247">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int="eastAsia" w:ascii="宋体" w:hAnsi="宋体"/>
                <w:color w:val="auto"/>
                <w:sz w:val="24"/>
                <w:highlight w:val="none"/>
                <w:lang w:val="en-US" w:eastAsia="zh-CN"/>
              </w:rPr>
              <w:t>和静县</w:t>
            </w:r>
            <w:r>
              <w:rPr>
                <w:rFonts w:hint="eastAsia" w:ascii="宋体" w:hAnsi="宋体"/>
                <w:color w:val="auto"/>
                <w:sz w:val="24"/>
                <w:highlight w:val="none"/>
              </w:rPr>
              <w:t>发展和改革委员会</w:t>
            </w:r>
          </w:p>
        </w:tc>
        <w:tc>
          <w:tcPr>
            <w:tcW w:w="2101" w:type="dxa"/>
            <w:vAlign w:val="center"/>
          </w:tcPr>
          <w:p w14:paraId="7A2E6A16">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AnsiTheme="minorEastAsia" w:eastAsiaTheme="minorEastAsia"/>
                <w:color w:val="auto"/>
                <w:sz w:val="24"/>
                <w:highlight w:val="none"/>
              </w:rPr>
              <w:t>项目审批（核准</w:t>
            </w:r>
            <w:r>
              <w:rPr>
                <w:rFonts w:eastAsiaTheme="minorEastAsia"/>
                <w:color w:val="auto"/>
                <w:sz w:val="24"/>
                <w:highlight w:val="none"/>
              </w:rPr>
              <w:t>/</w:t>
            </w:r>
          </w:p>
          <w:p w14:paraId="7BE7EBA6">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AnsiTheme="minorEastAsia" w:eastAsiaTheme="minorEastAsia"/>
                <w:color w:val="auto"/>
                <w:sz w:val="24"/>
                <w:highlight w:val="none"/>
              </w:rPr>
              <w:t>备案）文号（选填）</w:t>
            </w:r>
          </w:p>
        </w:tc>
        <w:tc>
          <w:tcPr>
            <w:tcW w:w="2878" w:type="dxa"/>
            <w:vAlign w:val="center"/>
          </w:tcPr>
          <w:p w14:paraId="602DCC5F">
            <w:pPr>
              <w:keepNext w:val="0"/>
              <w:keepLines w:val="0"/>
              <w:widowControl/>
              <w:suppressLineNumbers w:val="0"/>
              <w:jc w:val="center"/>
              <w:rPr>
                <w:rFonts w:hint="default" w:eastAsiaTheme="minorEastAsia"/>
                <w:color w:val="auto"/>
                <w:sz w:val="24"/>
                <w:highlight w:val="none"/>
                <w:lang w:val="en-US"/>
              </w:rPr>
            </w:pPr>
            <w:r>
              <w:rPr>
                <w:rFonts w:hint="default" w:ascii="Times New Roman" w:hAnsi="Times New Roman" w:eastAsia="宋体" w:cs="Times New Roman"/>
                <w:color w:val="auto"/>
                <w:kern w:val="0"/>
                <w:sz w:val="24"/>
                <w:szCs w:val="24"/>
                <w:highlight w:val="none"/>
                <w:lang w:val="en-US" w:eastAsia="zh-CN" w:bidi="ar"/>
              </w:rPr>
              <w:t>2</w:t>
            </w:r>
            <w:r>
              <w:rPr>
                <w:rFonts w:hint="eastAsia" w:cs="Times New Roman"/>
                <w:color w:val="auto"/>
                <w:kern w:val="0"/>
                <w:sz w:val="24"/>
                <w:szCs w:val="24"/>
                <w:highlight w:val="none"/>
                <w:lang w:val="en-US" w:eastAsia="zh-CN" w:bidi="ar"/>
              </w:rPr>
              <w:t>608031336652827000029</w:t>
            </w:r>
          </w:p>
        </w:tc>
      </w:tr>
      <w:tr w14:paraId="6E1CFF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20" w:type="dxa"/>
            <w:tcMar>
              <w:top w:w="16" w:type="dxa"/>
              <w:left w:w="16" w:type="dxa"/>
              <w:right w:w="16" w:type="dxa"/>
            </w:tcMar>
            <w:vAlign w:val="center"/>
          </w:tcPr>
          <w:p w14:paraId="5CB6CD3C">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AnsiTheme="minorEastAsia" w:eastAsiaTheme="minorEastAsia"/>
                <w:color w:val="auto"/>
                <w:sz w:val="24"/>
                <w:highlight w:val="none"/>
              </w:rPr>
              <w:t>总投资（万元）</w:t>
            </w:r>
          </w:p>
        </w:tc>
        <w:tc>
          <w:tcPr>
            <w:tcW w:w="2621" w:type="dxa"/>
            <w:vAlign w:val="center"/>
          </w:tcPr>
          <w:p w14:paraId="08AB49DE">
            <w:pPr>
              <w:keepNext w:val="0"/>
              <w:keepLines w:val="0"/>
              <w:pageBreakBefore w:val="0"/>
              <w:widowControl w:val="0"/>
              <w:kinsoku/>
              <w:wordWrap/>
              <w:overflowPunct/>
              <w:topLinePunct w:val="0"/>
              <w:bidi w:val="0"/>
              <w:adjustRightInd/>
              <w:snapToGrid/>
              <w:spacing w:line="260" w:lineRule="exact"/>
              <w:jc w:val="center"/>
              <w:textAlignment w:val="auto"/>
              <w:rPr>
                <w:rFonts w:hint="default" w:eastAsiaTheme="minorEastAsia"/>
                <w:color w:val="auto"/>
                <w:sz w:val="24"/>
                <w:highlight w:val="none"/>
                <w:lang w:val="en-US" w:eastAsia="zh-CN"/>
              </w:rPr>
            </w:pPr>
            <w:r>
              <w:rPr>
                <w:rFonts w:hint="eastAsia" w:eastAsiaTheme="minorEastAsia"/>
                <w:color w:val="auto"/>
                <w:sz w:val="24"/>
                <w:highlight w:val="none"/>
                <w:lang w:val="en-US" w:eastAsia="zh-CN"/>
              </w:rPr>
              <w:t>200</w:t>
            </w:r>
          </w:p>
        </w:tc>
        <w:tc>
          <w:tcPr>
            <w:tcW w:w="2101" w:type="dxa"/>
            <w:tcMar>
              <w:top w:w="16" w:type="dxa"/>
              <w:left w:w="16" w:type="dxa"/>
              <w:right w:w="16" w:type="dxa"/>
            </w:tcMar>
            <w:vAlign w:val="center"/>
          </w:tcPr>
          <w:p w14:paraId="19408C83">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AnsiTheme="minorEastAsia" w:eastAsiaTheme="minorEastAsia"/>
                <w:color w:val="auto"/>
                <w:sz w:val="24"/>
                <w:highlight w:val="none"/>
              </w:rPr>
              <w:t>环保投资（万元）</w:t>
            </w:r>
          </w:p>
        </w:tc>
        <w:tc>
          <w:tcPr>
            <w:tcW w:w="2878" w:type="dxa"/>
            <w:vAlign w:val="center"/>
          </w:tcPr>
          <w:p w14:paraId="207068E2">
            <w:pPr>
              <w:keepNext w:val="0"/>
              <w:keepLines w:val="0"/>
              <w:pageBreakBefore w:val="0"/>
              <w:widowControl w:val="0"/>
              <w:kinsoku/>
              <w:wordWrap/>
              <w:overflowPunct/>
              <w:topLinePunct w:val="0"/>
              <w:bidi w:val="0"/>
              <w:adjustRightInd/>
              <w:snapToGrid/>
              <w:spacing w:line="260" w:lineRule="exact"/>
              <w:jc w:val="center"/>
              <w:textAlignment w:val="auto"/>
              <w:rPr>
                <w:rFonts w:hint="default" w:eastAsiaTheme="minorEastAsia"/>
                <w:color w:val="auto"/>
                <w:sz w:val="24"/>
                <w:highlight w:val="none"/>
                <w:lang w:val="en-US" w:eastAsia="zh-CN"/>
              </w:rPr>
            </w:pPr>
            <w:r>
              <w:rPr>
                <w:rFonts w:hint="eastAsia" w:eastAsiaTheme="minorEastAsia"/>
                <w:color w:val="auto"/>
                <w:sz w:val="24"/>
                <w:highlight w:val="none"/>
                <w:lang w:val="en-US" w:eastAsia="zh-CN"/>
              </w:rPr>
              <w:t>33.5</w:t>
            </w:r>
          </w:p>
        </w:tc>
      </w:tr>
      <w:tr w14:paraId="737917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20" w:type="dxa"/>
            <w:tcMar>
              <w:top w:w="16" w:type="dxa"/>
              <w:left w:w="16" w:type="dxa"/>
              <w:right w:w="16" w:type="dxa"/>
            </w:tcMar>
            <w:vAlign w:val="center"/>
          </w:tcPr>
          <w:p w14:paraId="4D350C03">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AnsiTheme="minorEastAsia" w:eastAsiaTheme="minorEastAsia"/>
                <w:color w:val="auto"/>
                <w:sz w:val="24"/>
                <w:highlight w:val="none"/>
              </w:rPr>
              <w:t>环保投资占比（</w:t>
            </w:r>
            <w:r>
              <w:rPr>
                <w:rFonts w:eastAsiaTheme="minorEastAsia"/>
                <w:color w:val="auto"/>
                <w:sz w:val="24"/>
                <w:highlight w:val="none"/>
              </w:rPr>
              <w:t>%</w:t>
            </w:r>
            <w:r>
              <w:rPr>
                <w:rFonts w:hAnsiTheme="minorEastAsia" w:eastAsiaTheme="minorEastAsia"/>
                <w:color w:val="auto"/>
                <w:sz w:val="24"/>
                <w:highlight w:val="none"/>
              </w:rPr>
              <w:t>）</w:t>
            </w:r>
          </w:p>
        </w:tc>
        <w:tc>
          <w:tcPr>
            <w:tcW w:w="2621" w:type="dxa"/>
            <w:vAlign w:val="center"/>
          </w:tcPr>
          <w:p w14:paraId="3CC8AC69">
            <w:pPr>
              <w:keepNext w:val="0"/>
              <w:keepLines w:val="0"/>
              <w:pageBreakBefore w:val="0"/>
              <w:widowControl w:val="0"/>
              <w:kinsoku/>
              <w:wordWrap/>
              <w:overflowPunct/>
              <w:topLinePunct w:val="0"/>
              <w:bidi w:val="0"/>
              <w:adjustRightInd/>
              <w:snapToGrid/>
              <w:spacing w:line="260" w:lineRule="exact"/>
              <w:jc w:val="center"/>
              <w:textAlignment w:val="auto"/>
              <w:rPr>
                <w:rFonts w:hint="default" w:eastAsiaTheme="minorEastAsia"/>
                <w:color w:val="auto"/>
                <w:sz w:val="24"/>
                <w:highlight w:val="none"/>
                <w:lang w:val="en-US" w:eastAsia="zh-CN"/>
              </w:rPr>
            </w:pPr>
            <w:r>
              <w:rPr>
                <w:rFonts w:hint="eastAsia" w:eastAsiaTheme="minorEastAsia"/>
                <w:color w:val="auto"/>
                <w:sz w:val="24"/>
                <w:highlight w:val="none"/>
                <w:lang w:val="en-US" w:eastAsia="zh-CN"/>
              </w:rPr>
              <w:t>17</w:t>
            </w:r>
          </w:p>
        </w:tc>
        <w:tc>
          <w:tcPr>
            <w:tcW w:w="2101" w:type="dxa"/>
            <w:tcMar>
              <w:top w:w="16" w:type="dxa"/>
              <w:left w:w="16" w:type="dxa"/>
              <w:right w:w="16" w:type="dxa"/>
            </w:tcMar>
            <w:vAlign w:val="center"/>
          </w:tcPr>
          <w:p w14:paraId="6C70A7D1">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AnsiTheme="minorEastAsia" w:eastAsiaTheme="minorEastAsia"/>
                <w:color w:val="auto"/>
                <w:sz w:val="24"/>
                <w:highlight w:val="none"/>
              </w:rPr>
              <w:t>施工工期</w:t>
            </w:r>
          </w:p>
        </w:tc>
        <w:tc>
          <w:tcPr>
            <w:tcW w:w="2878" w:type="dxa"/>
            <w:vAlign w:val="center"/>
          </w:tcPr>
          <w:p w14:paraId="6C998CFF">
            <w:pPr>
              <w:keepNext w:val="0"/>
              <w:keepLines w:val="0"/>
              <w:pageBreakBefore w:val="0"/>
              <w:widowControl w:val="0"/>
              <w:kinsoku/>
              <w:wordWrap/>
              <w:overflowPunct/>
              <w:topLinePunct w:val="0"/>
              <w:bidi w:val="0"/>
              <w:adjustRightInd/>
              <w:snapToGrid/>
              <w:spacing w:line="260" w:lineRule="exact"/>
              <w:jc w:val="center"/>
              <w:textAlignment w:val="auto"/>
              <w:rPr>
                <w:rFonts w:hint="eastAsia" w:eastAsiaTheme="minorEastAsia"/>
                <w:color w:val="auto"/>
                <w:sz w:val="24"/>
                <w:highlight w:val="none"/>
                <w:lang w:eastAsia="zh-CN"/>
              </w:rPr>
            </w:pPr>
            <w:r>
              <w:rPr>
                <w:rFonts w:hint="eastAsia" w:eastAsiaTheme="minorEastAsia"/>
                <w:color w:val="auto"/>
                <w:sz w:val="24"/>
                <w:highlight w:val="none"/>
                <w:lang w:val="en-US" w:eastAsia="zh-CN"/>
              </w:rPr>
              <w:t>2个月</w:t>
            </w:r>
          </w:p>
        </w:tc>
      </w:tr>
      <w:tr w14:paraId="0192FC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20" w:type="dxa"/>
            <w:tcMar>
              <w:top w:w="16" w:type="dxa"/>
              <w:left w:w="16" w:type="dxa"/>
              <w:right w:w="16" w:type="dxa"/>
            </w:tcMar>
            <w:vAlign w:val="center"/>
          </w:tcPr>
          <w:p w14:paraId="5D4080F6">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rPr>
            </w:pPr>
            <w:r>
              <w:rPr>
                <w:rFonts w:hAnsiTheme="minorEastAsia" w:eastAsiaTheme="minorEastAsia"/>
                <w:color w:val="auto"/>
                <w:sz w:val="24"/>
                <w:highlight w:val="none"/>
              </w:rPr>
              <w:t>是否开工建设</w:t>
            </w:r>
          </w:p>
        </w:tc>
        <w:tc>
          <w:tcPr>
            <w:tcW w:w="2621" w:type="dxa"/>
            <w:vAlign w:val="center"/>
          </w:tcPr>
          <w:p w14:paraId="0507EFD3">
            <w:pPr>
              <w:keepNext w:val="0"/>
              <w:keepLines w:val="0"/>
              <w:pageBreakBefore w:val="0"/>
              <w:widowControl w:val="0"/>
              <w:kinsoku/>
              <w:wordWrap/>
              <w:overflowPunct/>
              <w:topLinePunct w:val="0"/>
              <w:bidi w:val="0"/>
              <w:adjustRightInd/>
              <w:snapToGrid/>
              <w:spacing w:line="260" w:lineRule="exact"/>
              <w:textAlignment w:val="auto"/>
              <w:rPr>
                <w:rFonts w:eastAsiaTheme="minorEastAsia"/>
                <w:color w:val="auto"/>
                <w:sz w:val="24"/>
                <w:highlight w:val="none"/>
                <w:u w:val="single"/>
              </w:rPr>
            </w:pPr>
            <w:r>
              <w:rPr>
                <w:rFonts w:eastAsiaTheme="minorEastAsia"/>
                <w:color w:val="auto"/>
                <w:sz w:val="24"/>
                <w:highlight w:val="none"/>
                <w:u w:val="single"/>
              </w:rPr>
              <w:sym w:font="Wingdings 2" w:char="0052"/>
            </w:r>
            <w:r>
              <w:rPr>
                <w:rFonts w:hAnsiTheme="minorEastAsia" w:eastAsiaTheme="minorEastAsia"/>
                <w:color w:val="auto"/>
                <w:sz w:val="24"/>
                <w:highlight w:val="none"/>
                <w:u w:val="single"/>
              </w:rPr>
              <w:t>否</w:t>
            </w:r>
          </w:p>
          <w:p w14:paraId="2E3BCC6D">
            <w:pPr>
              <w:keepNext w:val="0"/>
              <w:keepLines w:val="0"/>
              <w:pageBreakBefore w:val="0"/>
              <w:widowControl w:val="0"/>
              <w:kinsoku/>
              <w:wordWrap/>
              <w:overflowPunct/>
              <w:topLinePunct w:val="0"/>
              <w:bidi w:val="0"/>
              <w:adjustRightInd/>
              <w:snapToGrid/>
              <w:spacing w:line="260" w:lineRule="exact"/>
              <w:textAlignment w:val="auto"/>
              <w:rPr>
                <w:rFonts w:eastAsiaTheme="minorEastAsia"/>
                <w:color w:val="auto"/>
                <w:sz w:val="24"/>
                <w:highlight w:val="none"/>
                <w:u w:val="single"/>
              </w:rPr>
            </w:pPr>
            <w:r>
              <w:rPr>
                <w:rFonts w:hint="eastAsia" w:ascii="MS Mincho" w:hAnsi="MS Mincho" w:eastAsia="宋体" w:cs="MS Mincho"/>
                <w:color w:val="auto"/>
                <w:sz w:val="24"/>
                <w:highlight w:val="none"/>
                <w:u w:val="single"/>
                <w:lang w:eastAsia="zh-CN"/>
              </w:rPr>
              <w:t>□</w:t>
            </w:r>
            <w:r>
              <w:rPr>
                <w:rFonts w:hAnsiTheme="minorEastAsia" w:eastAsiaTheme="minorEastAsia"/>
                <w:color w:val="auto"/>
                <w:sz w:val="24"/>
                <w:highlight w:val="none"/>
                <w:u w:val="single"/>
              </w:rPr>
              <w:t>是</w:t>
            </w:r>
          </w:p>
        </w:tc>
        <w:tc>
          <w:tcPr>
            <w:tcW w:w="2101" w:type="dxa"/>
            <w:tcMar>
              <w:top w:w="16" w:type="dxa"/>
              <w:left w:w="16" w:type="dxa"/>
              <w:right w:w="16" w:type="dxa"/>
            </w:tcMar>
            <w:vAlign w:val="center"/>
          </w:tcPr>
          <w:p w14:paraId="73E406EB">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pacing w:val="-6"/>
                <w:sz w:val="24"/>
                <w:highlight w:val="none"/>
              </w:rPr>
            </w:pPr>
            <w:r>
              <w:rPr>
                <w:rFonts w:hAnsiTheme="minorEastAsia" w:eastAsiaTheme="minorEastAsia"/>
                <w:color w:val="auto"/>
                <w:spacing w:val="-6"/>
                <w:sz w:val="24"/>
                <w:highlight w:val="none"/>
              </w:rPr>
              <w:t>用地（用海）</w:t>
            </w:r>
          </w:p>
          <w:p w14:paraId="0FE98BCF">
            <w:pPr>
              <w:keepNext w:val="0"/>
              <w:keepLines w:val="0"/>
              <w:pageBreakBefore w:val="0"/>
              <w:widowControl w:val="0"/>
              <w:kinsoku/>
              <w:wordWrap/>
              <w:overflowPunct/>
              <w:topLinePunct w:val="0"/>
              <w:bidi w:val="0"/>
              <w:adjustRightInd/>
              <w:snapToGrid/>
              <w:spacing w:line="260" w:lineRule="exact"/>
              <w:jc w:val="center"/>
              <w:textAlignment w:val="auto"/>
              <w:rPr>
                <w:rFonts w:eastAsiaTheme="minorEastAsia"/>
                <w:color w:val="auto"/>
                <w:sz w:val="24"/>
                <w:highlight w:val="none"/>
                <w:u w:val="single"/>
              </w:rPr>
            </w:pPr>
            <w:r>
              <w:rPr>
                <w:rFonts w:hAnsiTheme="minorEastAsia" w:eastAsiaTheme="minorEastAsia"/>
                <w:color w:val="auto"/>
                <w:spacing w:val="-6"/>
                <w:sz w:val="24"/>
                <w:highlight w:val="none"/>
              </w:rPr>
              <w:t>面积（</w:t>
            </w:r>
            <w:r>
              <w:rPr>
                <w:rFonts w:eastAsiaTheme="minorEastAsia"/>
                <w:color w:val="auto"/>
                <w:spacing w:val="-6"/>
                <w:sz w:val="24"/>
                <w:highlight w:val="none"/>
              </w:rPr>
              <w:t>m</w:t>
            </w:r>
            <w:r>
              <w:rPr>
                <w:rFonts w:eastAsiaTheme="minorEastAsia"/>
                <w:color w:val="auto"/>
                <w:spacing w:val="-6"/>
                <w:sz w:val="24"/>
                <w:highlight w:val="none"/>
                <w:vertAlign w:val="superscript"/>
              </w:rPr>
              <w:t>2</w:t>
            </w:r>
            <w:r>
              <w:rPr>
                <w:rFonts w:hAnsiTheme="minorEastAsia" w:eastAsiaTheme="minorEastAsia"/>
                <w:color w:val="auto"/>
                <w:spacing w:val="-6"/>
                <w:sz w:val="24"/>
                <w:highlight w:val="none"/>
              </w:rPr>
              <w:t>）</w:t>
            </w:r>
          </w:p>
        </w:tc>
        <w:tc>
          <w:tcPr>
            <w:tcW w:w="2878" w:type="dxa"/>
            <w:vAlign w:val="center"/>
          </w:tcPr>
          <w:p w14:paraId="61020C89">
            <w:pPr>
              <w:keepNext w:val="0"/>
              <w:keepLines w:val="0"/>
              <w:pageBreakBefore w:val="0"/>
              <w:widowControl w:val="0"/>
              <w:kinsoku/>
              <w:wordWrap/>
              <w:overflowPunct/>
              <w:topLinePunct w:val="0"/>
              <w:bidi w:val="0"/>
              <w:adjustRightInd/>
              <w:snapToGrid/>
              <w:spacing w:line="260" w:lineRule="exact"/>
              <w:jc w:val="center"/>
              <w:textAlignment w:val="auto"/>
              <w:rPr>
                <w:rFonts w:hint="default" w:eastAsiaTheme="minorEastAsia"/>
                <w:color w:val="auto"/>
                <w:sz w:val="24"/>
                <w:highlight w:val="none"/>
                <w:lang w:val="en-US" w:eastAsia="zh-CN"/>
              </w:rPr>
            </w:pPr>
            <w:r>
              <w:rPr>
                <w:rFonts w:hint="eastAsia" w:eastAsiaTheme="minorEastAsia"/>
                <w:color w:val="auto"/>
                <w:sz w:val="24"/>
                <w:highlight w:val="none"/>
                <w:lang w:val="en-US" w:eastAsia="zh-CN"/>
              </w:rPr>
              <w:t>3710</w:t>
            </w:r>
          </w:p>
        </w:tc>
      </w:tr>
      <w:tr w14:paraId="7C916B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0" w:type="dxa"/>
            <w:vAlign w:val="center"/>
          </w:tcPr>
          <w:p w14:paraId="56DE509E">
            <w:pPr>
              <w:keepNext w:val="0"/>
              <w:keepLines w:val="0"/>
              <w:pageBreakBefore w:val="0"/>
              <w:widowControl w:val="0"/>
              <w:kinsoku/>
              <w:wordWrap/>
              <w:overflowPunct/>
              <w:topLinePunct w:val="0"/>
              <w:autoSpaceDE w:val="0"/>
              <w:autoSpaceDN w:val="0"/>
              <w:bidi w:val="0"/>
              <w:adjustRightInd/>
              <w:snapToGrid/>
              <w:spacing w:line="260" w:lineRule="exact"/>
              <w:jc w:val="center"/>
              <w:textAlignment w:val="auto"/>
              <w:rPr>
                <w:rFonts w:hAnsiTheme="minorEastAsia" w:eastAsiaTheme="minorEastAsia"/>
                <w:color w:val="auto"/>
                <w:kern w:val="0"/>
                <w:sz w:val="24"/>
                <w:highlight w:val="none"/>
              </w:rPr>
            </w:pPr>
            <w:r>
              <w:rPr>
                <w:rFonts w:hAnsiTheme="minorEastAsia" w:eastAsiaTheme="minorEastAsia"/>
                <w:color w:val="auto"/>
                <w:kern w:val="0"/>
                <w:sz w:val="24"/>
                <w:highlight w:val="none"/>
              </w:rPr>
              <w:t>专项评价</w:t>
            </w:r>
          </w:p>
          <w:p w14:paraId="5412CF98">
            <w:pPr>
              <w:keepNext w:val="0"/>
              <w:keepLines w:val="0"/>
              <w:pageBreakBefore w:val="0"/>
              <w:widowControl w:val="0"/>
              <w:kinsoku/>
              <w:wordWrap/>
              <w:overflowPunct/>
              <w:topLinePunct w:val="0"/>
              <w:autoSpaceDE w:val="0"/>
              <w:autoSpaceDN w:val="0"/>
              <w:bidi w:val="0"/>
              <w:adjustRightInd/>
              <w:snapToGrid/>
              <w:spacing w:line="260" w:lineRule="exact"/>
              <w:jc w:val="center"/>
              <w:textAlignment w:val="auto"/>
              <w:rPr>
                <w:rFonts w:eastAsiaTheme="minorEastAsia"/>
                <w:color w:val="auto"/>
                <w:kern w:val="0"/>
                <w:sz w:val="24"/>
                <w:highlight w:val="none"/>
              </w:rPr>
            </w:pPr>
            <w:r>
              <w:rPr>
                <w:rFonts w:hAnsiTheme="minorEastAsia" w:eastAsiaTheme="minorEastAsia"/>
                <w:color w:val="auto"/>
                <w:kern w:val="0"/>
                <w:sz w:val="24"/>
                <w:highlight w:val="none"/>
              </w:rPr>
              <w:t>设置情况</w:t>
            </w:r>
          </w:p>
        </w:tc>
        <w:tc>
          <w:tcPr>
            <w:tcW w:w="7600" w:type="dxa"/>
            <w:gridSpan w:val="3"/>
            <w:vAlign w:val="center"/>
          </w:tcPr>
          <w:p w14:paraId="60DF4510">
            <w:pPr>
              <w:keepNext w:val="0"/>
              <w:keepLines w:val="0"/>
              <w:pageBreakBefore w:val="0"/>
              <w:widowControl w:val="0"/>
              <w:kinsoku/>
              <w:wordWrap/>
              <w:overflowPunct/>
              <w:topLinePunct w:val="0"/>
              <w:autoSpaceDE w:val="0"/>
              <w:autoSpaceDN w:val="0"/>
              <w:bidi w:val="0"/>
              <w:adjustRightInd/>
              <w:snapToGrid/>
              <w:spacing w:line="260" w:lineRule="exact"/>
              <w:jc w:val="center"/>
              <w:textAlignment w:val="auto"/>
              <w:rPr>
                <w:rFonts w:eastAsiaTheme="minorEastAsia"/>
                <w:color w:val="auto"/>
                <w:kern w:val="0"/>
                <w:sz w:val="24"/>
                <w:highlight w:val="none"/>
              </w:rPr>
            </w:pPr>
            <w:r>
              <w:rPr>
                <w:rFonts w:hAnsiTheme="minorEastAsia" w:eastAsiaTheme="minorEastAsia"/>
                <w:color w:val="auto"/>
                <w:sz w:val="24"/>
                <w:highlight w:val="none"/>
              </w:rPr>
              <w:t>无</w:t>
            </w:r>
          </w:p>
        </w:tc>
      </w:tr>
      <w:tr w14:paraId="704F34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0" w:type="dxa"/>
            <w:vAlign w:val="center"/>
          </w:tcPr>
          <w:p w14:paraId="29349B9B">
            <w:pPr>
              <w:keepNext w:val="0"/>
              <w:keepLines w:val="0"/>
              <w:pageBreakBefore w:val="0"/>
              <w:widowControl w:val="0"/>
              <w:kinsoku/>
              <w:wordWrap/>
              <w:overflowPunct/>
              <w:topLinePunct w:val="0"/>
              <w:autoSpaceDE w:val="0"/>
              <w:autoSpaceDN w:val="0"/>
              <w:bidi w:val="0"/>
              <w:adjustRightInd/>
              <w:snapToGrid/>
              <w:spacing w:line="360" w:lineRule="auto"/>
              <w:textAlignment w:val="auto"/>
              <w:rPr>
                <w:color w:val="auto"/>
                <w:sz w:val="24"/>
                <w:highlight w:val="none"/>
              </w:rPr>
            </w:pPr>
            <w:r>
              <w:rPr>
                <w:color w:val="auto"/>
                <w:sz w:val="24"/>
                <w:highlight w:val="none"/>
              </w:rPr>
              <w:t>规划情况</w:t>
            </w:r>
          </w:p>
        </w:tc>
        <w:tc>
          <w:tcPr>
            <w:tcW w:w="7600" w:type="dxa"/>
            <w:gridSpan w:val="3"/>
            <w:vAlign w:val="center"/>
          </w:tcPr>
          <w:p w14:paraId="6CAF66E5">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color w:val="auto"/>
                <w:sz w:val="24"/>
                <w:highlight w:val="none"/>
                <w:lang w:val="en-US" w:eastAsia="zh-CN"/>
              </w:rPr>
            </w:pPr>
            <w:r>
              <w:rPr>
                <w:rFonts w:hint="eastAsia"/>
                <w:color w:val="auto"/>
                <w:sz w:val="24"/>
                <w:highlight w:val="none"/>
                <w:lang w:val="en-US" w:eastAsia="zh-CN"/>
              </w:rPr>
              <w:t>《和静工业园总体规划》（2013-2025）</w:t>
            </w:r>
          </w:p>
        </w:tc>
      </w:tr>
      <w:tr w14:paraId="2D239F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0" w:type="dxa"/>
            <w:vAlign w:val="center"/>
          </w:tcPr>
          <w:p w14:paraId="13856030">
            <w:pPr>
              <w:keepNext w:val="0"/>
              <w:keepLines w:val="0"/>
              <w:pageBreakBefore w:val="0"/>
              <w:widowControl w:val="0"/>
              <w:kinsoku/>
              <w:wordWrap/>
              <w:overflowPunct/>
              <w:topLinePunct w:val="0"/>
              <w:bidi w:val="0"/>
              <w:adjustRightInd/>
              <w:snapToGrid/>
              <w:spacing w:line="360" w:lineRule="auto"/>
              <w:jc w:val="center"/>
              <w:textAlignment w:val="auto"/>
              <w:rPr>
                <w:rFonts w:eastAsiaTheme="minorEastAsia"/>
                <w:color w:val="auto"/>
                <w:sz w:val="24"/>
                <w:highlight w:val="none"/>
              </w:rPr>
            </w:pPr>
            <w:r>
              <w:rPr>
                <w:rFonts w:hAnsiTheme="minorEastAsia" w:eastAsiaTheme="minorEastAsia"/>
                <w:color w:val="auto"/>
                <w:sz w:val="24"/>
                <w:highlight w:val="none"/>
              </w:rPr>
              <w:t>规划环境影响</w:t>
            </w:r>
          </w:p>
          <w:p w14:paraId="7645D3E1">
            <w:pPr>
              <w:keepNext w:val="0"/>
              <w:keepLines w:val="0"/>
              <w:pageBreakBefore w:val="0"/>
              <w:widowControl w:val="0"/>
              <w:kinsoku/>
              <w:wordWrap/>
              <w:overflowPunct/>
              <w:topLinePunct w:val="0"/>
              <w:bidi w:val="0"/>
              <w:adjustRightInd/>
              <w:snapToGrid/>
              <w:spacing w:line="360" w:lineRule="auto"/>
              <w:jc w:val="center"/>
              <w:textAlignment w:val="auto"/>
              <w:rPr>
                <w:rFonts w:eastAsiaTheme="minorEastAsia"/>
                <w:color w:val="auto"/>
                <w:kern w:val="0"/>
                <w:sz w:val="24"/>
                <w:highlight w:val="none"/>
              </w:rPr>
            </w:pPr>
            <w:r>
              <w:rPr>
                <w:rFonts w:hAnsiTheme="minorEastAsia" w:eastAsiaTheme="minorEastAsia"/>
                <w:color w:val="auto"/>
                <w:sz w:val="24"/>
                <w:highlight w:val="none"/>
              </w:rPr>
              <w:t>评价情况</w:t>
            </w:r>
          </w:p>
        </w:tc>
        <w:tc>
          <w:tcPr>
            <w:tcW w:w="7600" w:type="dxa"/>
            <w:gridSpan w:val="3"/>
            <w:vAlign w:val="center"/>
          </w:tcPr>
          <w:p w14:paraId="58E611F4">
            <w:pPr>
              <w:keepNext w:val="0"/>
              <w:keepLines w:val="0"/>
              <w:pageBreakBefore w:val="0"/>
              <w:widowControl w:val="0"/>
              <w:kinsoku/>
              <w:wordWrap/>
              <w:overflowPunct/>
              <w:topLinePunct w:val="0"/>
              <w:autoSpaceDE w:val="0"/>
              <w:autoSpaceDN w:val="0"/>
              <w:bidi w:val="0"/>
              <w:adjustRightInd/>
              <w:snapToGrid/>
              <w:spacing w:line="360" w:lineRule="auto"/>
              <w:textAlignment w:val="auto"/>
              <w:rPr>
                <w:color w:val="auto"/>
                <w:sz w:val="24"/>
                <w:highlight w:val="none"/>
              </w:rPr>
            </w:pPr>
            <w:r>
              <w:rPr>
                <w:color w:val="auto"/>
                <w:sz w:val="24"/>
                <w:highlight w:val="none"/>
              </w:rPr>
              <w:t>规划环境影响评价文件名称</w:t>
            </w:r>
            <w:r>
              <w:rPr>
                <w:rFonts w:hint="eastAsia"/>
                <w:color w:val="auto"/>
                <w:sz w:val="24"/>
                <w:highlight w:val="none"/>
              </w:rPr>
              <w:t>：</w:t>
            </w:r>
            <w:r>
              <w:rPr>
                <w:color w:val="auto"/>
                <w:sz w:val="24"/>
                <w:highlight w:val="none"/>
              </w:rPr>
              <w:t>《</w:t>
            </w:r>
            <w:r>
              <w:rPr>
                <w:rFonts w:hint="eastAsia"/>
                <w:color w:val="auto"/>
                <w:sz w:val="24"/>
                <w:highlight w:val="none"/>
                <w:lang w:val="en-US" w:eastAsia="zh-CN"/>
              </w:rPr>
              <w:t>和静</w:t>
            </w:r>
            <w:r>
              <w:rPr>
                <w:color w:val="auto"/>
                <w:sz w:val="24"/>
                <w:highlight w:val="none"/>
              </w:rPr>
              <w:t>工业</w:t>
            </w:r>
            <w:r>
              <w:rPr>
                <w:rFonts w:hint="eastAsia"/>
                <w:color w:val="auto"/>
                <w:sz w:val="24"/>
                <w:highlight w:val="none"/>
              </w:rPr>
              <w:t>园区</w:t>
            </w:r>
            <w:r>
              <w:rPr>
                <w:color w:val="auto"/>
                <w:sz w:val="24"/>
                <w:highlight w:val="none"/>
              </w:rPr>
              <w:t>总体规划环境影响报告书》</w:t>
            </w:r>
          </w:p>
          <w:p w14:paraId="3A6280E9">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eastAsia="宋体"/>
                <w:color w:val="auto"/>
                <w:sz w:val="24"/>
                <w:highlight w:val="none"/>
                <w:lang w:val="en-US" w:eastAsia="zh-CN"/>
              </w:rPr>
            </w:pPr>
            <w:r>
              <w:rPr>
                <w:color w:val="auto"/>
                <w:sz w:val="24"/>
                <w:highlight w:val="none"/>
              </w:rPr>
              <w:t>召集审查机关：</w:t>
            </w:r>
            <w:r>
              <w:rPr>
                <w:rFonts w:hint="eastAsia"/>
                <w:color w:val="auto"/>
                <w:sz w:val="24"/>
                <w:highlight w:val="none"/>
                <w:lang w:val="en-US" w:eastAsia="zh-CN"/>
              </w:rPr>
              <w:t>新疆维吾尔自治区环境保护厅</w:t>
            </w:r>
          </w:p>
          <w:p w14:paraId="49CA56F0">
            <w:pPr>
              <w:keepNext w:val="0"/>
              <w:keepLines w:val="0"/>
              <w:pageBreakBefore w:val="0"/>
              <w:widowControl w:val="0"/>
              <w:kinsoku/>
              <w:wordWrap/>
              <w:overflowPunct/>
              <w:topLinePunct w:val="0"/>
              <w:autoSpaceDE w:val="0"/>
              <w:autoSpaceDN w:val="0"/>
              <w:bidi w:val="0"/>
              <w:adjustRightInd/>
              <w:snapToGrid/>
              <w:spacing w:line="360" w:lineRule="auto"/>
              <w:textAlignment w:val="auto"/>
              <w:rPr>
                <w:color w:val="auto"/>
                <w:sz w:val="24"/>
                <w:highlight w:val="none"/>
              </w:rPr>
            </w:pPr>
            <w:r>
              <w:rPr>
                <w:color w:val="auto"/>
                <w:sz w:val="24"/>
                <w:highlight w:val="none"/>
              </w:rPr>
              <w:t>审查文件名称及文号：《关于</w:t>
            </w:r>
            <w:r>
              <w:rPr>
                <w:rFonts w:hint="eastAsia"/>
                <w:color w:val="auto"/>
                <w:sz w:val="24"/>
                <w:highlight w:val="none"/>
                <w:lang w:val="en-US" w:eastAsia="zh-CN"/>
              </w:rPr>
              <w:t>和静</w:t>
            </w:r>
            <w:r>
              <w:rPr>
                <w:color w:val="auto"/>
                <w:sz w:val="24"/>
                <w:highlight w:val="none"/>
              </w:rPr>
              <w:t>工业</w:t>
            </w:r>
            <w:r>
              <w:rPr>
                <w:rFonts w:hint="eastAsia"/>
                <w:color w:val="auto"/>
                <w:sz w:val="24"/>
                <w:highlight w:val="none"/>
              </w:rPr>
              <w:t>园区</w:t>
            </w:r>
            <w:r>
              <w:rPr>
                <w:color w:val="auto"/>
                <w:sz w:val="24"/>
                <w:highlight w:val="none"/>
              </w:rPr>
              <w:t>总体规划环境影响报告书的审批意见》（</w:t>
            </w:r>
            <w:r>
              <w:rPr>
                <w:rFonts w:hint="eastAsia"/>
                <w:color w:val="auto"/>
                <w:sz w:val="24"/>
                <w:highlight w:val="none"/>
              </w:rPr>
              <w:t>新环函〔2016〕1323号</w:t>
            </w:r>
            <w:r>
              <w:rPr>
                <w:color w:val="auto"/>
                <w:sz w:val="24"/>
                <w:highlight w:val="none"/>
              </w:rPr>
              <w:t>）</w:t>
            </w:r>
          </w:p>
          <w:p w14:paraId="21BCD466">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eastAsia="宋体"/>
                <w:color w:val="auto"/>
                <w:sz w:val="24"/>
                <w:highlight w:val="none"/>
                <w:lang w:eastAsia="zh-CN"/>
              </w:rPr>
            </w:pPr>
            <w:r>
              <w:rPr>
                <w:rFonts w:hint="eastAsia"/>
                <w:color w:val="auto"/>
                <w:sz w:val="24"/>
                <w:highlight w:val="none"/>
              </w:rPr>
              <w:t>《关于和静工业园区总体规划</w:t>
            </w:r>
            <w:r>
              <w:rPr>
                <w:rFonts w:hint="eastAsia"/>
                <w:color w:val="auto"/>
                <w:sz w:val="24"/>
                <w:highlight w:val="none"/>
                <w:lang w:eastAsia="zh-CN"/>
              </w:rPr>
              <w:t>（</w:t>
            </w:r>
            <w:r>
              <w:rPr>
                <w:rFonts w:hint="eastAsia"/>
                <w:color w:val="auto"/>
                <w:sz w:val="24"/>
                <w:highlight w:val="none"/>
              </w:rPr>
              <w:t>2013-2030年</w:t>
            </w:r>
            <w:r>
              <w:rPr>
                <w:rFonts w:hint="eastAsia"/>
                <w:color w:val="auto"/>
                <w:sz w:val="24"/>
                <w:highlight w:val="none"/>
                <w:lang w:eastAsia="zh-CN"/>
              </w:rPr>
              <w:t>）</w:t>
            </w:r>
            <w:r>
              <w:rPr>
                <w:rFonts w:hint="eastAsia"/>
                <w:color w:val="auto"/>
                <w:sz w:val="24"/>
                <w:highlight w:val="none"/>
              </w:rPr>
              <w:t>环境影响跟踪评价报告书的论证意见》</w:t>
            </w:r>
            <w:r>
              <w:rPr>
                <w:rFonts w:hint="eastAsia"/>
                <w:color w:val="auto"/>
                <w:sz w:val="24"/>
                <w:highlight w:val="none"/>
                <w:lang w:eastAsia="zh-CN"/>
              </w:rPr>
              <w:t>（新环环评函</w:t>
            </w:r>
            <w:r>
              <w:rPr>
                <w:rFonts w:hint="eastAsia"/>
                <w:color w:val="auto"/>
                <w:sz w:val="24"/>
                <w:highlight w:val="none"/>
              </w:rPr>
              <w:t>〔</w:t>
            </w:r>
            <w:r>
              <w:rPr>
                <w:rFonts w:hint="eastAsia"/>
                <w:color w:val="auto"/>
                <w:sz w:val="24"/>
                <w:highlight w:val="none"/>
                <w:lang w:eastAsia="zh-CN"/>
              </w:rPr>
              <w:t>2022</w:t>
            </w:r>
            <w:r>
              <w:rPr>
                <w:rFonts w:hint="eastAsia"/>
                <w:color w:val="auto"/>
                <w:sz w:val="24"/>
                <w:highlight w:val="none"/>
              </w:rPr>
              <w:t>〕</w:t>
            </w:r>
            <w:r>
              <w:rPr>
                <w:rFonts w:hint="eastAsia"/>
                <w:color w:val="auto"/>
                <w:sz w:val="24"/>
                <w:highlight w:val="none"/>
                <w:lang w:eastAsia="zh-CN"/>
              </w:rPr>
              <w:t>862号）</w:t>
            </w:r>
          </w:p>
          <w:p w14:paraId="3C54E6B2">
            <w:pPr>
              <w:keepNext w:val="0"/>
              <w:keepLines w:val="0"/>
              <w:pageBreakBefore w:val="0"/>
              <w:widowControl w:val="0"/>
              <w:kinsoku/>
              <w:wordWrap/>
              <w:overflowPunct/>
              <w:topLinePunct w:val="0"/>
              <w:autoSpaceDE w:val="0"/>
              <w:autoSpaceDN w:val="0"/>
              <w:bidi w:val="0"/>
              <w:adjustRightInd/>
              <w:snapToGrid/>
              <w:spacing w:line="360" w:lineRule="auto"/>
              <w:textAlignment w:val="auto"/>
              <w:rPr>
                <w:color w:val="auto"/>
                <w:sz w:val="24"/>
                <w:highlight w:val="none"/>
              </w:rPr>
            </w:pPr>
          </w:p>
        </w:tc>
      </w:tr>
      <w:tr w14:paraId="07C25E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0" w:type="dxa"/>
            <w:vAlign w:val="center"/>
          </w:tcPr>
          <w:p w14:paraId="5F929C82">
            <w:pPr>
              <w:autoSpaceDE w:val="0"/>
              <w:autoSpaceDN w:val="0"/>
              <w:adjustRightInd w:val="0"/>
              <w:snapToGrid w:val="0"/>
              <w:spacing w:line="500" w:lineRule="exact"/>
              <w:ind w:left="-63" w:leftChars="-30" w:right="-63" w:rightChars="-30"/>
              <w:jc w:val="center"/>
              <w:rPr>
                <w:rFonts w:eastAsiaTheme="minorEastAsia"/>
                <w:color w:val="auto"/>
                <w:kern w:val="0"/>
                <w:sz w:val="24"/>
                <w:highlight w:val="none"/>
              </w:rPr>
            </w:pPr>
            <w:r>
              <w:rPr>
                <w:rFonts w:hAnsiTheme="minorEastAsia" w:eastAsiaTheme="minorEastAsia"/>
                <w:color w:val="auto"/>
                <w:kern w:val="0"/>
                <w:sz w:val="24"/>
                <w:highlight w:val="none"/>
              </w:rPr>
              <w:t>规划及规划环境</w:t>
            </w:r>
          </w:p>
          <w:p w14:paraId="66DE4769">
            <w:pPr>
              <w:autoSpaceDE w:val="0"/>
              <w:autoSpaceDN w:val="0"/>
              <w:adjustRightInd w:val="0"/>
              <w:snapToGrid w:val="0"/>
              <w:spacing w:line="500" w:lineRule="exact"/>
              <w:ind w:left="-63" w:leftChars="-30" w:right="-63" w:rightChars="-30"/>
              <w:jc w:val="center"/>
              <w:rPr>
                <w:rFonts w:eastAsiaTheme="minorEastAsia"/>
                <w:color w:val="auto"/>
                <w:kern w:val="0"/>
                <w:sz w:val="24"/>
                <w:highlight w:val="none"/>
              </w:rPr>
            </w:pPr>
            <w:r>
              <w:rPr>
                <w:rFonts w:hAnsiTheme="minorEastAsia" w:eastAsiaTheme="minorEastAsia"/>
                <w:color w:val="auto"/>
                <w:kern w:val="0"/>
                <w:sz w:val="24"/>
                <w:highlight w:val="none"/>
              </w:rPr>
              <w:t>影响评价符合性分析</w:t>
            </w:r>
          </w:p>
        </w:tc>
        <w:tc>
          <w:tcPr>
            <w:tcW w:w="7600" w:type="dxa"/>
            <w:gridSpan w:val="3"/>
            <w:vAlign w:val="center"/>
          </w:tcPr>
          <w:p w14:paraId="514911B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color w:val="auto"/>
                <w:sz w:val="24"/>
                <w:highlight w:val="none"/>
              </w:rPr>
            </w:pPr>
            <w:r>
              <w:rPr>
                <w:rFonts w:hint="eastAsia"/>
                <w:color w:val="auto"/>
                <w:sz w:val="24"/>
                <w:highlight w:val="none"/>
                <w:lang w:val="en-US" w:eastAsia="zh-CN"/>
              </w:rPr>
              <w:t>和静</w:t>
            </w:r>
            <w:r>
              <w:rPr>
                <w:rFonts w:hint="eastAsia"/>
                <w:color w:val="auto"/>
                <w:sz w:val="24"/>
                <w:highlight w:val="none"/>
              </w:rPr>
              <w:t>工业园区于201</w:t>
            </w:r>
            <w:r>
              <w:rPr>
                <w:rFonts w:hint="eastAsia"/>
                <w:color w:val="auto"/>
                <w:sz w:val="24"/>
                <w:highlight w:val="none"/>
                <w:lang w:val="en-US" w:eastAsia="zh-CN"/>
              </w:rPr>
              <w:t>0</w:t>
            </w:r>
            <w:r>
              <w:rPr>
                <w:rFonts w:hint="eastAsia"/>
                <w:color w:val="auto"/>
                <w:sz w:val="24"/>
                <w:highlight w:val="none"/>
              </w:rPr>
              <w:t>年</w:t>
            </w:r>
            <w:r>
              <w:rPr>
                <w:rFonts w:hint="eastAsia"/>
                <w:color w:val="auto"/>
                <w:sz w:val="24"/>
                <w:highlight w:val="none"/>
                <w:lang w:val="en-US" w:eastAsia="zh-CN"/>
              </w:rPr>
              <w:t>10</w:t>
            </w:r>
            <w:r>
              <w:rPr>
                <w:rFonts w:hint="eastAsia"/>
                <w:color w:val="auto"/>
                <w:sz w:val="24"/>
                <w:highlight w:val="none"/>
              </w:rPr>
              <w:t>月经自治区人民政府批准升级为自治区级工业园区。</w:t>
            </w:r>
          </w:p>
          <w:p w14:paraId="71024294">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eastAsia="宋体"/>
                <w:color w:val="auto"/>
                <w:sz w:val="24"/>
                <w:highlight w:val="none"/>
                <w:lang w:val="en-US" w:eastAsia="zh-CN"/>
              </w:rPr>
            </w:pPr>
            <w:r>
              <w:rPr>
                <w:rFonts w:hint="eastAsia"/>
                <w:color w:val="auto"/>
                <w:sz w:val="24"/>
                <w:highlight w:val="none"/>
                <w:lang w:eastAsia="zh-CN"/>
              </w:rPr>
              <w:t>（</w:t>
            </w:r>
            <w:r>
              <w:rPr>
                <w:rFonts w:hint="eastAsia"/>
                <w:color w:val="auto"/>
                <w:sz w:val="24"/>
                <w:highlight w:val="none"/>
                <w:lang w:val="en-US" w:eastAsia="zh-CN"/>
              </w:rPr>
              <w:t>1</w:t>
            </w:r>
            <w:r>
              <w:rPr>
                <w:rFonts w:hint="eastAsia"/>
                <w:color w:val="auto"/>
                <w:sz w:val="24"/>
                <w:highlight w:val="none"/>
                <w:lang w:eastAsia="zh-CN"/>
              </w:rPr>
              <w:t>）</w:t>
            </w:r>
            <w:r>
              <w:rPr>
                <w:rFonts w:hint="eastAsia"/>
                <w:color w:val="auto"/>
                <w:sz w:val="24"/>
                <w:highlight w:val="none"/>
                <w:lang w:val="en-US" w:eastAsia="zh-CN"/>
              </w:rPr>
              <w:t>项目与</w:t>
            </w:r>
            <w:bookmarkStart w:id="5" w:name="OLE_LINK2"/>
            <w:r>
              <w:rPr>
                <w:rFonts w:hint="eastAsia"/>
                <w:color w:val="auto"/>
                <w:sz w:val="24"/>
                <w:highlight w:val="none"/>
                <w:lang w:val="en-US" w:eastAsia="zh-CN"/>
              </w:rPr>
              <w:t>《和静</w:t>
            </w:r>
            <w:r>
              <w:rPr>
                <w:rFonts w:hint="eastAsia"/>
                <w:color w:val="auto"/>
                <w:sz w:val="24"/>
                <w:highlight w:val="none"/>
              </w:rPr>
              <w:t>工业园区总体规划</w:t>
            </w:r>
            <w:r>
              <w:rPr>
                <w:rFonts w:hint="eastAsia"/>
                <w:color w:val="auto"/>
                <w:sz w:val="24"/>
                <w:highlight w:val="none"/>
                <w:lang w:val="en-US" w:eastAsia="zh-CN"/>
              </w:rPr>
              <w:t>》</w:t>
            </w:r>
            <w:r>
              <w:rPr>
                <w:color w:val="auto"/>
                <w:sz w:val="24"/>
                <w:highlight w:val="none"/>
              </w:rPr>
              <w:t>《</w:t>
            </w:r>
            <w:r>
              <w:rPr>
                <w:rFonts w:hint="eastAsia"/>
                <w:color w:val="auto"/>
                <w:sz w:val="24"/>
                <w:highlight w:val="none"/>
                <w:lang w:val="en-US" w:eastAsia="zh-CN"/>
              </w:rPr>
              <w:t>和静</w:t>
            </w:r>
            <w:r>
              <w:rPr>
                <w:color w:val="auto"/>
                <w:sz w:val="24"/>
                <w:highlight w:val="none"/>
              </w:rPr>
              <w:t>工业</w:t>
            </w:r>
            <w:r>
              <w:rPr>
                <w:rFonts w:hint="eastAsia"/>
                <w:color w:val="auto"/>
                <w:sz w:val="24"/>
                <w:highlight w:val="none"/>
              </w:rPr>
              <w:t>园区</w:t>
            </w:r>
            <w:r>
              <w:rPr>
                <w:color w:val="auto"/>
                <w:sz w:val="24"/>
                <w:highlight w:val="none"/>
              </w:rPr>
              <w:t>总体规划环境影响报告书》</w:t>
            </w:r>
            <w:r>
              <w:rPr>
                <w:rFonts w:hint="eastAsia"/>
                <w:color w:val="auto"/>
                <w:sz w:val="24"/>
                <w:highlight w:val="none"/>
                <w:lang w:val="en-US" w:eastAsia="zh-CN"/>
              </w:rPr>
              <w:t>、</w:t>
            </w:r>
            <w:r>
              <w:rPr>
                <w:color w:val="auto"/>
                <w:sz w:val="24"/>
                <w:highlight w:val="none"/>
              </w:rPr>
              <w:t>《关于</w:t>
            </w:r>
            <w:r>
              <w:rPr>
                <w:rFonts w:hint="eastAsia"/>
                <w:color w:val="auto"/>
                <w:sz w:val="24"/>
                <w:highlight w:val="none"/>
                <w:lang w:val="en-US" w:eastAsia="zh-CN"/>
              </w:rPr>
              <w:t>和静</w:t>
            </w:r>
            <w:r>
              <w:rPr>
                <w:color w:val="auto"/>
                <w:sz w:val="24"/>
                <w:highlight w:val="none"/>
              </w:rPr>
              <w:t>工业</w:t>
            </w:r>
            <w:r>
              <w:rPr>
                <w:rFonts w:hint="eastAsia"/>
                <w:color w:val="auto"/>
                <w:sz w:val="24"/>
                <w:highlight w:val="none"/>
              </w:rPr>
              <w:t>园区</w:t>
            </w:r>
            <w:r>
              <w:rPr>
                <w:color w:val="auto"/>
                <w:sz w:val="24"/>
                <w:highlight w:val="none"/>
              </w:rPr>
              <w:t>总体规划环境影响报告书的审批意见》</w:t>
            </w:r>
            <w:bookmarkEnd w:id="5"/>
            <w:r>
              <w:rPr>
                <w:color w:val="auto"/>
                <w:sz w:val="24"/>
                <w:highlight w:val="none"/>
              </w:rPr>
              <w:t>（</w:t>
            </w:r>
            <w:r>
              <w:rPr>
                <w:rFonts w:hint="eastAsia"/>
                <w:color w:val="auto"/>
                <w:sz w:val="24"/>
                <w:highlight w:val="none"/>
              </w:rPr>
              <w:t>新环函〔2016〕1323号</w:t>
            </w:r>
            <w:r>
              <w:rPr>
                <w:color w:val="auto"/>
                <w:sz w:val="24"/>
                <w:highlight w:val="none"/>
              </w:rPr>
              <w:t>）</w:t>
            </w:r>
            <w:r>
              <w:rPr>
                <w:rFonts w:hint="eastAsia"/>
                <w:color w:val="auto"/>
                <w:sz w:val="24"/>
                <w:highlight w:val="none"/>
                <w:lang w:val="en-US" w:eastAsia="zh-CN"/>
              </w:rPr>
              <w:t>及</w:t>
            </w:r>
            <w:r>
              <w:rPr>
                <w:rFonts w:hint="eastAsia"/>
                <w:color w:val="auto"/>
                <w:sz w:val="24"/>
                <w:highlight w:val="none"/>
              </w:rPr>
              <w:t>《关于和静工业园区总体规划</w:t>
            </w:r>
            <w:r>
              <w:rPr>
                <w:rFonts w:hint="eastAsia"/>
                <w:color w:val="auto"/>
                <w:sz w:val="24"/>
                <w:highlight w:val="none"/>
                <w:lang w:eastAsia="zh-CN"/>
              </w:rPr>
              <w:t>（</w:t>
            </w:r>
            <w:r>
              <w:rPr>
                <w:rFonts w:hint="eastAsia"/>
                <w:color w:val="auto"/>
                <w:sz w:val="24"/>
                <w:highlight w:val="none"/>
              </w:rPr>
              <w:t>2013-2030年</w:t>
            </w:r>
            <w:r>
              <w:rPr>
                <w:rFonts w:hint="eastAsia"/>
                <w:color w:val="auto"/>
                <w:sz w:val="24"/>
                <w:highlight w:val="none"/>
                <w:lang w:eastAsia="zh-CN"/>
              </w:rPr>
              <w:t>）</w:t>
            </w:r>
            <w:r>
              <w:rPr>
                <w:rFonts w:hint="eastAsia"/>
                <w:color w:val="auto"/>
                <w:sz w:val="24"/>
                <w:highlight w:val="none"/>
              </w:rPr>
              <w:t>环境影响跟踪评价报告书的论证意见》</w:t>
            </w:r>
            <w:r>
              <w:rPr>
                <w:rFonts w:hint="eastAsia"/>
                <w:color w:val="auto"/>
                <w:sz w:val="24"/>
                <w:highlight w:val="none"/>
                <w:lang w:eastAsia="zh-CN"/>
              </w:rPr>
              <w:t>（新环环评函</w:t>
            </w:r>
            <w:r>
              <w:rPr>
                <w:rFonts w:hint="eastAsia"/>
                <w:color w:val="auto"/>
                <w:sz w:val="24"/>
                <w:highlight w:val="none"/>
              </w:rPr>
              <w:t>〔</w:t>
            </w:r>
            <w:r>
              <w:rPr>
                <w:rFonts w:hint="eastAsia"/>
                <w:color w:val="auto"/>
                <w:sz w:val="24"/>
                <w:highlight w:val="none"/>
                <w:lang w:eastAsia="zh-CN"/>
              </w:rPr>
              <w:t>2022</w:t>
            </w:r>
            <w:r>
              <w:rPr>
                <w:rFonts w:hint="eastAsia"/>
                <w:color w:val="auto"/>
                <w:sz w:val="24"/>
                <w:highlight w:val="none"/>
              </w:rPr>
              <w:t>〕</w:t>
            </w:r>
            <w:r>
              <w:rPr>
                <w:rFonts w:hint="eastAsia"/>
                <w:color w:val="auto"/>
                <w:sz w:val="24"/>
                <w:highlight w:val="none"/>
                <w:lang w:eastAsia="zh-CN"/>
              </w:rPr>
              <w:t>862号）</w:t>
            </w:r>
            <w:r>
              <w:rPr>
                <w:rFonts w:hint="eastAsia"/>
                <w:color w:val="auto"/>
                <w:sz w:val="24"/>
                <w:highlight w:val="none"/>
                <w:lang w:val="en-US" w:eastAsia="zh-CN"/>
              </w:rPr>
              <w:t>符合性分析</w:t>
            </w:r>
          </w:p>
          <w:p w14:paraId="6D7446A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color w:val="auto"/>
                <w:sz w:val="24"/>
                <w:highlight w:val="none"/>
              </w:rPr>
              <w:t>根据</w:t>
            </w:r>
            <w:r>
              <w:rPr>
                <w:rFonts w:hint="eastAsia"/>
                <w:color w:val="auto"/>
                <w:sz w:val="24"/>
                <w:highlight w:val="none"/>
                <w:lang w:val="en-US" w:eastAsia="zh-CN"/>
              </w:rPr>
              <w:t>《和静</w:t>
            </w:r>
            <w:r>
              <w:rPr>
                <w:rFonts w:hint="eastAsia"/>
                <w:color w:val="auto"/>
                <w:sz w:val="24"/>
                <w:highlight w:val="none"/>
              </w:rPr>
              <w:t>工业园区总体规划</w:t>
            </w:r>
            <w:r>
              <w:rPr>
                <w:rFonts w:hint="eastAsia"/>
                <w:color w:val="auto"/>
                <w:sz w:val="24"/>
                <w:highlight w:val="none"/>
                <w:lang w:val="en-US" w:eastAsia="zh-CN"/>
              </w:rPr>
              <w:t>》</w:t>
            </w:r>
            <w:r>
              <w:rPr>
                <w:color w:val="auto"/>
                <w:sz w:val="24"/>
                <w:highlight w:val="none"/>
              </w:rPr>
              <w:t>《</w:t>
            </w:r>
            <w:r>
              <w:rPr>
                <w:rFonts w:hint="eastAsia"/>
                <w:color w:val="auto"/>
                <w:sz w:val="24"/>
                <w:highlight w:val="none"/>
                <w:lang w:val="en-US" w:eastAsia="zh-CN"/>
              </w:rPr>
              <w:t>和静</w:t>
            </w:r>
            <w:r>
              <w:rPr>
                <w:color w:val="auto"/>
                <w:sz w:val="24"/>
                <w:highlight w:val="none"/>
              </w:rPr>
              <w:t>工业</w:t>
            </w:r>
            <w:r>
              <w:rPr>
                <w:rFonts w:hint="eastAsia"/>
                <w:color w:val="auto"/>
                <w:sz w:val="24"/>
                <w:highlight w:val="none"/>
              </w:rPr>
              <w:t>园区</w:t>
            </w:r>
            <w:r>
              <w:rPr>
                <w:color w:val="auto"/>
                <w:sz w:val="24"/>
                <w:highlight w:val="none"/>
              </w:rPr>
              <w:t>总体规划环境影响报告书》</w:t>
            </w:r>
            <w:r>
              <w:rPr>
                <w:rFonts w:hint="eastAsia"/>
                <w:color w:val="auto"/>
                <w:sz w:val="24"/>
                <w:highlight w:val="none"/>
                <w:lang w:val="en-US" w:eastAsia="zh-CN"/>
              </w:rPr>
              <w:t>、</w:t>
            </w:r>
            <w:r>
              <w:rPr>
                <w:color w:val="auto"/>
                <w:sz w:val="24"/>
                <w:highlight w:val="none"/>
              </w:rPr>
              <w:t>《关于</w:t>
            </w:r>
            <w:r>
              <w:rPr>
                <w:rFonts w:hint="eastAsia"/>
                <w:color w:val="auto"/>
                <w:sz w:val="24"/>
                <w:highlight w:val="none"/>
                <w:lang w:val="en-US" w:eastAsia="zh-CN"/>
              </w:rPr>
              <w:t>和静</w:t>
            </w:r>
            <w:r>
              <w:rPr>
                <w:color w:val="auto"/>
                <w:sz w:val="24"/>
                <w:highlight w:val="none"/>
              </w:rPr>
              <w:t>工业</w:t>
            </w:r>
            <w:r>
              <w:rPr>
                <w:rFonts w:hint="eastAsia"/>
                <w:color w:val="auto"/>
                <w:sz w:val="24"/>
                <w:highlight w:val="none"/>
              </w:rPr>
              <w:t>园区</w:t>
            </w:r>
            <w:r>
              <w:rPr>
                <w:color w:val="auto"/>
                <w:sz w:val="24"/>
                <w:highlight w:val="none"/>
              </w:rPr>
              <w:t>总体规划环境影响报告书的审批意见》（</w:t>
            </w:r>
            <w:r>
              <w:rPr>
                <w:rFonts w:hint="eastAsia"/>
                <w:color w:val="auto"/>
                <w:sz w:val="24"/>
                <w:highlight w:val="none"/>
              </w:rPr>
              <w:t>新环函〔2016〕1323号</w:t>
            </w:r>
            <w:r>
              <w:rPr>
                <w:color w:val="auto"/>
                <w:sz w:val="24"/>
                <w:highlight w:val="none"/>
              </w:rPr>
              <w:t>）</w:t>
            </w:r>
            <w:r>
              <w:rPr>
                <w:rFonts w:hint="eastAsia"/>
                <w:color w:val="auto"/>
                <w:sz w:val="24"/>
                <w:highlight w:val="none"/>
                <w:lang w:val="en-US" w:eastAsia="zh-CN"/>
              </w:rPr>
              <w:t>及</w:t>
            </w:r>
            <w:r>
              <w:rPr>
                <w:rFonts w:hint="eastAsia"/>
                <w:color w:val="auto"/>
                <w:sz w:val="24"/>
                <w:highlight w:val="none"/>
              </w:rPr>
              <w:t>《关于和静工业园区总体规划</w:t>
            </w:r>
            <w:r>
              <w:rPr>
                <w:rFonts w:hint="eastAsia"/>
                <w:color w:val="auto"/>
                <w:sz w:val="24"/>
                <w:highlight w:val="none"/>
                <w:lang w:eastAsia="zh-CN"/>
              </w:rPr>
              <w:t>（</w:t>
            </w:r>
            <w:r>
              <w:rPr>
                <w:rFonts w:hint="eastAsia"/>
                <w:color w:val="auto"/>
                <w:sz w:val="24"/>
                <w:highlight w:val="none"/>
              </w:rPr>
              <w:t>2013-2030年</w:t>
            </w:r>
            <w:r>
              <w:rPr>
                <w:rFonts w:hint="eastAsia"/>
                <w:color w:val="auto"/>
                <w:sz w:val="24"/>
                <w:highlight w:val="none"/>
                <w:lang w:eastAsia="zh-CN"/>
              </w:rPr>
              <w:t>）</w:t>
            </w:r>
            <w:r>
              <w:rPr>
                <w:rFonts w:hint="eastAsia"/>
                <w:color w:val="auto"/>
                <w:sz w:val="24"/>
                <w:highlight w:val="none"/>
              </w:rPr>
              <w:t>环境影响跟踪评价报告书的论证意见》</w:t>
            </w:r>
            <w:r>
              <w:rPr>
                <w:rFonts w:hint="eastAsia"/>
                <w:color w:val="auto"/>
                <w:sz w:val="24"/>
                <w:highlight w:val="none"/>
                <w:lang w:eastAsia="zh-CN"/>
              </w:rPr>
              <w:t>（新环环评函</w:t>
            </w:r>
            <w:r>
              <w:rPr>
                <w:rFonts w:hint="eastAsia"/>
                <w:color w:val="auto"/>
                <w:sz w:val="24"/>
                <w:highlight w:val="none"/>
              </w:rPr>
              <w:t>〔</w:t>
            </w:r>
            <w:r>
              <w:rPr>
                <w:rFonts w:hint="eastAsia"/>
                <w:color w:val="auto"/>
                <w:sz w:val="24"/>
                <w:highlight w:val="none"/>
                <w:lang w:eastAsia="zh-CN"/>
              </w:rPr>
              <w:t>2022</w:t>
            </w:r>
            <w:r>
              <w:rPr>
                <w:rFonts w:hint="eastAsia"/>
                <w:color w:val="auto"/>
                <w:sz w:val="24"/>
                <w:highlight w:val="none"/>
              </w:rPr>
              <w:t>〕</w:t>
            </w:r>
            <w:r>
              <w:rPr>
                <w:rFonts w:hint="eastAsia"/>
                <w:color w:val="auto"/>
                <w:sz w:val="24"/>
                <w:highlight w:val="none"/>
                <w:lang w:eastAsia="zh-CN"/>
              </w:rPr>
              <w:t>862号）</w:t>
            </w:r>
            <w:r>
              <w:rPr>
                <w:color w:val="auto"/>
                <w:sz w:val="24"/>
                <w:highlight w:val="none"/>
              </w:rPr>
              <w:t>，</w:t>
            </w:r>
            <w:r>
              <w:rPr>
                <w:rFonts w:hint="eastAsia"/>
                <w:color w:val="auto"/>
                <w:sz w:val="24"/>
                <w:highlight w:val="none"/>
                <w:lang w:val="en-US" w:eastAsia="zh-CN"/>
              </w:rPr>
              <w:t>和静</w:t>
            </w:r>
            <w:r>
              <w:rPr>
                <w:rFonts w:hint="eastAsia"/>
                <w:color w:val="auto"/>
                <w:sz w:val="24"/>
                <w:highlight w:val="none"/>
              </w:rPr>
              <w:t>工业园区位于</w:t>
            </w:r>
            <w:r>
              <w:rPr>
                <w:rFonts w:hint="eastAsia"/>
                <w:color w:val="auto"/>
                <w:sz w:val="24"/>
                <w:highlight w:val="none"/>
                <w:lang w:val="en-US" w:eastAsia="zh-CN"/>
              </w:rPr>
              <w:t>和静县西</w:t>
            </w:r>
            <w:r>
              <w:rPr>
                <w:rFonts w:hint="eastAsia"/>
                <w:color w:val="auto"/>
                <w:sz w:val="24"/>
                <w:highlight w:val="none"/>
              </w:rPr>
              <w:t>部，</w:t>
            </w:r>
            <w:r>
              <w:rPr>
                <w:rFonts w:hint="default" w:ascii="Times New Roman" w:hAnsi="Times New Roman" w:eastAsia="宋体" w:cs="Times New Roman"/>
                <w:color w:val="auto"/>
                <w:sz w:val="24"/>
                <w:highlight w:val="none"/>
                <w:lang w:val="en-US" w:eastAsia="zh-CN"/>
              </w:rPr>
              <w:t>和静工业园区为“一园三区”</w:t>
            </w:r>
            <w:r>
              <w:rPr>
                <w:rFonts w:hint="eastAsia" w:ascii="Times New Roman" w:hAnsi="Times New Roman" w:eastAsia="宋体" w:cs="Times New Roman"/>
                <w:color w:val="auto"/>
                <w:sz w:val="24"/>
                <w:highlight w:val="none"/>
                <w:lang w:val="en-US" w:eastAsia="zh-CN"/>
              </w:rPr>
              <w:t>：</w:t>
            </w:r>
          </w:p>
          <w:p w14:paraId="1BCD46F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一</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哈尔莫敦矿业片区，东至原国道218线，南、西、北以规划道路为界，规划面积为10.28平方千米，以钢铁、矿产品精深加工为主导产业。</w:t>
            </w:r>
          </w:p>
          <w:p w14:paraId="4044B9B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二</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新兴产业区，东至规划铁西路，南至新兴产业区污水厂，西至省道206绕城线，北至天山路，规划面积为11.99平方千米，以钢铁延伸产业、建材产业为主导产业。</w:t>
            </w:r>
          </w:p>
          <w:p w14:paraId="7679EB5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olor w:val="auto"/>
                <w:sz w:val="24"/>
                <w:highlight w:val="none"/>
                <w:lang w:val="en-US" w:eastAsia="zh-CN"/>
              </w:rPr>
            </w:pP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三</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额勒再特工业区</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形成以农副产品加工业及装备制造产业为主导，延续产业、相关产业共同发展，综合服务配套作为支撑的产业架构</w:t>
            </w:r>
            <w:r>
              <w:rPr>
                <w:rFonts w:hint="eastAsia"/>
                <w:color w:val="auto"/>
                <w:sz w:val="24"/>
                <w:highlight w:val="none"/>
                <w:lang w:val="en-US" w:eastAsia="zh-CN"/>
              </w:rPr>
              <w:t>。</w:t>
            </w:r>
          </w:p>
          <w:p w14:paraId="71D19EC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lang w:val="en-US" w:eastAsia="zh-CN"/>
              </w:rPr>
              <w:t>本项目属于塑料制品行业，位于</w:t>
            </w:r>
            <w:r>
              <w:rPr>
                <w:rFonts w:hint="default" w:ascii="Times New Roman" w:hAnsi="Times New Roman" w:eastAsia="宋体" w:cs="Times New Roman"/>
                <w:color w:val="auto"/>
                <w:sz w:val="24"/>
                <w:highlight w:val="none"/>
                <w:lang w:val="en-US" w:eastAsia="zh-CN"/>
              </w:rPr>
              <w:t>额勒再特工业区</w:t>
            </w:r>
            <w:r>
              <w:rPr>
                <w:rFonts w:hint="eastAsia" w:cs="Times New Roman"/>
                <w:color w:val="auto"/>
                <w:sz w:val="24"/>
                <w:highlight w:val="none"/>
                <w:lang w:val="en-US" w:eastAsia="zh-CN"/>
              </w:rPr>
              <w:t>综合产业园，符合</w:t>
            </w:r>
            <w:r>
              <w:rPr>
                <w:rFonts w:hint="eastAsia"/>
                <w:color w:val="auto"/>
                <w:sz w:val="24"/>
                <w:highlight w:val="none"/>
                <w:lang w:val="en-US" w:eastAsia="zh-CN"/>
              </w:rPr>
              <w:t>《和静</w:t>
            </w:r>
            <w:r>
              <w:rPr>
                <w:rFonts w:hint="eastAsia"/>
                <w:color w:val="auto"/>
                <w:sz w:val="24"/>
                <w:highlight w:val="none"/>
              </w:rPr>
              <w:t>工业园区总体规划</w:t>
            </w:r>
            <w:r>
              <w:rPr>
                <w:rFonts w:hint="eastAsia"/>
                <w:color w:val="auto"/>
                <w:sz w:val="24"/>
                <w:highlight w:val="none"/>
                <w:lang w:val="en-US" w:eastAsia="zh-CN"/>
              </w:rPr>
              <w:t>》</w:t>
            </w:r>
            <w:r>
              <w:rPr>
                <w:color w:val="auto"/>
                <w:sz w:val="24"/>
                <w:highlight w:val="none"/>
              </w:rPr>
              <w:t>《</w:t>
            </w:r>
            <w:r>
              <w:rPr>
                <w:rFonts w:hint="eastAsia"/>
                <w:color w:val="auto"/>
                <w:sz w:val="24"/>
                <w:highlight w:val="none"/>
                <w:lang w:val="en-US" w:eastAsia="zh-CN"/>
              </w:rPr>
              <w:t>和静</w:t>
            </w:r>
            <w:r>
              <w:rPr>
                <w:color w:val="auto"/>
                <w:sz w:val="24"/>
                <w:highlight w:val="none"/>
              </w:rPr>
              <w:t>工业</w:t>
            </w:r>
            <w:r>
              <w:rPr>
                <w:rFonts w:hint="eastAsia"/>
                <w:color w:val="auto"/>
                <w:sz w:val="24"/>
                <w:highlight w:val="none"/>
              </w:rPr>
              <w:t>园区</w:t>
            </w:r>
            <w:r>
              <w:rPr>
                <w:color w:val="auto"/>
                <w:sz w:val="24"/>
                <w:highlight w:val="none"/>
              </w:rPr>
              <w:t>总体规划环境影响报告书》</w:t>
            </w:r>
            <w:r>
              <w:rPr>
                <w:rFonts w:hint="eastAsia"/>
                <w:color w:val="auto"/>
                <w:sz w:val="24"/>
                <w:highlight w:val="none"/>
                <w:lang w:val="en-US" w:eastAsia="zh-CN"/>
              </w:rPr>
              <w:t>、</w:t>
            </w:r>
            <w:r>
              <w:rPr>
                <w:color w:val="auto"/>
                <w:sz w:val="24"/>
                <w:highlight w:val="none"/>
              </w:rPr>
              <w:t>《关于</w:t>
            </w:r>
            <w:r>
              <w:rPr>
                <w:rFonts w:hint="eastAsia"/>
                <w:color w:val="auto"/>
                <w:sz w:val="24"/>
                <w:highlight w:val="none"/>
                <w:lang w:val="en-US" w:eastAsia="zh-CN"/>
              </w:rPr>
              <w:t>和静</w:t>
            </w:r>
            <w:r>
              <w:rPr>
                <w:color w:val="auto"/>
                <w:sz w:val="24"/>
                <w:highlight w:val="none"/>
              </w:rPr>
              <w:t>工业</w:t>
            </w:r>
            <w:r>
              <w:rPr>
                <w:rFonts w:hint="eastAsia"/>
                <w:color w:val="auto"/>
                <w:sz w:val="24"/>
                <w:highlight w:val="none"/>
              </w:rPr>
              <w:t>园区</w:t>
            </w:r>
            <w:r>
              <w:rPr>
                <w:color w:val="auto"/>
                <w:sz w:val="24"/>
                <w:highlight w:val="none"/>
              </w:rPr>
              <w:t>总体规划环境影响报告书的审批意见》（</w:t>
            </w:r>
            <w:r>
              <w:rPr>
                <w:rFonts w:hint="eastAsia"/>
                <w:color w:val="auto"/>
                <w:sz w:val="24"/>
                <w:highlight w:val="none"/>
              </w:rPr>
              <w:t>新环函〔2016〕1323号</w:t>
            </w:r>
            <w:r>
              <w:rPr>
                <w:color w:val="auto"/>
                <w:sz w:val="24"/>
                <w:highlight w:val="none"/>
              </w:rPr>
              <w:t>）</w:t>
            </w:r>
            <w:r>
              <w:rPr>
                <w:rFonts w:hint="eastAsia"/>
                <w:color w:val="auto"/>
                <w:sz w:val="24"/>
                <w:highlight w:val="none"/>
                <w:lang w:val="en-US" w:eastAsia="zh-CN"/>
              </w:rPr>
              <w:t>及</w:t>
            </w:r>
            <w:r>
              <w:rPr>
                <w:rFonts w:hint="eastAsia"/>
                <w:color w:val="auto"/>
                <w:sz w:val="24"/>
                <w:highlight w:val="none"/>
              </w:rPr>
              <w:t>《关于和静工业园区总体规划</w:t>
            </w:r>
            <w:r>
              <w:rPr>
                <w:rFonts w:hint="eastAsia"/>
                <w:color w:val="auto"/>
                <w:sz w:val="24"/>
                <w:highlight w:val="none"/>
                <w:lang w:eastAsia="zh-CN"/>
              </w:rPr>
              <w:t>（</w:t>
            </w:r>
            <w:r>
              <w:rPr>
                <w:rFonts w:hint="eastAsia"/>
                <w:color w:val="auto"/>
                <w:sz w:val="24"/>
                <w:highlight w:val="none"/>
              </w:rPr>
              <w:t>2013-2030年</w:t>
            </w:r>
            <w:r>
              <w:rPr>
                <w:rFonts w:hint="eastAsia"/>
                <w:color w:val="auto"/>
                <w:sz w:val="24"/>
                <w:highlight w:val="none"/>
                <w:lang w:eastAsia="zh-CN"/>
              </w:rPr>
              <w:t>）</w:t>
            </w:r>
            <w:r>
              <w:rPr>
                <w:rFonts w:hint="eastAsia"/>
                <w:color w:val="auto"/>
                <w:sz w:val="24"/>
                <w:highlight w:val="none"/>
              </w:rPr>
              <w:t>环境影响跟踪评价报告书的论证意见》</w:t>
            </w:r>
            <w:r>
              <w:rPr>
                <w:rFonts w:hint="eastAsia"/>
                <w:color w:val="auto"/>
                <w:sz w:val="24"/>
                <w:highlight w:val="none"/>
                <w:lang w:eastAsia="zh-CN"/>
              </w:rPr>
              <w:t>（新环环评函</w:t>
            </w:r>
            <w:r>
              <w:rPr>
                <w:rFonts w:hint="eastAsia"/>
                <w:color w:val="auto"/>
                <w:sz w:val="24"/>
                <w:highlight w:val="none"/>
              </w:rPr>
              <w:t>〔</w:t>
            </w:r>
            <w:r>
              <w:rPr>
                <w:rFonts w:hint="eastAsia"/>
                <w:color w:val="auto"/>
                <w:sz w:val="24"/>
                <w:highlight w:val="none"/>
                <w:lang w:eastAsia="zh-CN"/>
              </w:rPr>
              <w:t>2022</w:t>
            </w:r>
            <w:r>
              <w:rPr>
                <w:rFonts w:hint="eastAsia"/>
                <w:color w:val="auto"/>
                <w:sz w:val="24"/>
                <w:highlight w:val="none"/>
              </w:rPr>
              <w:t>〕</w:t>
            </w:r>
            <w:r>
              <w:rPr>
                <w:rFonts w:hint="eastAsia"/>
                <w:color w:val="auto"/>
                <w:sz w:val="24"/>
                <w:highlight w:val="none"/>
                <w:lang w:eastAsia="zh-CN"/>
              </w:rPr>
              <w:t>862号）</w:t>
            </w:r>
            <w:r>
              <w:rPr>
                <w:rFonts w:hint="eastAsia"/>
                <w:color w:val="auto"/>
                <w:sz w:val="24"/>
                <w:highlight w:val="none"/>
                <w:lang w:val="en-US" w:eastAsia="zh-CN"/>
              </w:rPr>
              <w:t>要求</w:t>
            </w:r>
            <w:r>
              <w:rPr>
                <w:rFonts w:hint="eastAsia"/>
                <w:color w:val="auto"/>
                <w:sz w:val="24"/>
                <w:highlight w:val="none"/>
                <w:lang w:eastAsia="zh-CN"/>
              </w:rPr>
              <w:t>，</w:t>
            </w:r>
            <w:r>
              <w:rPr>
                <w:rFonts w:hint="eastAsia"/>
                <w:color w:val="auto"/>
                <w:sz w:val="24"/>
                <w:highlight w:val="none"/>
                <w:lang w:val="en-US" w:eastAsia="zh-CN"/>
              </w:rPr>
              <w:t>根据</w:t>
            </w:r>
            <w:r>
              <w:rPr>
                <w:rFonts w:hint="eastAsia"/>
                <w:color w:val="auto"/>
                <w:sz w:val="24"/>
                <w:highlight w:val="none"/>
                <w:lang w:eastAsia="zh-CN"/>
              </w:rPr>
              <w:t>和静县人民政府出具说明</w:t>
            </w:r>
            <w:r>
              <w:rPr>
                <w:rFonts w:hint="eastAsia"/>
                <w:color w:val="auto"/>
                <w:sz w:val="24"/>
                <w:highlight w:val="none"/>
                <w:lang w:val="en-US" w:eastAsia="zh-CN"/>
              </w:rPr>
              <w:t>，该项目符合园区规划要求</w:t>
            </w:r>
            <w:r>
              <w:rPr>
                <w:rFonts w:hint="eastAsia"/>
                <w:color w:val="auto"/>
                <w:sz w:val="24"/>
                <w:highlight w:val="none"/>
                <w:lang w:eastAsia="zh-CN"/>
              </w:rPr>
              <w:t>。</w:t>
            </w:r>
            <w:r>
              <w:rPr>
                <w:rFonts w:hint="eastAsia"/>
                <w:color w:val="auto"/>
                <w:sz w:val="24"/>
                <w:highlight w:val="none"/>
                <w:lang w:val="en-US" w:eastAsia="zh-CN"/>
              </w:rPr>
              <w:t>园区规划图</w:t>
            </w:r>
            <w:r>
              <w:rPr>
                <w:rFonts w:hint="eastAsia"/>
                <w:color w:val="auto"/>
                <w:sz w:val="24"/>
                <w:highlight w:val="none"/>
              </w:rPr>
              <w:t>见</w:t>
            </w:r>
            <w:r>
              <w:rPr>
                <w:rFonts w:hint="eastAsia"/>
                <w:color w:val="auto"/>
                <w:sz w:val="24"/>
                <w:highlight w:val="none"/>
                <w:lang w:val="en-US" w:eastAsia="zh-CN"/>
              </w:rPr>
              <w:t>附图3，园区规划</w:t>
            </w:r>
            <w:r>
              <w:rPr>
                <w:rFonts w:hint="eastAsia"/>
                <w:color w:val="auto"/>
                <w:sz w:val="24"/>
                <w:highlight w:val="none"/>
                <w:lang w:eastAsia="zh-CN"/>
              </w:rPr>
              <w:t>报告环评审查意见内容</w:t>
            </w:r>
            <w:r>
              <w:rPr>
                <w:rFonts w:hint="eastAsia"/>
                <w:color w:val="auto"/>
                <w:sz w:val="24"/>
                <w:highlight w:val="none"/>
                <w:lang w:val="en-US" w:eastAsia="zh-CN"/>
              </w:rPr>
              <w:t>及说明文件见</w:t>
            </w:r>
            <w:r>
              <w:rPr>
                <w:rFonts w:hint="eastAsia"/>
                <w:color w:val="auto"/>
                <w:sz w:val="24"/>
                <w:highlight w:val="none"/>
              </w:rPr>
              <w:t>附件。</w:t>
            </w:r>
          </w:p>
          <w:p w14:paraId="690FFE61">
            <w:pPr>
              <w:keepNext w:val="0"/>
              <w:keepLines w:val="0"/>
              <w:pageBreakBefore w:val="0"/>
              <w:widowControl w:val="0"/>
              <w:numPr>
                <w:ilvl w:val="0"/>
                <w:numId w:val="1"/>
              </w:numPr>
              <w:kinsoku/>
              <w:wordWrap/>
              <w:overflowPunct/>
              <w:topLinePunct w:val="0"/>
              <w:autoSpaceDE w:val="0"/>
              <w:autoSpaceDN w:val="0"/>
              <w:bidi w:val="0"/>
              <w:adjustRightInd/>
              <w:snapToGrid/>
              <w:spacing w:line="360" w:lineRule="auto"/>
              <w:ind w:firstLine="480" w:firstLineChars="200"/>
              <w:textAlignment w:val="auto"/>
              <w:rPr>
                <w:rFonts w:hint="eastAsia" w:cs="Times New Roman"/>
                <w:color w:val="auto"/>
                <w:sz w:val="24"/>
                <w:szCs w:val="24"/>
                <w:vertAlign w:val="baseline"/>
                <w:lang w:val="en-US" w:eastAsia="zh-CN"/>
              </w:rPr>
            </w:pPr>
            <w:r>
              <w:rPr>
                <w:rFonts w:hint="eastAsia" w:cs="Times New Roman"/>
                <w:color w:val="auto"/>
                <w:sz w:val="24"/>
                <w:szCs w:val="24"/>
                <w:vertAlign w:val="baseline"/>
                <w:lang w:val="en-US" w:eastAsia="zh-CN"/>
              </w:rPr>
              <w:t>项目与园区功能分区与产业定位分析</w:t>
            </w:r>
          </w:p>
          <w:p w14:paraId="358DCFE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color w:val="auto"/>
                <w:sz w:val="24"/>
                <w:highlight w:val="none"/>
                <w:lang w:val="en-US" w:eastAsia="zh-CN"/>
              </w:rPr>
            </w:pPr>
            <w:r>
              <w:rPr>
                <w:rFonts w:hint="eastAsia"/>
                <w:color w:val="auto"/>
                <w:sz w:val="24"/>
                <w:highlight w:val="none"/>
                <w:lang w:val="en-US" w:eastAsia="zh-CN"/>
              </w:rPr>
              <w:t>园区功能定位：以绿色农产品、铁矿等优势资源为基础，农副产品精深加工、机械设备、装备制造产业、钢铁、建材、矿产品精深加工为主导，集综合配套服务功能为一体的新兴工业化示范基地和商贸物流中心，其中</w:t>
            </w:r>
            <w:r>
              <w:rPr>
                <w:rFonts w:hint="default" w:ascii="Times New Roman" w:hAnsi="Times New Roman" w:eastAsia="宋体" w:cs="Times New Roman"/>
                <w:color w:val="auto"/>
                <w:sz w:val="24"/>
                <w:highlight w:val="none"/>
                <w:lang w:val="en-US" w:eastAsia="zh-CN"/>
              </w:rPr>
              <w:t>额勒再特工业区</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形成以农副产品加工业及装备制造产业为主导，延续产业、相关产业共同发展，综合服务配套作为支撑的产业架构</w:t>
            </w:r>
            <w:r>
              <w:rPr>
                <w:rFonts w:hint="eastAsia" w:cs="Times New Roman"/>
                <w:color w:val="auto"/>
                <w:sz w:val="24"/>
                <w:highlight w:val="none"/>
                <w:lang w:val="en-US" w:eastAsia="zh-CN"/>
              </w:rPr>
              <w:t xml:space="preserve">。   </w:t>
            </w:r>
          </w:p>
          <w:p w14:paraId="185FE3A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color w:val="auto"/>
                <w:sz w:val="24"/>
                <w:highlight w:val="none"/>
                <w:lang w:val="en-US" w:eastAsia="zh-CN"/>
              </w:rPr>
            </w:pPr>
            <w:r>
              <w:rPr>
                <w:rFonts w:hint="eastAsia" w:cs="Times New Roman"/>
                <w:color w:val="auto"/>
                <w:sz w:val="24"/>
                <w:highlight w:val="none"/>
                <w:lang w:val="en-US" w:eastAsia="zh-CN"/>
              </w:rPr>
              <w:t>额区在规划范围内将形成“一心六园”的用地结构。其中“一心”指片区西南靠近额勒再特乌鲁乡集镇的综合服务中心;“六园”则指综合产业园、农副产品加工产业园、机械设备产业园、装备制造产业园、高端科技产业园和仓储物流园。</w:t>
            </w:r>
          </w:p>
          <w:p w14:paraId="7DD76B40">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firstLineChars="200"/>
              <w:textAlignment w:val="auto"/>
              <w:rPr>
                <w:rFonts w:hint="default" w:cs="Times New Roman"/>
                <w:color w:val="auto"/>
                <w:sz w:val="24"/>
                <w:szCs w:val="24"/>
                <w:vertAlign w:val="baseline"/>
                <w:lang w:val="en-US" w:eastAsia="zh-CN"/>
              </w:rPr>
            </w:pPr>
            <w:r>
              <w:rPr>
                <w:rFonts w:hint="default" w:cs="Times New Roman"/>
                <w:color w:val="auto"/>
                <w:sz w:val="24"/>
                <w:szCs w:val="24"/>
                <w:vertAlign w:val="baseline"/>
                <w:lang w:val="en-US" w:eastAsia="zh-CN"/>
              </w:rPr>
              <w:t>本项目位于额勒再特工业区综合产业园，</w:t>
            </w:r>
            <w:r>
              <w:rPr>
                <w:rFonts w:hint="eastAsia" w:cs="Times New Roman"/>
                <w:color w:val="auto"/>
                <w:sz w:val="24"/>
                <w:szCs w:val="24"/>
                <w:vertAlign w:val="baseline"/>
                <w:lang w:val="en-US" w:eastAsia="zh-CN"/>
              </w:rPr>
              <w:t>其中</w:t>
            </w:r>
            <w:r>
              <w:rPr>
                <w:rFonts w:hint="default" w:ascii="Times New Roman" w:hAnsi="Times New Roman" w:eastAsia="宋体" w:cs="Times New Roman"/>
                <w:color w:val="auto"/>
                <w:sz w:val="24"/>
                <w:highlight w:val="none"/>
                <w:lang w:val="en-US" w:eastAsia="zh-CN"/>
              </w:rPr>
              <w:t>延续产业、相关产业共同发展，综合服务配套</w:t>
            </w:r>
            <w:r>
              <w:rPr>
                <w:rFonts w:hint="eastAsia" w:cs="Times New Roman"/>
                <w:color w:val="auto"/>
                <w:sz w:val="24"/>
                <w:highlight w:val="none"/>
                <w:lang w:val="en-US" w:eastAsia="zh-CN"/>
              </w:rPr>
              <w:t>产业未明确说明具体产业，根据和静县人民政府出具说明，该项目符合片区产业定位，</w:t>
            </w:r>
            <w:r>
              <w:rPr>
                <w:rFonts w:hint="eastAsia" w:cs="Times New Roman"/>
                <w:color w:val="auto"/>
                <w:sz w:val="24"/>
                <w:szCs w:val="24"/>
                <w:vertAlign w:val="baseline"/>
                <w:lang w:val="en-US" w:eastAsia="zh-CN"/>
              </w:rPr>
              <w:t>说明文件见附件。</w:t>
            </w:r>
          </w:p>
          <w:p w14:paraId="0E82378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vertAlign w:val="baseline"/>
                <w:lang w:val="en-US" w:eastAsia="zh-CN"/>
              </w:rPr>
            </w:pPr>
            <w:r>
              <w:rPr>
                <w:rFonts w:hint="eastAsia"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3</w:t>
            </w:r>
            <w:r>
              <w:rPr>
                <w:rFonts w:hint="eastAsia" w:ascii="Times New Roman" w:hAnsi="Times New Roman" w:eastAsia="宋体" w:cs="Times New Roman"/>
                <w:color w:val="auto"/>
                <w:sz w:val="24"/>
                <w:szCs w:val="24"/>
                <w:vertAlign w:val="baseline"/>
                <w:lang w:val="en-US" w:eastAsia="zh-CN"/>
              </w:rPr>
              <w:t>）</w:t>
            </w:r>
            <w:r>
              <w:rPr>
                <w:rFonts w:hint="default" w:ascii="Times New Roman" w:hAnsi="Times New Roman" w:eastAsia="宋体" w:cs="Times New Roman"/>
                <w:color w:val="auto"/>
                <w:sz w:val="24"/>
                <w:szCs w:val="24"/>
                <w:vertAlign w:val="baseline"/>
                <w:lang w:val="en-US" w:eastAsia="zh-CN"/>
              </w:rPr>
              <w:t>项目与</w:t>
            </w:r>
            <w:r>
              <w:rPr>
                <w:rFonts w:hint="eastAsia" w:ascii="Times New Roman" w:hAnsi="Times New Roman" w:eastAsia="宋体" w:cs="Times New Roman"/>
                <w:color w:val="auto"/>
                <w:sz w:val="24"/>
                <w:szCs w:val="24"/>
                <w:vertAlign w:val="baseline"/>
                <w:lang w:val="en-US" w:eastAsia="zh-CN"/>
              </w:rPr>
              <w:t>《</w:t>
            </w:r>
            <w:r>
              <w:rPr>
                <w:rFonts w:hint="default" w:ascii="Times New Roman" w:hAnsi="Times New Roman" w:eastAsia="宋体" w:cs="Times New Roman"/>
                <w:color w:val="auto"/>
                <w:sz w:val="24"/>
                <w:highlight w:val="none"/>
                <w:lang w:val="en-US" w:eastAsia="zh-CN"/>
              </w:rPr>
              <w:t>巴音郭楞蒙古自治州国土空间总体规划（2021—2035年）</w:t>
            </w:r>
            <w:r>
              <w:rPr>
                <w:rFonts w:hint="eastAsia" w:ascii="Times New Roman" w:hAnsi="Times New Roman" w:eastAsia="宋体" w:cs="Times New Roman"/>
                <w:color w:val="auto"/>
                <w:sz w:val="24"/>
                <w:szCs w:val="24"/>
                <w:vertAlign w:val="baseline"/>
                <w:lang w:val="en-US" w:eastAsia="zh-CN"/>
              </w:rPr>
              <w:t>》符合性分析。</w:t>
            </w:r>
          </w:p>
          <w:p w14:paraId="417FA8C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根据</w:t>
            </w:r>
            <w:r>
              <w:rPr>
                <w:rFonts w:hint="eastAsia" w:ascii="Times New Roman" w:hAnsi="Times New Roman" w:eastAsia="宋体" w:cs="Times New Roman"/>
                <w:color w:val="auto"/>
                <w:sz w:val="24"/>
                <w:szCs w:val="24"/>
                <w:vertAlign w:val="baseline"/>
                <w:lang w:val="en-US" w:eastAsia="zh-CN"/>
              </w:rPr>
              <w:t>《</w:t>
            </w:r>
            <w:r>
              <w:rPr>
                <w:rFonts w:hint="default" w:ascii="Times New Roman" w:hAnsi="Times New Roman" w:eastAsia="宋体" w:cs="Times New Roman"/>
                <w:color w:val="auto"/>
                <w:sz w:val="24"/>
                <w:szCs w:val="24"/>
                <w:vertAlign w:val="baseline"/>
                <w:lang w:val="en-US" w:eastAsia="zh-CN"/>
              </w:rPr>
              <w:t>巴音郭楞蒙古自治州国土空间总体规划（2021—2035年）</w:t>
            </w:r>
            <w:r>
              <w:rPr>
                <w:rFonts w:hint="eastAsia" w:ascii="Times New Roman" w:hAnsi="Times New Roman" w:eastAsia="宋体" w:cs="Times New Roman"/>
                <w:color w:val="auto"/>
                <w:sz w:val="24"/>
                <w:szCs w:val="24"/>
                <w:vertAlign w:val="baseline"/>
                <w:lang w:val="en-US" w:eastAsia="zh-CN"/>
              </w:rPr>
              <w:t>》</w:t>
            </w:r>
            <w:r>
              <w:rPr>
                <w:rFonts w:hint="default" w:ascii="Times New Roman" w:hAnsi="Times New Roman" w:eastAsia="宋体" w:cs="Times New Roman"/>
                <w:color w:val="auto"/>
                <w:sz w:val="24"/>
                <w:szCs w:val="24"/>
                <w:vertAlign w:val="baseline"/>
                <w:lang w:val="en-US" w:eastAsia="zh-CN"/>
              </w:rPr>
              <w:t>第十六节优化工业园区布局—加强工业园区分类引导。重点支持库尔勒经济技术开发区、轮台工业园区、上库高新技术开发区、若羌工业园区、和静工业园区、焉耆工业园区建设发展，打造为综合型园区，给予空间、资源和政策的倾斜，不断提升园区生产生活品质，逐步实现创新驱动，强化产业引领作用，带动其他园区协同发展。适度支持尉犁工业园区、和硕经济开发区及罗布泊盐化工工业园区建设发展，充分利用当地的矿产资源、农牧资源、区位优势等特定优势，打造在某一领域较为突出的专业化园区，实现特色、高效、绿色发展。且末昆仑工业园为保障型园区，结合自身发展诉求和民生保障需求，适当发展并保持一定规模，提高土地集约节约利用能力。</w:t>
            </w:r>
          </w:p>
          <w:p w14:paraId="39731DF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本项目位于</w:t>
            </w:r>
            <w:r>
              <w:rPr>
                <w:rFonts w:hint="default" w:ascii="Times New Roman" w:hAnsi="宋体" w:eastAsia="宋体" w:cs="Times New Roman"/>
                <w:color w:val="auto"/>
                <w:kern w:val="2"/>
                <w:sz w:val="24"/>
                <w:szCs w:val="24"/>
                <w:highlight w:val="none"/>
                <w:lang w:val="en-US" w:eastAsia="zh-CN" w:bidi="ar-SA"/>
              </w:rPr>
              <w:t>和静工业园区</w:t>
            </w:r>
            <w:r>
              <w:rPr>
                <w:rFonts w:hint="eastAsia" w:ascii="Times New Roman" w:hAnsi="宋体" w:eastAsia="宋体" w:cs="Times New Roman"/>
                <w:color w:val="auto"/>
                <w:kern w:val="2"/>
                <w:sz w:val="24"/>
                <w:szCs w:val="24"/>
                <w:highlight w:val="none"/>
                <w:lang w:val="en-US" w:eastAsia="zh-CN" w:bidi="ar-SA"/>
              </w:rPr>
              <w:t>，属于</w:t>
            </w:r>
            <w:r>
              <w:rPr>
                <w:rFonts w:hint="default" w:ascii="Times New Roman" w:hAnsi="Times New Roman" w:eastAsia="宋体" w:cs="Times New Roman"/>
                <w:color w:val="auto"/>
                <w:sz w:val="24"/>
                <w:highlight w:val="none"/>
                <w:lang w:val="en-US" w:eastAsia="zh-CN"/>
              </w:rPr>
              <w:t>重点支持</w:t>
            </w:r>
            <w:r>
              <w:rPr>
                <w:rFonts w:hint="eastAsia" w:ascii="Times New Roman" w:hAnsi="Times New Roman" w:eastAsia="宋体" w:cs="Times New Roman"/>
                <w:color w:val="auto"/>
                <w:sz w:val="24"/>
                <w:highlight w:val="none"/>
                <w:lang w:val="en-US" w:eastAsia="zh-CN"/>
              </w:rPr>
              <w:t>的工业园区，项目区符合园区的功能区划，且项</w:t>
            </w:r>
            <w:r>
              <w:rPr>
                <w:rFonts w:hint="eastAsia" w:ascii="Times New Roman" w:hAnsi="宋体" w:eastAsia="宋体" w:cs="Times New Roman"/>
                <w:color w:val="auto"/>
                <w:kern w:val="2"/>
                <w:sz w:val="24"/>
                <w:szCs w:val="24"/>
                <w:highlight w:val="none"/>
                <w:lang w:val="en-US" w:eastAsia="zh-CN" w:bidi="ar-SA"/>
              </w:rPr>
              <w:t>目能耗相对较低，污染物处理后均能达标排放，符合</w:t>
            </w:r>
            <w:r>
              <w:rPr>
                <w:rFonts w:hint="default" w:ascii="Times New Roman" w:hAnsi="宋体" w:eastAsia="宋体" w:cs="Times New Roman"/>
                <w:color w:val="auto"/>
                <w:kern w:val="2"/>
                <w:sz w:val="24"/>
                <w:szCs w:val="24"/>
                <w:highlight w:val="none"/>
                <w:lang w:val="en-US" w:eastAsia="zh-CN" w:bidi="ar-SA"/>
              </w:rPr>
              <w:t>高效、绿色发展</w:t>
            </w:r>
            <w:r>
              <w:rPr>
                <w:rFonts w:hint="eastAsia" w:ascii="Times New Roman" w:hAnsi="宋体" w:eastAsia="宋体" w:cs="Times New Roman"/>
                <w:color w:val="auto"/>
                <w:kern w:val="2"/>
                <w:sz w:val="24"/>
                <w:szCs w:val="24"/>
                <w:highlight w:val="none"/>
                <w:lang w:val="en-US" w:eastAsia="zh-CN" w:bidi="ar-SA"/>
              </w:rPr>
              <w:t>的要求。</w:t>
            </w:r>
          </w:p>
          <w:p w14:paraId="20E7F9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微软雅黑" w:hAnsi="微软雅黑" w:eastAsia="微软雅黑" w:cs="微软雅黑"/>
                <w:b/>
                <w:bCs/>
                <w:i w:val="0"/>
                <w:iCs w:val="0"/>
                <w:caps w:val="0"/>
                <w:color w:val="auto"/>
                <w:spacing w:val="0"/>
                <w:sz w:val="28"/>
                <w:szCs w:val="28"/>
                <w:lang w:val="en-US"/>
              </w:rPr>
            </w:pPr>
            <w:r>
              <w:rPr>
                <w:rFonts w:hint="eastAsia"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4</w:t>
            </w:r>
            <w:r>
              <w:rPr>
                <w:rFonts w:hint="eastAsia" w:ascii="Times New Roman" w:hAnsi="Times New Roman" w:eastAsia="宋体" w:cs="Times New Roman"/>
                <w:color w:val="auto"/>
                <w:sz w:val="24"/>
                <w:szCs w:val="24"/>
                <w:vertAlign w:val="baseline"/>
                <w:lang w:val="en-US" w:eastAsia="zh-CN"/>
              </w:rPr>
              <w:t>）项目与</w:t>
            </w:r>
            <w:r>
              <w:rPr>
                <w:rFonts w:hint="eastAsia" w:ascii="Times New Roman" w:hAnsi="Times New Roman" w:eastAsia="宋体" w:cs="Times New Roman"/>
                <w:color w:val="auto"/>
                <w:sz w:val="24"/>
                <w:highlight w:val="none"/>
                <w:lang w:val="en-US" w:eastAsia="zh-CN"/>
              </w:rPr>
              <w:t>《和静县国土空间总体规划（2021—2035年）》符合性</w:t>
            </w:r>
          </w:p>
          <w:p w14:paraId="213B3A0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优化国土空间开发保护格局。落实主体功能区战略和制度，统筹农业、生态、城镇空间。优化农牧业空间布局，引导农牧业特色产业集聚化发展，合理保障设施农业用地，建设特色绿洲农业发展区。筑牢天山南坡生态安全屏障，构建生物多样性保护网络，加强湿地、天然林和草原保护修复，扎实推进山水林田湖草沙一体化保护和系统治理。构建等级合理、协调有序的城镇体系，强化中心城区的引领作用，加强城乡融合发展。落实国家资源安全战略部署和自治区矿产资源基地建设，</w:t>
            </w:r>
            <w:r>
              <w:rPr>
                <w:rFonts w:hint="default" w:ascii="Times New Roman" w:hAnsi="宋体" w:eastAsia="宋体" w:cs="Times New Roman"/>
                <w:color w:val="auto"/>
                <w:kern w:val="2"/>
                <w:sz w:val="24"/>
                <w:szCs w:val="24"/>
                <w:highlight w:val="none"/>
                <w:lang w:val="en-US" w:eastAsia="zh-CN" w:bidi="ar-SA"/>
              </w:rPr>
              <w:t>加强战略性矿产资源勘查开发。</w:t>
            </w:r>
          </w:p>
          <w:p w14:paraId="4A4BFFE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项目位于和静工业园区，占地属于工业用地，不涉及农业、湿地、天然林和草原等用地，符合</w:t>
            </w:r>
            <w:r>
              <w:rPr>
                <w:rFonts w:hint="eastAsia" w:ascii="Times New Roman" w:hAnsi="Times New Roman" w:eastAsia="宋体" w:cs="Times New Roman"/>
                <w:color w:val="auto"/>
                <w:sz w:val="24"/>
                <w:highlight w:val="none"/>
                <w:lang w:val="en-US" w:eastAsia="zh-CN"/>
              </w:rPr>
              <w:t>《和静县国土空间总体规划（2021—2035年）》。</w:t>
            </w:r>
          </w:p>
        </w:tc>
      </w:tr>
      <w:tr w14:paraId="0FEF2C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220" w:type="dxa"/>
            <w:vAlign w:val="center"/>
          </w:tcPr>
          <w:p w14:paraId="4C3B9E04">
            <w:pPr>
              <w:autoSpaceDE w:val="0"/>
              <w:autoSpaceDN w:val="0"/>
              <w:adjustRightInd w:val="0"/>
              <w:snapToGrid w:val="0"/>
              <w:jc w:val="center"/>
              <w:rPr>
                <w:rFonts w:eastAsiaTheme="minorEastAsia"/>
                <w:color w:val="auto"/>
                <w:kern w:val="0"/>
                <w:sz w:val="24"/>
                <w:highlight w:val="none"/>
              </w:rPr>
            </w:pPr>
            <w:r>
              <w:rPr>
                <w:rFonts w:hAnsiTheme="minorEastAsia" w:eastAsiaTheme="minorEastAsia"/>
                <w:color w:val="auto"/>
                <w:kern w:val="0"/>
                <w:sz w:val="24"/>
                <w:highlight w:val="none"/>
              </w:rPr>
              <w:t>其他符合性分析</w:t>
            </w:r>
          </w:p>
        </w:tc>
        <w:tc>
          <w:tcPr>
            <w:tcW w:w="7600" w:type="dxa"/>
            <w:gridSpan w:val="3"/>
            <w:vAlign w:val="center"/>
          </w:tcPr>
          <w:p w14:paraId="29A09C4E">
            <w:pPr>
              <w:keepNext w:val="0"/>
              <w:keepLines w:val="0"/>
              <w:pageBreakBefore w:val="0"/>
              <w:widowControl w:val="0"/>
              <w:kinsoku/>
              <w:wordWrap/>
              <w:topLinePunct/>
              <w:autoSpaceDE/>
              <w:autoSpaceDN/>
              <w:bidi w:val="0"/>
              <w:adjustRightInd/>
              <w:snapToGrid/>
              <w:spacing w:line="480" w:lineRule="exact"/>
              <w:ind w:firstLine="482" w:firstLineChars="200"/>
              <w:textAlignment w:val="baseline"/>
              <w:rPr>
                <w:rFonts w:eastAsiaTheme="minorEastAsia"/>
                <w:b/>
                <w:color w:val="auto"/>
                <w:sz w:val="24"/>
                <w:highlight w:val="none"/>
              </w:rPr>
            </w:pPr>
            <w:r>
              <w:rPr>
                <w:rFonts w:hint="eastAsia" w:eastAsiaTheme="minorEastAsia"/>
                <w:b/>
                <w:color w:val="auto"/>
                <w:sz w:val="24"/>
                <w:highlight w:val="none"/>
                <w:lang w:eastAsia="zh-CN"/>
              </w:rPr>
              <w:t>（</w:t>
            </w:r>
            <w:r>
              <w:rPr>
                <w:rFonts w:hint="eastAsia" w:eastAsiaTheme="minorEastAsia"/>
                <w:b/>
                <w:color w:val="auto"/>
                <w:sz w:val="24"/>
                <w:highlight w:val="none"/>
                <w:lang w:val="en-US" w:eastAsia="zh-CN"/>
              </w:rPr>
              <w:t>1</w:t>
            </w:r>
            <w:r>
              <w:rPr>
                <w:rFonts w:hint="eastAsia" w:eastAsiaTheme="minorEastAsia"/>
                <w:b/>
                <w:color w:val="auto"/>
                <w:sz w:val="24"/>
                <w:highlight w:val="none"/>
                <w:lang w:eastAsia="zh-CN"/>
              </w:rPr>
              <w:t>）</w:t>
            </w:r>
            <w:r>
              <w:rPr>
                <w:rFonts w:hAnsiTheme="minorEastAsia" w:eastAsiaTheme="minorEastAsia"/>
                <w:b/>
                <w:color w:val="auto"/>
                <w:sz w:val="24"/>
                <w:highlight w:val="none"/>
              </w:rPr>
              <w:t>产业政策符合性</w:t>
            </w:r>
          </w:p>
          <w:p w14:paraId="54DC86F1">
            <w:pPr>
              <w:pStyle w:val="73"/>
              <w:keepNext w:val="0"/>
              <w:keepLines w:val="0"/>
              <w:pageBreakBefore w:val="0"/>
              <w:widowControl w:val="0"/>
              <w:kinsoku/>
              <w:wordWrap/>
              <w:overflowPunct w:val="0"/>
              <w:autoSpaceDE/>
              <w:autoSpaceDN/>
              <w:bidi w:val="0"/>
              <w:adjustRightInd/>
              <w:snapToGrid/>
              <w:spacing w:line="480" w:lineRule="exact"/>
              <w:ind w:firstLine="480" w:firstLineChars="200"/>
              <w:jc w:val="both"/>
              <w:rPr>
                <w:rFonts w:hAnsi="宋体"/>
                <w:color w:val="auto"/>
                <w:sz w:val="24"/>
                <w:szCs w:val="24"/>
                <w:highlight w:val="none"/>
              </w:rPr>
            </w:pPr>
            <w:r>
              <w:rPr>
                <w:rFonts w:hint="eastAsia" w:hAnsi="宋体"/>
                <w:color w:val="auto"/>
                <w:sz w:val="24"/>
                <w:szCs w:val="24"/>
                <w:highlight w:val="none"/>
              </w:rPr>
              <w:t>根据《产业结构调整指导目录（20</w:t>
            </w:r>
            <w:r>
              <w:rPr>
                <w:rFonts w:hint="eastAsia" w:hAnsi="宋体"/>
                <w:color w:val="auto"/>
                <w:sz w:val="24"/>
                <w:szCs w:val="24"/>
                <w:highlight w:val="none"/>
                <w:lang w:val="en-US" w:eastAsia="zh-CN"/>
              </w:rPr>
              <w:t>24</w:t>
            </w:r>
            <w:r>
              <w:rPr>
                <w:rFonts w:hint="eastAsia" w:hAnsi="宋体"/>
                <w:color w:val="auto"/>
                <w:sz w:val="24"/>
                <w:szCs w:val="24"/>
                <w:highlight w:val="none"/>
              </w:rPr>
              <w:t>年本）》，本项目不属于鼓励类、限制类和淘汰类项目。</w:t>
            </w:r>
            <w:r>
              <w:rPr>
                <w:rFonts w:hAnsi="宋体"/>
                <w:color w:val="auto"/>
                <w:sz w:val="24"/>
                <w:szCs w:val="24"/>
                <w:highlight w:val="none"/>
              </w:rPr>
              <w:t>根据国务院关于发布实施《促进产业结构调整暂行规定》的决定第三章产业结构调整指导目录第十三条</w:t>
            </w:r>
            <w:r>
              <w:rPr>
                <w:color w:val="auto"/>
                <w:sz w:val="24"/>
                <w:szCs w:val="24"/>
                <w:highlight w:val="none"/>
              </w:rPr>
              <w:t>“</w:t>
            </w:r>
            <w:r>
              <w:rPr>
                <w:rFonts w:hAnsi="宋体"/>
                <w:color w:val="auto"/>
                <w:sz w:val="24"/>
                <w:szCs w:val="24"/>
                <w:highlight w:val="none"/>
              </w:rPr>
              <w:t>不属于鼓励类、限制类和淘汰类，且符合国家有关法律、法规和政策规定的，为允许类</w:t>
            </w:r>
            <w:r>
              <w:rPr>
                <w:color w:val="auto"/>
                <w:sz w:val="24"/>
                <w:szCs w:val="24"/>
                <w:highlight w:val="none"/>
              </w:rPr>
              <w:t>”</w:t>
            </w:r>
            <w:r>
              <w:rPr>
                <w:rFonts w:hint="eastAsia" w:hAnsi="宋体"/>
                <w:color w:val="auto"/>
                <w:sz w:val="24"/>
                <w:szCs w:val="24"/>
                <w:highlight w:val="none"/>
                <w:lang w:eastAsia="zh-CN"/>
              </w:rPr>
              <w:t>。</w:t>
            </w:r>
          </w:p>
          <w:p w14:paraId="73605788">
            <w:pPr>
              <w:pStyle w:val="73"/>
              <w:keepNext w:val="0"/>
              <w:keepLines w:val="0"/>
              <w:pageBreakBefore w:val="0"/>
              <w:widowControl w:val="0"/>
              <w:kinsoku/>
              <w:wordWrap/>
              <w:overflowPunct w:val="0"/>
              <w:autoSpaceDE/>
              <w:autoSpaceDN/>
              <w:bidi w:val="0"/>
              <w:adjustRightInd/>
              <w:snapToGrid/>
              <w:spacing w:line="480" w:lineRule="exact"/>
              <w:ind w:firstLine="480" w:firstLineChars="200"/>
              <w:jc w:val="both"/>
              <w:rPr>
                <w:rFonts w:hint="eastAsia" w:hAnsi="宋体" w:eastAsia="宋体"/>
                <w:color w:val="auto"/>
                <w:sz w:val="24"/>
                <w:szCs w:val="24"/>
                <w:highlight w:val="none"/>
                <w:lang w:eastAsia="zh-CN"/>
              </w:rPr>
            </w:pPr>
            <w:r>
              <w:rPr>
                <w:rFonts w:hint="eastAsia" w:hAnsi="宋体"/>
                <w:color w:val="auto"/>
                <w:sz w:val="24"/>
                <w:szCs w:val="24"/>
                <w:highlight w:val="none"/>
                <w:lang w:eastAsia="zh-CN"/>
              </w:rPr>
              <w:t>本项目</w:t>
            </w:r>
            <w:r>
              <w:rPr>
                <w:rFonts w:hint="eastAsia" w:hAnsi="宋体"/>
                <w:color w:val="auto"/>
                <w:sz w:val="24"/>
                <w:szCs w:val="24"/>
                <w:highlight w:val="none"/>
                <w:lang w:val="en-US" w:eastAsia="zh-CN"/>
              </w:rPr>
              <w:t>位于和静县</w:t>
            </w:r>
            <w:r>
              <w:rPr>
                <w:rFonts w:hint="eastAsia" w:hAnsi="宋体"/>
                <w:color w:val="auto"/>
                <w:sz w:val="24"/>
                <w:szCs w:val="24"/>
                <w:highlight w:val="none"/>
                <w:lang w:eastAsia="zh-CN"/>
              </w:rPr>
              <w:t>，不</w:t>
            </w:r>
            <w:r>
              <w:rPr>
                <w:rFonts w:hint="eastAsia" w:hAnsi="宋体"/>
                <w:color w:val="auto"/>
                <w:sz w:val="24"/>
                <w:szCs w:val="24"/>
                <w:highlight w:val="none"/>
                <w:lang w:val="en-US" w:eastAsia="zh-CN"/>
              </w:rPr>
              <w:t>属于</w:t>
            </w:r>
            <w:r>
              <w:rPr>
                <w:rFonts w:hint="eastAsia" w:hAnsi="宋体"/>
                <w:color w:val="auto"/>
                <w:sz w:val="24"/>
                <w:szCs w:val="24"/>
                <w:highlight w:val="none"/>
              </w:rPr>
              <w:t>《新疆维吾尔自治区28个国家重点生态功能区县（市）产业准入负面清单（试行）》</w:t>
            </w:r>
            <w:r>
              <w:rPr>
                <w:rFonts w:hint="eastAsia" w:hAnsi="宋体"/>
                <w:color w:val="auto"/>
                <w:sz w:val="24"/>
                <w:szCs w:val="24"/>
                <w:highlight w:val="none"/>
                <w:lang w:val="en-US" w:eastAsia="zh-CN"/>
              </w:rPr>
              <w:t>和</w:t>
            </w:r>
            <w:r>
              <w:rPr>
                <w:rFonts w:hint="default" w:hAnsi="宋体"/>
                <w:color w:val="auto"/>
                <w:sz w:val="24"/>
                <w:szCs w:val="24"/>
                <w:highlight w:val="none"/>
                <w:lang w:eastAsia="zh-CN"/>
              </w:rPr>
              <w:t>《</w:t>
            </w:r>
            <w:r>
              <w:rPr>
                <w:rFonts w:hint="default" w:hAnsi="宋体"/>
                <w:color w:val="auto"/>
                <w:sz w:val="24"/>
                <w:szCs w:val="24"/>
                <w:highlight w:val="none"/>
                <w:lang w:val="en-US" w:eastAsia="zh-CN"/>
              </w:rPr>
              <w:t>新疆维吾尔自治区17个新增纳入国家重点生态功能区县（市）产业准入负面清单</w:t>
            </w:r>
            <w:r>
              <w:rPr>
                <w:rFonts w:hint="default" w:hAnsi="宋体"/>
                <w:color w:val="auto"/>
                <w:sz w:val="24"/>
                <w:szCs w:val="24"/>
                <w:highlight w:val="none"/>
                <w:lang w:eastAsia="zh-CN"/>
              </w:rPr>
              <w:t>》</w:t>
            </w:r>
            <w:r>
              <w:rPr>
                <w:rFonts w:hint="eastAsia" w:hAnsi="宋体"/>
                <w:color w:val="auto"/>
                <w:sz w:val="24"/>
                <w:szCs w:val="24"/>
                <w:highlight w:val="none"/>
                <w:lang w:val="en-US" w:eastAsia="zh-CN"/>
              </w:rPr>
              <w:t>中所列的县市</w:t>
            </w:r>
            <w:r>
              <w:rPr>
                <w:rFonts w:hint="eastAsia" w:hAnsi="宋体"/>
                <w:color w:val="auto"/>
                <w:sz w:val="24"/>
                <w:szCs w:val="24"/>
                <w:highlight w:val="none"/>
                <w:lang w:eastAsia="zh-CN"/>
              </w:rPr>
              <w:t>。</w:t>
            </w:r>
          </w:p>
          <w:p w14:paraId="3A08AC57">
            <w:pPr>
              <w:pStyle w:val="73"/>
              <w:keepNext w:val="0"/>
              <w:keepLines w:val="0"/>
              <w:pageBreakBefore w:val="0"/>
              <w:widowControl w:val="0"/>
              <w:kinsoku/>
              <w:wordWrap/>
              <w:overflowPunct w:val="0"/>
              <w:autoSpaceDE/>
              <w:autoSpaceDN/>
              <w:bidi w:val="0"/>
              <w:adjustRightInd/>
              <w:snapToGrid/>
              <w:spacing w:line="480" w:lineRule="exact"/>
              <w:ind w:firstLine="480" w:firstLineChars="200"/>
              <w:jc w:val="both"/>
              <w:rPr>
                <w:rFonts w:hAnsi="宋体"/>
                <w:color w:val="auto"/>
                <w:sz w:val="24"/>
                <w:szCs w:val="24"/>
                <w:highlight w:val="none"/>
              </w:rPr>
            </w:pPr>
            <w:r>
              <w:rPr>
                <w:rFonts w:hAnsi="宋体"/>
                <w:color w:val="auto"/>
                <w:sz w:val="24"/>
                <w:szCs w:val="24"/>
                <w:highlight w:val="none"/>
              </w:rPr>
              <w:t>因此，本项目符合国家的产业政策。</w:t>
            </w:r>
          </w:p>
          <w:p w14:paraId="7C3826F4">
            <w:pPr>
              <w:pStyle w:val="2"/>
              <w:snapToGrid/>
              <w:spacing w:before="0" w:after="0" w:line="500" w:lineRule="exact"/>
              <w:ind w:left="0" w:firstLine="482" w:firstLineChars="200"/>
              <w:jc w:val="left"/>
              <w:rPr>
                <w:rFonts w:eastAsiaTheme="minorEastAsia"/>
                <w:b/>
                <w:bCs/>
                <w:color w:val="auto"/>
                <w:sz w:val="24"/>
                <w:szCs w:val="24"/>
                <w:highlight w:val="none"/>
              </w:rPr>
            </w:pPr>
            <w:bookmarkStart w:id="6" w:name="_Toc9299"/>
            <w:r>
              <w:rPr>
                <w:rFonts w:hint="eastAsia" w:eastAsiaTheme="minorEastAsia"/>
                <w:b/>
                <w:bCs/>
                <w:color w:val="auto"/>
                <w:sz w:val="24"/>
                <w:highlight w:val="none"/>
                <w:lang w:eastAsia="zh-CN"/>
              </w:rPr>
              <w:t>（</w:t>
            </w:r>
            <w:r>
              <w:rPr>
                <w:rFonts w:hint="eastAsia" w:eastAsiaTheme="minorEastAsia"/>
                <w:b/>
                <w:bCs/>
                <w:color w:val="auto"/>
                <w:sz w:val="24"/>
                <w:highlight w:val="none"/>
                <w:lang w:val="en-US" w:eastAsia="zh-CN"/>
              </w:rPr>
              <w:t>2</w:t>
            </w:r>
            <w:r>
              <w:rPr>
                <w:rFonts w:hint="eastAsia" w:eastAsiaTheme="minorEastAsia"/>
                <w:b/>
                <w:bCs/>
                <w:color w:val="auto"/>
                <w:sz w:val="24"/>
                <w:highlight w:val="none"/>
                <w:lang w:eastAsia="zh-CN"/>
              </w:rPr>
              <w:t>）</w:t>
            </w:r>
            <w:r>
              <w:rPr>
                <w:rFonts w:hint="eastAsia" w:eastAsiaTheme="minorEastAsia"/>
                <w:b/>
                <w:bCs/>
                <w:color w:val="auto"/>
                <w:sz w:val="24"/>
                <w:highlight w:val="none"/>
                <w:lang w:val="en-US" w:eastAsia="zh-CN"/>
              </w:rPr>
              <w:t>项目与</w:t>
            </w:r>
            <w:r>
              <w:rPr>
                <w:rFonts w:ascii="Times New Roman" w:cs="Times New Roman" w:hAnsiTheme="minorEastAsia" w:eastAsiaTheme="minorEastAsia"/>
                <w:b/>
                <w:bCs/>
                <w:color w:val="auto"/>
                <w:sz w:val="24"/>
                <w:highlight w:val="none"/>
                <w:lang w:val="en-US" w:eastAsia="zh-CN"/>
              </w:rPr>
              <w:t>生态环境分区管控</w:t>
            </w:r>
            <w:r>
              <w:rPr>
                <w:rFonts w:hAnsiTheme="minorEastAsia" w:eastAsiaTheme="minorEastAsia"/>
                <w:b/>
                <w:bCs/>
                <w:color w:val="auto"/>
                <w:sz w:val="24"/>
                <w:szCs w:val="24"/>
                <w:highlight w:val="none"/>
              </w:rPr>
              <w:t>符合性分析</w:t>
            </w:r>
            <w:bookmarkEnd w:id="6"/>
          </w:p>
          <w:p w14:paraId="09CAE5A0">
            <w:pPr>
              <w:spacing w:line="500" w:lineRule="exact"/>
              <w:ind w:firstLine="480" w:firstLineChars="200"/>
              <w:rPr>
                <w:rFonts w:hint="eastAsia" w:ascii="Times New Roman" w:cs="Times New Roman" w:hAnsiTheme="minorEastAsia" w:eastAsiaTheme="minorEastAsia"/>
                <w:color w:val="auto"/>
                <w:sz w:val="24"/>
                <w:highlight w:val="none"/>
                <w:lang w:eastAsia="zh-CN"/>
              </w:rPr>
            </w:pPr>
            <w:r>
              <w:rPr>
                <w:rFonts w:ascii="Times New Roman" w:cs="Times New Roman" w:hAnsiTheme="minorEastAsia" w:eastAsiaTheme="minorEastAsia"/>
                <w:color w:val="auto"/>
                <w:sz w:val="24"/>
                <w:highlight w:val="none"/>
              </w:rPr>
              <w:t>1）</w:t>
            </w:r>
            <w:r>
              <w:rPr>
                <w:rFonts w:hint="eastAsia" w:ascii="Times New Roman" w:cs="Times New Roman" w:hAnsiTheme="minorEastAsia" w:eastAsiaTheme="minorEastAsia"/>
                <w:color w:val="auto"/>
                <w:sz w:val="24"/>
                <w:highlight w:val="none"/>
              </w:rPr>
              <w:t>本项目与</w:t>
            </w:r>
            <w:r>
              <w:rPr>
                <w:rFonts w:ascii="Times New Roman" w:cs="Times New Roman" w:hAnsiTheme="minorEastAsia" w:eastAsiaTheme="minorEastAsia"/>
                <w:color w:val="auto"/>
                <w:sz w:val="24"/>
                <w:highlight w:val="none"/>
                <w:lang w:val="en-US" w:eastAsia="zh-CN"/>
              </w:rPr>
              <w:t>《新疆维吾尔自治区生态环境分区管控动态更新成果》</w:t>
            </w:r>
            <w:r>
              <w:rPr>
                <w:rFonts w:hint="eastAsia" w:cs="Times New Roman" w:hAnsiTheme="minorEastAsia" w:eastAsiaTheme="minorEastAsia"/>
                <w:color w:val="auto"/>
                <w:sz w:val="24"/>
                <w:highlight w:val="none"/>
                <w:lang w:val="en-US" w:eastAsia="zh-CN"/>
              </w:rPr>
              <w:t>（</w:t>
            </w:r>
            <w:r>
              <w:rPr>
                <w:rFonts w:ascii="Times New Roman" w:cs="Times New Roman" w:hAnsiTheme="minorEastAsia" w:eastAsiaTheme="minorEastAsia"/>
                <w:color w:val="auto"/>
                <w:sz w:val="24"/>
                <w:highlight w:val="none"/>
                <w:lang w:val="en-US" w:eastAsia="zh-CN"/>
              </w:rPr>
              <w:t>新环环评发〔2024〕157号</w:t>
            </w:r>
            <w:r>
              <w:rPr>
                <w:rFonts w:hint="eastAsia" w:cs="Times New Roman" w:hAnsiTheme="minorEastAsia" w:eastAsiaTheme="minorEastAsia"/>
                <w:color w:val="auto"/>
                <w:sz w:val="24"/>
                <w:highlight w:val="none"/>
                <w:lang w:val="en-US" w:eastAsia="zh-CN"/>
              </w:rPr>
              <w:t>）</w:t>
            </w:r>
            <w:r>
              <w:rPr>
                <w:rFonts w:ascii="Times New Roman" w:cs="Times New Roman" w:hAnsiTheme="minorEastAsia" w:eastAsiaTheme="minorEastAsia"/>
                <w:color w:val="auto"/>
                <w:sz w:val="24"/>
                <w:highlight w:val="none"/>
              </w:rPr>
              <w:t>符合性</w:t>
            </w:r>
            <w:r>
              <w:rPr>
                <w:rFonts w:hint="eastAsia" w:cs="Times New Roman" w:hAnsiTheme="minorEastAsia" w:eastAsiaTheme="minorEastAsia"/>
                <w:color w:val="auto"/>
                <w:sz w:val="24"/>
                <w:highlight w:val="none"/>
                <w:lang w:val="en-US" w:eastAsia="zh-CN"/>
              </w:rPr>
              <w:t>分析</w:t>
            </w:r>
            <w:r>
              <w:rPr>
                <w:rFonts w:hint="eastAsia" w:cs="Times New Roman" w:hAnsiTheme="minorEastAsia" w:eastAsiaTheme="minorEastAsia"/>
                <w:color w:val="auto"/>
                <w:sz w:val="24"/>
                <w:highlight w:val="none"/>
                <w:lang w:eastAsia="zh-CN"/>
              </w:rPr>
              <w:t>。</w:t>
            </w:r>
          </w:p>
          <w:p w14:paraId="4D53E568">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cs="Times New Roman" w:hAnsiTheme="minorEastAsia" w:eastAsiaTheme="minorEastAsia"/>
                <w:b/>
                <w:bCs/>
                <w:color w:val="auto"/>
                <w:sz w:val="21"/>
                <w:szCs w:val="21"/>
                <w:highlight w:val="none"/>
                <w:lang w:val="en-US" w:eastAsia="zh-CN"/>
              </w:rPr>
            </w:pPr>
            <w:r>
              <w:rPr>
                <w:rFonts w:hint="eastAsia" w:cs="Times New Roman" w:hAnsiTheme="minorEastAsia" w:eastAsiaTheme="minorEastAsia"/>
                <w:b/>
                <w:bCs/>
                <w:color w:val="auto"/>
                <w:sz w:val="21"/>
                <w:szCs w:val="21"/>
                <w:highlight w:val="none"/>
                <w:lang w:val="en-US" w:eastAsia="zh-CN"/>
              </w:rPr>
              <w:t>表1-1，项目与</w:t>
            </w:r>
            <w:r>
              <w:rPr>
                <w:rFonts w:ascii="Times New Roman" w:cs="Times New Roman" w:hAnsiTheme="minorEastAsia" w:eastAsiaTheme="minorEastAsia"/>
                <w:b/>
                <w:bCs/>
                <w:color w:val="auto"/>
                <w:sz w:val="21"/>
                <w:szCs w:val="21"/>
                <w:highlight w:val="none"/>
                <w:lang w:val="en-US" w:eastAsia="zh-CN"/>
              </w:rPr>
              <w:t>《新疆维吾尔自治区生态环境分区管控动态更新成果》</w:t>
            </w:r>
            <w:r>
              <w:rPr>
                <w:rFonts w:hint="default" w:ascii="Times New Roman" w:hAnsi="Times New Roman" w:eastAsia="宋体" w:cs="Times New Roman"/>
                <w:b/>
                <w:bCs/>
                <w:color w:val="auto"/>
                <w:sz w:val="21"/>
                <w:szCs w:val="21"/>
                <w:highlight w:val="none"/>
              </w:rPr>
              <w:t>符合性分析</w:t>
            </w:r>
          </w:p>
          <w:tbl>
            <w:tblPr>
              <w:tblStyle w:val="34"/>
              <w:tblW w:w="49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3840"/>
              <w:gridCol w:w="2420"/>
              <w:gridCol w:w="422"/>
            </w:tblGrid>
            <w:tr w14:paraId="1988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pct"/>
                  <w:vAlign w:val="center"/>
                </w:tcPr>
                <w:p w14:paraId="557237C1">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管控</w:t>
                  </w:r>
                </w:p>
                <w:p w14:paraId="5D3E908E">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类别</w:t>
                  </w:r>
                </w:p>
              </w:tc>
              <w:tc>
                <w:tcPr>
                  <w:tcW w:w="2610" w:type="pct"/>
                  <w:vAlign w:val="center"/>
                </w:tcPr>
                <w:p w14:paraId="4F1AE124">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总体管控要求</w:t>
                  </w:r>
                </w:p>
              </w:tc>
              <w:tc>
                <w:tcPr>
                  <w:tcW w:w="1645" w:type="pct"/>
                  <w:vAlign w:val="center"/>
                </w:tcPr>
                <w:p w14:paraId="4655D1C3">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本项目</w:t>
                  </w:r>
                </w:p>
              </w:tc>
              <w:tc>
                <w:tcPr>
                  <w:tcW w:w="287" w:type="pct"/>
                  <w:vAlign w:val="center"/>
                </w:tcPr>
                <w:p w14:paraId="60ECF9AC">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符合性</w:t>
                  </w:r>
                </w:p>
              </w:tc>
            </w:tr>
            <w:tr w14:paraId="30699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pct"/>
                  <w:vMerge w:val="restart"/>
                  <w:vAlign w:val="center"/>
                </w:tcPr>
                <w:p w14:paraId="35E6C0B3">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空间布局约束</w:t>
                  </w:r>
                </w:p>
              </w:tc>
              <w:tc>
                <w:tcPr>
                  <w:tcW w:w="2610" w:type="pct"/>
                  <w:vAlign w:val="center"/>
                </w:tcPr>
                <w:p w14:paraId="45D7D32E">
                  <w:pPr>
                    <w:pStyle w:val="177"/>
                    <w:pageBreakBefore w:val="0"/>
                    <w:kinsoku/>
                    <w:wordWrap/>
                    <w:overflowPunct/>
                    <w:bidi w:val="0"/>
                    <w:adjustRightInd/>
                    <w:snapToGrid/>
                    <w:spacing w:line="200" w:lineRule="atLeast"/>
                    <w:ind w:left="-42" w:leftChars="-20" w:right="-42" w:rightChars="-2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color w:val="auto"/>
                      <w:sz w:val="21"/>
                      <w:szCs w:val="21"/>
                      <w:highlight w:val="none"/>
                    </w:rPr>
                    <w:t>〔A1.1-1〕禁止新建、扩建《产业结构调整指导目录</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2024年本</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》中淘汰类项目。禁止引入《市场准入负面清单</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2022年版</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》禁止准入类事项。</w:t>
                  </w:r>
                </w:p>
              </w:tc>
              <w:tc>
                <w:tcPr>
                  <w:tcW w:w="1645" w:type="pct"/>
                  <w:vAlign w:val="center"/>
                </w:tcPr>
                <w:p w14:paraId="2AA4E4D0">
                  <w:pPr>
                    <w:pStyle w:val="177"/>
                    <w:pageBreakBefore w:val="0"/>
                    <w:kinsoku/>
                    <w:wordWrap/>
                    <w:overflowPunct/>
                    <w:bidi w:val="0"/>
                    <w:adjustRightInd/>
                    <w:snapToGrid/>
                    <w:spacing w:line="200" w:lineRule="atLeast"/>
                    <w:ind w:left="-42" w:leftChars="-20" w:right="-42" w:rightChars="-20" w:firstLine="420" w:firstLineChars="200"/>
                    <w:jc w:val="both"/>
                    <w:rPr>
                      <w:rFonts w:hint="default" w:ascii="Times New Roman" w:hAnsi="Times New Roman" w:eastAsia="宋体" w:cs="Times New Roman"/>
                      <w:b w:val="0"/>
                      <w:color w:val="auto"/>
                      <w:sz w:val="21"/>
                      <w:szCs w:val="21"/>
                      <w:highlight w:val="none"/>
                    </w:rPr>
                  </w:pPr>
                  <w:r>
                    <w:rPr>
                      <w:rFonts w:hint="eastAsia" w:ascii="Times New Roman" w:hAnsi="Times New Roman" w:eastAsia="宋体" w:cs="Times New Roman"/>
                      <w:b w:val="0"/>
                      <w:color w:val="auto"/>
                      <w:sz w:val="21"/>
                      <w:szCs w:val="21"/>
                      <w:highlight w:val="none"/>
                    </w:rPr>
                    <w:t>根据国家发展改革委商务部关于印发《市场准入负面清单（</w:t>
                  </w:r>
                  <w:r>
                    <w:rPr>
                      <w:rFonts w:hint="default" w:ascii="Times New Roman" w:hAnsi="Times New Roman" w:eastAsia="宋体" w:cs="Times New Roman"/>
                      <w:b w:val="0"/>
                      <w:color w:val="auto"/>
                      <w:sz w:val="21"/>
                      <w:szCs w:val="21"/>
                      <w:highlight w:val="none"/>
                    </w:rPr>
                    <w:t>2022</w:t>
                  </w:r>
                  <w:r>
                    <w:rPr>
                      <w:rFonts w:hint="eastAsia" w:ascii="Times New Roman" w:hAnsi="Times New Roman" w:eastAsia="宋体" w:cs="Times New Roman"/>
                      <w:b w:val="0"/>
                      <w:color w:val="auto"/>
                      <w:sz w:val="21"/>
                      <w:szCs w:val="21"/>
                      <w:highlight w:val="none"/>
                    </w:rPr>
                    <w:t>年版）》的通知（发改体改规〔</w:t>
                  </w:r>
                  <w:r>
                    <w:rPr>
                      <w:rFonts w:hint="default" w:ascii="Times New Roman" w:hAnsi="Times New Roman" w:eastAsia="宋体" w:cs="Times New Roman"/>
                      <w:b w:val="0"/>
                      <w:color w:val="auto"/>
                      <w:sz w:val="21"/>
                      <w:szCs w:val="21"/>
                      <w:highlight w:val="none"/>
                    </w:rPr>
                    <w:t>2022</w:t>
                  </w:r>
                  <w:r>
                    <w:rPr>
                      <w:rFonts w:hint="eastAsia" w:ascii="Times New Roman" w:hAnsi="Times New Roman" w:eastAsia="宋体" w:cs="Times New Roman"/>
                      <w:b w:val="0"/>
                      <w:color w:val="auto"/>
                      <w:sz w:val="21"/>
                      <w:szCs w:val="21"/>
                      <w:highlight w:val="none"/>
                    </w:rPr>
                    <w:t>〕</w:t>
                  </w:r>
                  <w:r>
                    <w:rPr>
                      <w:rFonts w:hint="default" w:ascii="Times New Roman" w:hAnsi="Times New Roman" w:eastAsia="宋体" w:cs="Times New Roman"/>
                      <w:b w:val="0"/>
                      <w:color w:val="auto"/>
                      <w:sz w:val="21"/>
                      <w:szCs w:val="21"/>
                      <w:highlight w:val="none"/>
                    </w:rPr>
                    <w:t>397</w:t>
                  </w:r>
                  <w:r>
                    <w:rPr>
                      <w:rFonts w:hint="eastAsia" w:ascii="Times New Roman" w:hAnsi="Times New Roman" w:eastAsia="宋体" w:cs="Times New Roman"/>
                      <w:b w:val="0"/>
                      <w:color w:val="auto"/>
                      <w:sz w:val="21"/>
                      <w:szCs w:val="21"/>
                      <w:highlight w:val="none"/>
                    </w:rPr>
                    <w:t>号），</w:t>
                  </w:r>
                  <w:r>
                    <w:rPr>
                      <w:rFonts w:hint="default" w:ascii="Times New Roman" w:hAnsi="Times New Roman" w:eastAsia="宋体" w:cs="Times New Roman"/>
                      <w:b w:val="0"/>
                      <w:color w:val="auto"/>
                      <w:sz w:val="21"/>
                      <w:szCs w:val="21"/>
                      <w:highlight w:val="none"/>
                    </w:rPr>
                    <w:t>本项目不在</w:t>
                  </w:r>
                  <w:r>
                    <w:rPr>
                      <w:rFonts w:hint="eastAsia" w:ascii="Times New Roman" w:hAnsi="Times New Roman" w:eastAsia="宋体" w:cs="Times New Roman"/>
                      <w:b w:val="0"/>
                      <w:color w:val="auto"/>
                      <w:sz w:val="21"/>
                      <w:szCs w:val="21"/>
                      <w:highlight w:val="none"/>
                    </w:rPr>
                    <w:t>《</w:t>
                  </w:r>
                  <w:bookmarkStart w:id="7" w:name="OLE_LINK1"/>
                  <w:r>
                    <w:rPr>
                      <w:rFonts w:hint="eastAsia" w:ascii="Times New Roman" w:hAnsi="Times New Roman" w:eastAsia="宋体" w:cs="Times New Roman"/>
                      <w:b w:val="0"/>
                      <w:color w:val="auto"/>
                      <w:sz w:val="21"/>
                      <w:szCs w:val="21"/>
                      <w:highlight w:val="none"/>
                    </w:rPr>
                    <w:t>市场准入负面清单</w:t>
                  </w:r>
                  <w:bookmarkEnd w:id="7"/>
                  <w:r>
                    <w:rPr>
                      <w:rFonts w:hint="eastAsia" w:ascii="Times New Roman" w:hAnsi="Times New Roman" w:eastAsia="宋体" w:cs="Times New Roman"/>
                      <w:b w:val="0"/>
                      <w:color w:val="auto"/>
                      <w:sz w:val="21"/>
                      <w:szCs w:val="21"/>
                      <w:highlight w:val="none"/>
                    </w:rPr>
                    <w:t>（</w:t>
                  </w:r>
                  <w:r>
                    <w:rPr>
                      <w:rFonts w:hint="default" w:ascii="Times New Roman" w:hAnsi="Times New Roman" w:eastAsia="宋体" w:cs="Times New Roman"/>
                      <w:b w:val="0"/>
                      <w:color w:val="auto"/>
                      <w:sz w:val="21"/>
                      <w:szCs w:val="21"/>
                      <w:highlight w:val="none"/>
                    </w:rPr>
                    <w:t>2022</w:t>
                  </w:r>
                  <w:r>
                    <w:rPr>
                      <w:rFonts w:hint="eastAsia" w:ascii="Times New Roman" w:hAnsi="Times New Roman" w:eastAsia="宋体" w:cs="Times New Roman"/>
                      <w:b w:val="0"/>
                      <w:color w:val="auto"/>
                      <w:sz w:val="21"/>
                      <w:szCs w:val="21"/>
                      <w:highlight w:val="none"/>
                    </w:rPr>
                    <w:t>年版）》</w:t>
                  </w:r>
                  <w:r>
                    <w:rPr>
                      <w:rFonts w:hint="default" w:ascii="Times New Roman" w:hAnsi="Times New Roman" w:eastAsia="宋体" w:cs="Times New Roman"/>
                      <w:b w:val="0"/>
                      <w:color w:val="auto"/>
                      <w:sz w:val="21"/>
                      <w:szCs w:val="21"/>
                      <w:highlight w:val="none"/>
                    </w:rPr>
                    <w:t>的禁止准入类和</w:t>
                  </w:r>
                  <w:r>
                    <w:rPr>
                      <w:rFonts w:hint="eastAsia" w:ascii="Times New Roman" w:hAnsi="Times New Roman" w:eastAsia="宋体" w:cs="Times New Roman"/>
                      <w:b w:val="0"/>
                      <w:color w:val="auto"/>
                      <w:sz w:val="21"/>
                      <w:szCs w:val="21"/>
                      <w:highlight w:val="none"/>
                    </w:rPr>
                    <w:t>限制</w:t>
                  </w:r>
                  <w:r>
                    <w:rPr>
                      <w:rFonts w:hint="default" w:ascii="Times New Roman" w:hAnsi="Times New Roman" w:eastAsia="宋体" w:cs="Times New Roman"/>
                      <w:b w:val="0"/>
                      <w:color w:val="auto"/>
                      <w:sz w:val="21"/>
                      <w:szCs w:val="21"/>
                      <w:highlight w:val="none"/>
                    </w:rPr>
                    <w:t>准入类。本项目属于《产业结构调整指导目录（20</w:t>
                  </w:r>
                  <w:r>
                    <w:rPr>
                      <w:rFonts w:hint="eastAsia" w:ascii="Times New Roman" w:hAnsi="Times New Roman" w:eastAsia="宋体" w:cs="Times New Roman"/>
                      <w:b w:val="0"/>
                      <w:color w:val="auto"/>
                      <w:sz w:val="21"/>
                      <w:szCs w:val="21"/>
                      <w:highlight w:val="none"/>
                      <w:lang w:val="en-US" w:eastAsia="zh-CN"/>
                    </w:rPr>
                    <w:t>24</w:t>
                  </w:r>
                  <w:r>
                    <w:rPr>
                      <w:rFonts w:hint="default" w:ascii="Times New Roman" w:hAnsi="Times New Roman" w:eastAsia="宋体" w:cs="Times New Roman"/>
                      <w:b w:val="0"/>
                      <w:color w:val="auto"/>
                      <w:sz w:val="21"/>
                      <w:szCs w:val="21"/>
                      <w:highlight w:val="none"/>
                    </w:rPr>
                    <w:t>年本）》中的</w:t>
                  </w:r>
                  <w:r>
                    <w:rPr>
                      <w:rFonts w:hint="eastAsia" w:ascii="Times New Roman" w:hAnsi="Times New Roman" w:eastAsia="宋体" w:cs="Times New Roman"/>
                      <w:b w:val="0"/>
                      <w:color w:val="auto"/>
                      <w:sz w:val="21"/>
                      <w:szCs w:val="21"/>
                      <w:highlight w:val="none"/>
                    </w:rPr>
                    <w:t>允许类</w:t>
                  </w:r>
                  <w:r>
                    <w:rPr>
                      <w:rFonts w:hint="default" w:ascii="Times New Roman" w:hAnsi="Times New Roman" w:eastAsia="宋体" w:cs="Times New Roman"/>
                      <w:b w:val="0"/>
                      <w:color w:val="auto"/>
                      <w:sz w:val="21"/>
                      <w:szCs w:val="21"/>
                      <w:highlight w:val="none"/>
                    </w:rPr>
                    <w:t>。因此，项目符合环境准入要求。</w:t>
                  </w:r>
                </w:p>
              </w:tc>
              <w:tc>
                <w:tcPr>
                  <w:tcW w:w="287" w:type="pct"/>
                  <w:vAlign w:val="center"/>
                </w:tcPr>
                <w:p w14:paraId="429F903B">
                  <w:pPr>
                    <w:pageBreakBefore w:val="0"/>
                    <w:kinsoku/>
                    <w:wordWrap/>
                    <w:overflowPunct/>
                    <w:bidi w:val="0"/>
                    <w:adjustRightInd/>
                    <w:snapToGrid/>
                    <w:spacing w:line="200" w:lineRule="atLeast"/>
                    <w:ind w:left="-42" w:leftChars="-20" w:right="-42" w:rightChars="-2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符合</w:t>
                  </w:r>
                </w:p>
              </w:tc>
            </w:tr>
            <w:tr w14:paraId="7AF4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pct"/>
                  <w:vMerge w:val="continue"/>
                  <w:vAlign w:val="center"/>
                </w:tcPr>
                <w:p w14:paraId="33EF43C3">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p>
              </w:tc>
              <w:tc>
                <w:tcPr>
                  <w:tcW w:w="2610" w:type="pct"/>
                  <w:vAlign w:val="center"/>
                </w:tcPr>
                <w:p w14:paraId="4CF2FE73">
                  <w:pPr>
                    <w:pStyle w:val="177"/>
                    <w:pageBreakBefore w:val="0"/>
                    <w:kinsoku/>
                    <w:wordWrap/>
                    <w:overflowPunct/>
                    <w:bidi w:val="0"/>
                    <w:adjustRightInd/>
                    <w:snapToGrid/>
                    <w:spacing w:line="200" w:lineRule="atLeast"/>
                    <w:ind w:left="-42" w:leftChars="-20" w:right="-42" w:rightChars="-2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color w:val="auto"/>
                      <w:sz w:val="21"/>
                      <w:szCs w:val="21"/>
                      <w:highlight w:val="none"/>
                    </w:rPr>
                    <w:t>〔A1.1-2〕禁止建设不符合国家和自治区环境保护标准的项目</w:t>
                  </w:r>
                  <w:r>
                    <w:rPr>
                      <w:rFonts w:hint="eastAsia" w:ascii="Times New Roman" w:hAnsi="Times New Roman" w:eastAsia="宋体" w:cs="Times New Roman"/>
                      <w:b w:val="0"/>
                      <w:color w:val="auto"/>
                      <w:sz w:val="21"/>
                      <w:szCs w:val="21"/>
                      <w:highlight w:val="none"/>
                      <w:lang w:val="en-US" w:eastAsia="zh-CN"/>
                    </w:rPr>
                    <w:t>。</w:t>
                  </w:r>
                </w:p>
              </w:tc>
              <w:tc>
                <w:tcPr>
                  <w:tcW w:w="1645" w:type="pct"/>
                  <w:vAlign w:val="center"/>
                </w:tcPr>
                <w:p w14:paraId="7B1F8D9E">
                  <w:pPr>
                    <w:pStyle w:val="177"/>
                    <w:pageBreakBefore w:val="0"/>
                    <w:kinsoku/>
                    <w:wordWrap/>
                    <w:overflowPunct/>
                    <w:bidi w:val="0"/>
                    <w:adjustRightInd/>
                    <w:snapToGrid/>
                    <w:spacing w:line="200" w:lineRule="atLeast"/>
                    <w:ind w:left="-42" w:leftChars="-20" w:right="-42" w:rightChars="-20" w:firstLine="420" w:firstLineChars="200"/>
                    <w:jc w:val="both"/>
                    <w:rPr>
                      <w:rFonts w:hint="default" w:ascii="Times New Roman" w:hAnsi="Times New Roman" w:eastAsia="宋体" w:cs="Times New Roman"/>
                      <w:b w:val="0"/>
                      <w:color w:val="auto"/>
                      <w:sz w:val="21"/>
                      <w:szCs w:val="21"/>
                      <w:highlight w:val="none"/>
                      <w:lang w:val="en-US" w:eastAsia="zh-CN"/>
                    </w:rPr>
                  </w:pPr>
                  <w:r>
                    <w:rPr>
                      <w:rFonts w:hint="eastAsia" w:ascii="Times New Roman" w:hAnsi="Times New Roman" w:cs="Times New Roman"/>
                      <w:b w:val="0"/>
                      <w:color w:val="auto"/>
                      <w:sz w:val="21"/>
                      <w:szCs w:val="21"/>
                      <w:highlight w:val="none"/>
                      <w:lang w:val="en-US" w:eastAsia="zh-CN"/>
                    </w:rPr>
                    <w:t>项目建设</w:t>
                  </w:r>
                  <w:r>
                    <w:rPr>
                      <w:rFonts w:hint="default" w:ascii="Times New Roman" w:hAnsi="Times New Roman" w:eastAsia="宋体" w:cs="Times New Roman"/>
                      <w:b w:val="0"/>
                      <w:color w:val="auto"/>
                      <w:sz w:val="21"/>
                      <w:szCs w:val="21"/>
                      <w:highlight w:val="none"/>
                    </w:rPr>
                    <w:t>符合国家和自治区环境保护标准</w:t>
                  </w:r>
                </w:p>
              </w:tc>
              <w:tc>
                <w:tcPr>
                  <w:tcW w:w="287" w:type="pct"/>
                  <w:vAlign w:val="center"/>
                </w:tcPr>
                <w:p w14:paraId="4B75ED44">
                  <w:pPr>
                    <w:pageBreakBefore w:val="0"/>
                    <w:kinsoku/>
                    <w:wordWrap/>
                    <w:overflowPunct/>
                    <w:bidi w:val="0"/>
                    <w:adjustRightInd/>
                    <w:snapToGrid/>
                    <w:spacing w:line="200" w:lineRule="atLeast"/>
                    <w:ind w:left="-42" w:leftChars="-20" w:right="-42" w:rightChars="-2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符合</w:t>
                  </w:r>
                </w:p>
              </w:tc>
            </w:tr>
            <w:tr w14:paraId="048F2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6" w:type="pct"/>
                  <w:vMerge w:val="continue"/>
                  <w:vAlign w:val="center"/>
                </w:tcPr>
                <w:p w14:paraId="5A0D4B8E">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p>
              </w:tc>
              <w:tc>
                <w:tcPr>
                  <w:tcW w:w="2610" w:type="pct"/>
                  <w:vAlign w:val="center"/>
                </w:tcPr>
                <w:p w14:paraId="412BA476">
                  <w:pPr>
                    <w:pStyle w:val="177"/>
                    <w:pageBreakBefore w:val="0"/>
                    <w:kinsoku/>
                    <w:wordWrap/>
                    <w:overflowPunct/>
                    <w:bidi w:val="0"/>
                    <w:adjustRightInd/>
                    <w:snapToGrid/>
                    <w:spacing w:line="200" w:lineRule="atLeast"/>
                    <w:ind w:left="-42" w:leftChars="-20" w:right="-42" w:rightChars="-2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color w:val="auto"/>
                      <w:sz w:val="21"/>
                      <w:szCs w:val="21"/>
                      <w:highlight w:val="none"/>
                    </w:rPr>
                    <w:t>〔A1.1-6〕禁止在自治区行政区域内引进能</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水</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耗不符合相关国家标准中准入值要求且污染物排放和环境风险防控不符合国家</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地方</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标准及有关产业准入条件的高污染</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排放</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、高能</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水</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耗、高环境风险的工业项目。</w:t>
                  </w:r>
                </w:p>
              </w:tc>
              <w:tc>
                <w:tcPr>
                  <w:tcW w:w="1645" w:type="pct"/>
                  <w:vAlign w:val="center"/>
                </w:tcPr>
                <w:p w14:paraId="32182D7A">
                  <w:pPr>
                    <w:pStyle w:val="177"/>
                    <w:pageBreakBefore w:val="0"/>
                    <w:kinsoku/>
                    <w:wordWrap/>
                    <w:overflowPunct/>
                    <w:bidi w:val="0"/>
                    <w:adjustRightInd/>
                    <w:snapToGrid/>
                    <w:spacing w:line="200" w:lineRule="atLeast"/>
                    <w:ind w:left="-42" w:leftChars="-20" w:right="-42" w:rightChars="-20" w:firstLine="420" w:firstLineChars="200"/>
                    <w:jc w:val="both"/>
                    <w:rPr>
                      <w:rFonts w:hint="eastAsia" w:ascii="Times New Roman" w:hAnsi="Times New Roman" w:eastAsia="宋体" w:cs="Times New Roman"/>
                      <w:b w:val="0"/>
                      <w:color w:val="auto"/>
                      <w:sz w:val="21"/>
                      <w:szCs w:val="21"/>
                      <w:highlight w:val="none"/>
                      <w:lang w:val="en-US" w:eastAsia="zh-CN"/>
                    </w:rPr>
                  </w:pPr>
                  <w:r>
                    <w:rPr>
                      <w:rFonts w:hint="eastAsia" w:ascii="Times New Roman" w:hAnsi="Times New Roman" w:cs="Times New Roman"/>
                      <w:b w:val="0"/>
                      <w:color w:val="auto"/>
                      <w:sz w:val="21"/>
                      <w:szCs w:val="21"/>
                      <w:highlight w:val="none"/>
                      <w:lang w:val="en-US" w:eastAsia="zh-CN"/>
                    </w:rPr>
                    <w:t>项目没有生产废水外排，冷却用水循环使用，不外排，水的能耗低，项目废气、噪声、废水处理后均能达标排放，不属于</w:t>
                  </w:r>
                  <w:r>
                    <w:rPr>
                      <w:rFonts w:hint="default" w:ascii="Times New Roman" w:hAnsi="Times New Roman" w:eastAsia="宋体" w:cs="Times New Roman"/>
                      <w:b w:val="0"/>
                      <w:color w:val="auto"/>
                      <w:sz w:val="21"/>
                      <w:szCs w:val="21"/>
                      <w:highlight w:val="none"/>
                    </w:rPr>
                    <w:t>高污染</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排放</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、高能</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水</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耗、高环境风险的工业项目</w:t>
                  </w:r>
                  <w:r>
                    <w:rPr>
                      <w:rFonts w:hint="eastAsia" w:ascii="Times New Roman" w:hAnsi="Times New Roman" w:cs="Times New Roman"/>
                      <w:b w:val="0"/>
                      <w:color w:val="auto"/>
                      <w:sz w:val="21"/>
                      <w:szCs w:val="21"/>
                      <w:highlight w:val="none"/>
                      <w:lang w:eastAsia="zh-CN"/>
                    </w:rPr>
                    <w:t>。</w:t>
                  </w:r>
                </w:p>
              </w:tc>
              <w:tc>
                <w:tcPr>
                  <w:tcW w:w="287" w:type="pct"/>
                  <w:vAlign w:val="center"/>
                </w:tcPr>
                <w:p w14:paraId="69EDCF35">
                  <w:pPr>
                    <w:pageBreakBefore w:val="0"/>
                    <w:kinsoku/>
                    <w:wordWrap/>
                    <w:overflowPunct/>
                    <w:bidi w:val="0"/>
                    <w:adjustRightInd/>
                    <w:snapToGrid/>
                    <w:spacing w:line="200" w:lineRule="atLeast"/>
                    <w:ind w:left="-42" w:leftChars="-20" w:right="-42" w:rightChars="-2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符合</w:t>
                  </w:r>
                </w:p>
              </w:tc>
            </w:tr>
            <w:tr w14:paraId="6754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4" w:hRule="atLeast"/>
                <w:jc w:val="center"/>
              </w:trPr>
              <w:tc>
                <w:tcPr>
                  <w:tcW w:w="456" w:type="pct"/>
                  <w:vMerge w:val="continue"/>
                  <w:vAlign w:val="center"/>
                </w:tcPr>
                <w:p w14:paraId="0D42F6BE">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p>
              </w:tc>
              <w:tc>
                <w:tcPr>
                  <w:tcW w:w="2610" w:type="pct"/>
                  <w:vAlign w:val="center"/>
                </w:tcPr>
                <w:p w14:paraId="5ACD3113">
                  <w:pPr>
                    <w:pStyle w:val="4"/>
                    <w:pageBreakBefore w:val="0"/>
                    <w:kinsoku/>
                    <w:wordWrap/>
                    <w:overflowPunct/>
                    <w:bidi w:val="0"/>
                    <w:adjustRightInd/>
                    <w:snapToGrid/>
                    <w:spacing w:line="200" w:lineRule="atLeast"/>
                    <w:ind w:left="-42" w:leftChars="-20" w:right="-42" w:rightChars="-20" w:firstLine="420" w:firstLineChars="200"/>
                    <w:jc w:val="both"/>
                    <w:rPr>
                      <w:rFonts w:hint="default" w:ascii="Times New Roman" w:hAnsi="Times New Roman" w:eastAsia="宋体" w:cs="Times New Roman"/>
                      <w:color w:val="auto"/>
                      <w:sz w:val="21"/>
                      <w:szCs w:val="21"/>
                      <w:highlight w:val="none"/>
                    </w:rPr>
                  </w:pPr>
                  <w:r>
                    <w:rPr>
                      <w:rFonts w:hint="eastAsia" w:cs="Times New Roman"/>
                      <w:b w:val="0"/>
                      <w:color w:val="auto"/>
                      <w:sz w:val="21"/>
                      <w:szCs w:val="21"/>
                      <w:highlight w:val="none"/>
                      <w:lang w:val="en-US" w:eastAsia="zh-CN"/>
                    </w:rPr>
                    <w:t>〔A1.1-7〕①坚决遏制高耗能高排放低水平项目盲目发展。严把高  耗能高排放低水平项目准入关口，严格落实污染物排放区域削减要求，对不符合规定的项目坚决停批停建。依法依规淘汰落后产能和化解过剩产能。②重点行业企业纳入重污染天气绩效分级，制定“一厂一策”应急减排清单，实现应纳尽纳；引导重点企业在秋冬季安排停产检修计划，减少冬季和采暖期排放。推进重点行业深度治理，实施全工况脱硫脱硝提标改造，加大无组织排放治理力度，深度开展工业炉窑综合整治，全面提升电解铝、活性炭、硅冶炼、纯碱、电石、聚氯乙烯、石化等行业污染治理水平。</w:t>
                  </w:r>
                </w:p>
              </w:tc>
              <w:tc>
                <w:tcPr>
                  <w:tcW w:w="1645" w:type="pct"/>
                  <w:vAlign w:val="center"/>
                </w:tcPr>
                <w:p w14:paraId="0AD4F3BF">
                  <w:pPr>
                    <w:pStyle w:val="177"/>
                    <w:pageBreakBefore w:val="0"/>
                    <w:kinsoku/>
                    <w:wordWrap/>
                    <w:overflowPunct/>
                    <w:bidi w:val="0"/>
                    <w:adjustRightInd/>
                    <w:snapToGrid/>
                    <w:spacing w:line="200" w:lineRule="atLeast"/>
                    <w:ind w:left="-42" w:leftChars="-20" w:right="-42" w:rightChars="-20" w:firstLine="420" w:firstLineChars="200"/>
                    <w:jc w:val="both"/>
                    <w:rPr>
                      <w:rFonts w:hint="default" w:ascii="Times New Roman" w:hAnsi="Times New Roman" w:eastAsia="宋体" w:cs="Times New Roman"/>
                      <w:b w:val="0"/>
                      <w:color w:val="auto"/>
                      <w:sz w:val="21"/>
                      <w:szCs w:val="21"/>
                      <w:highlight w:val="none"/>
                      <w:lang w:val="en-US" w:eastAsia="zh-CN"/>
                    </w:rPr>
                  </w:pPr>
                  <w:r>
                    <w:rPr>
                      <w:rFonts w:hint="eastAsia" w:ascii="Times New Roman" w:hAnsi="Times New Roman" w:cs="Times New Roman"/>
                      <w:b w:val="0"/>
                      <w:color w:val="auto"/>
                      <w:sz w:val="21"/>
                      <w:szCs w:val="21"/>
                      <w:highlight w:val="none"/>
                      <w:lang w:val="en-US" w:eastAsia="zh-CN"/>
                    </w:rPr>
                    <w:t>本项目用水主要生活用水和冷却用水，冷却用水循环使用，无废水外排，生活污水可以合理排放，能耗低，各项污染物处理后均能达标排放，固体废物可得到合理处置，不属于规划淘汰落后产能，本项目企业不属于行业重点企业</w:t>
                  </w:r>
                </w:p>
              </w:tc>
              <w:tc>
                <w:tcPr>
                  <w:tcW w:w="287" w:type="pct"/>
                  <w:vAlign w:val="center"/>
                </w:tcPr>
                <w:p w14:paraId="4CF9C8C4">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符合</w:t>
                  </w:r>
                </w:p>
              </w:tc>
            </w:tr>
            <w:tr w14:paraId="736F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pct"/>
                  <w:vMerge w:val="continue"/>
                  <w:vAlign w:val="center"/>
                </w:tcPr>
                <w:p w14:paraId="56C956C4">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p>
              </w:tc>
              <w:tc>
                <w:tcPr>
                  <w:tcW w:w="2610" w:type="pct"/>
                  <w:vAlign w:val="center"/>
                </w:tcPr>
                <w:p w14:paraId="2C80F1BB">
                  <w:pPr>
                    <w:pStyle w:val="237"/>
                    <w:spacing w:before="55" w:line="238" w:lineRule="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2"/>
                      <w:sz w:val="21"/>
                      <w:szCs w:val="22"/>
                      <w:highlight w:val="none"/>
                      <w:lang w:val="en-US" w:eastAsia="zh-CN" w:bidi="ar-SA"/>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1645" w:type="pct"/>
                  <w:vAlign w:val="center"/>
                </w:tcPr>
                <w:p w14:paraId="14059DA1">
                  <w:pPr>
                    <w:pStyle w:val="177"/>
                    <w:pageBreakBefore w:val="0"/>
                    <w:kinsoku/>
                    <w:wordWrap/>
                    <w:overflowPunct/>
                    <w:bidi w:val="0"/>
                    <w:adjustRightInd/>
                    <w:snapToGrid/>
                    <w:spacing w:line="200" w:lineRule="atLeast"/>
                    <w:ind w:left="-42" w:leftChars="-20" w:right="-42" w:rightChars="-20" w:firstLine="420" w:firstLineChars="200"/>
                    <w:jc w:val="both"/>
                    <w:rPr>
                      <w:rFonts w:hint="default" w:ascii="Times New Roman" w:hAnsi="Times New Roman" w:eastAsia="宋体" w:cs="Times New Roman"/>
                      <w:b w:val="0"/>
                      <w:color w:val="auto"/>
                      <w:sz w:val="21"/>
                      <w:szCs w:val="21"/>
                      <w:highlight w:val="none"/>
                      <w:lang w:val="en-US" w:eastAsia="zh-CN"/>
                    </w:rPr>
                  </w:pPr>
                  <w:r>
                    <w:rPr>
                      <w:rFonts w:hint="eastAsia" w:ascii="Times New Roman" w:hAnsi="Times New Roman" w:eastAsia="宋体" w:cs="Times New Roman"/>
                      <w:color w:val="auto"/>
                      <w:kern w:val="2"/>
                      <w:sz w:val="21"/>
                      <w:szCs w:val="22"/>
                      <w:highlight w:val="none"/>
                      <w:lang w:val="en-US" w:eastAsia="zh-CN" w:bidi="ar-SA"/>
                    </w:rPr>
                    <w:t>项目建设地点位于和静县和静工业园区，</w:t>
                  </w:r>
                  <w:r>
                    <w:rPr>
                      <w:rFonts w:hint="eastAsia" w:ascii="Times New Roman" w:hAnsi="Times New Roman" w:cs="Times New Roman"/>
                      <w:color w:val="auto"/>
                      <w:kern w:val="2"/>
                      <w:sz w:val="21"/>
                      <w:szCs w:val="22"/>
                      <w:highlight w:val="none"/>
                      <w:lang w:val="en-US" w:eastAsia="zh-CN" w:bidi="ar-SA"/>
                    </w:rPr>
                    <w:t>不属于</w:t>
                  </w:r>
                  <w:r>
                    <w:rPr>
                      <w:rFonts w:hint="eastAsia" w:ascii="Times New Roman" w:hAnsi="Times New Roman" w:eastAsia="宋体" w:cs="Times New Roman"/>
                      <w:color w:val="auto"/>
                      <w:kern w:val="2"/>
                      <w:sz w:val="21"/>
                      <w:szCs w:val="22"/>
                      <w:highlight w:val="none"/>
                      <w:lang w:val="en-US" w:eastAsia="zh-CN" w:bidi="ar-SA"/>
                    </w:rPr>
                    <w:t>《新疆维吾尔自治区28个国家重点生态功能区县（市）产业准入负面清单（试行）》和</w:t>
                  </w:r>
                  <w:r>
                    <w:rPr>
                      <w:rFonts w:hint="default" w:ascii="Times New Roman" w:hAnsi="Times New Roman" w:eastAsia="宋体" w:cs="Times New Roman"/>
                      <w:color w:val="auto"/>
                      <w:kern w:val="2"/>
                      <w:sz w:val="21"/>
                      <w:szCs w:val="22"/>
                      <w:highlight w:val="none"/>
                      <w:lang w:val="en-US" w:eastAsia="zh-CN" w:bidi="ar-SA"/>
                    </w:rPr>
                    <w:t>《新疆维吾尔自治区17个新增纳入国家重点生态功能区县（市）产业准入负面清单》</w:t>
                  </w:r>
                  <w:r>
                    <w:rPr>
                      <w:rFonts w:hint="eastAsia" w:ascii="Times New Roman" w:hAnsi="Times New Roman" w:eastAsia="宋体" w:cs="Times New Roman"/>
                      <w:color w:val="auto"/>
                      <w:kern w:val="2"/>
                      <w:sz w:val="21"/>
                      <w:szCs w:val="22"/>
                      <w:highlight w:val="none"/>
                      <w:lang w:val="en-US" w:eastAsia="zh-CN" w:bidi="ar-SA"/>
                    </w:rPr>
                    <w:t>中所列的县市</w:t>
                  </w:r>
                </w:p>
              </w:tc>
              <w:tc>
                <w:tcPr>
                  <w:tcW w:w="287" w:type="pct"/>
                  <w:vAlign w:val="center"/>
                </w:tcPr>
                <w:p w14:paraId="5843C6B7">
                  <w:pPr>
                    <w:pageBreakBefore w:val="0"/>
                    <w:kinsoku/>
                    <w:wordWrap/>
                    <w:overflowPunct/>
                    <w:bidi w:val="0"/>
                    <w:adjustRightInd/>
                    <w:snapToGrid/>
                    <w:spacing w:line="200" w:lineRule="atLeast"/>
                    <w:ind w:left="-42" w:leftChars="-20" w:right="-42" w:rightChars="-2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符合</w:t>
                  </w:r>
                </w:p>
              </w:tc>
            </w:tr>
            <w:tr w14:paraId="0FF6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pct"/>
                  <w:vAlign w:val="center"/>
                </w:tcPr>
                <w:p w14:paraId="508BEA78">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污染物排放管控</w:t>
                  </w:r>
                </w:p>
              </w:tc>
              <w:tc>
                <w:tcPr>
                  <w:tcW w:w="2610" w:type="pct"/>
                  <w:vAlign w:val="center"/>
                </w:tcPr>
                <w:p w14:paraId="49FC2A60">
                  <w:pPr>
                    <w:pStyle w:val="237"/>
                    <w:spacing w:before="46" w:line="219" w:lineRule="auto"/>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kern w:val="2"/>
                      <w:sz w:val="21"/>
                      <w:szCs w:val="22"/>
                      <w:highlight w:val="none"/>
                      <w:lang w:val="en-US" w:eastAsia="zh-CN" w:bidi="ar-SA"/>
                    </w:rPr>
                    <w:t>〔A2.1-1〕新、改、扩建重点行业建设项目应符合“三线一单”、产业政策、区域环评、规划环评和行业环境准入管控要求。重点区域的新、改、扩建重点行业建设项目应遵循重点重金属污染物排放“减量替代”原则。</w:t>
                  </w:r>
                </w:p>
              </w:tc>
              <w:tc>
                <w:tcPr>
                  <w:tcW w:w="1645" w:type="pct"/>
                  <w:vAlign w:val="center"/>
                </w:tcPr>
                <w:p w14:paraId="3BF10C03">
                  <w:pPr>
                    <w:pStyle w:val="66"/>
                    <w:pageBreakBefore w:val="0"/>
                    <w:kinsoku/>
                    <w:wordWrap/>
                    <w:overflowPunct/>
                    <w:bidi w:val="0"/>
                    <w:adjustRightInd/>
                    <w:snapToGrid/>
                    <w:spacing w:line="200" w:lineRule="atLeast"/>
                    <w:ind w:left="-42" w:leftChars="-20" w:right="-42" w:rightChars="-20"/>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2"/>
                      <w:sz w:val="21"/>
                      <w:szCs w:val="22"/>
                      <w:highlight w:val="none"/>
                      <w:lang w:val="en-US" w:eastAsia="zh-CN" w:bidi="ar-SA"/>
                    </w:rPr>
                    <w:t>本项目建设符合《</w:t>
                  </w:r>
                  <w:r>
                    <w:rPr>
                      <w:rFonts w:hint="eastAsia" w:ascii="Times New Roman" w:hAnsi="Times New Roman" w:cs="Times New Roman"/>
                      <w:color w:val="auto"/>
                      <w:kern w:val="2"/>
                      <w:sz w:val="21"/>
                      <w:szCs w:val="22"/>
                      <w:highlight w:val="none"/>
                      <w:lang w:val="en-US" w:eastAsia="zh-CN" w:bidi="ar-SA"/>
                    </w:rPr>
                    <w:t>巴州</w:t>
                  </w:r>
                  <w:r>
                    <w:rPr>
                      <w:rFonts w:hint="default" w:ascii="Times New Roman" w:hAnsi="Times New Roman" w:eastAsia="宋体" w:cs="Times New Roman"/>
                      <w:color w:val="auto"/>
                      <w:kern w:val="2"/>
                      <w:sz w:val="21"/>
                      <w:szCs w:val="22"/>
                      <w:highlight w:val="none"/>
                      <w:lang w:val="en-US" w:eastAsia="zh-CN" w:bidi="ar-SA"/>
                    </w:rPr>
                    <w:t>“三线一单”生态环境分区管控动态更新成果（2023年版）</w:t>
                  </w:r>
                  <w:r>
                    <w:rPr>
                      <w:rFonts w:hint="eastAsia" w:ascii="Times New Roman" w:hAnsi="Times New Roman" w:eastAsia="宋体" w:cs="Times New Roman"/>
                      <w:color w:val="auto"/>
                      <w:kern w:val="2"/>
                      <w:sz w:val="21"/>
                      <w:szCs w:val="22"/>
                      <w:highlight w:val="none"/>
                      <w:lang w:val="en-US" w:eastAsia="zh-CN" w:bidi="ar-SA"/>
                    </w:rPr>
                    <w:t>》要求。</w:t>
                  </w:r>
                </w:p>
              </w:tc>
              <w:tc>
                <w:tcPr>
                  <w:tcW w:w="287" w:type="pct"/>
                  <w:vAlign w:val="center"/>
                </w:tcPr>
                <w:p w14:paraId="74B094A6">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符合</w:t>
                  </w:r>
                </w:p>
              </w:tc>
            </w:tr>
            <w:tr w14:paraId="5AB2B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pct"/>
                  <w:vAlign w:val="center"/>
                </w:tcPr>
                <w:p w14:paraId="2BECFBDC">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p>
              </w:tc>
              <w:tc>
                <w:tcPr>
                  <w:tcW w:w="2610" w:type="pct"/>
                  <w:vAlign w:val="center"/>
                </w:tcPr>
                <w:p w14:paraId="5866DF8A">
                  <w:pPr>
                    <w:pStyle w:val="237"/>
                    <w:spacing w:before="49" w:line="219" w:lineRule="auto"/>
                    <w:ind w:left="12"/>
                    <w:rPr>
                      <w:rFonts w:hint="default"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A2.1-4〕严控建材、铸造、冶炼等行业无组织排放，推进石化、化工、涂装、医药、包装印刷、油品储运销等行业项目挥发性有机物（VOCs）防治。严格有色金属冶炼、石油加工、化工、焦化等行业项目的土壤、地下水污染防治措施要求。推进工业园区和企业集群建设涉VOCs“绿岛”项目，统筹规划建设一批集中涂装中心、活性炭集中处理中心、溶剂回收中心等，实现VOCs集中高效处理。</w:t>
                  </w:r>
                </w:p>
              </w:tc>
              <w:tc>
                <w:tcPr>
                  <w:tcW w:w="1645" w:type="pct"/>
                  <w:vAlign w:val="center"/>
                </w:tcPr>
                <w:p w14:paraId="14D7AD8A">
                  <w:pPr>
                    <w:pStyle w:val="66"/>
                    <w:pageBreakBefore w:val="0"/>
                    <w:kinsoku/>
                    <w:wordWrap/>
                    <w:overflowPunct/>
                    <w:bidi w:val="0"/>
                    <w:adjustRightInd/>
                    <w:snapToGrid/>
                    <w:spacing w:line="200" w:lineRule="atLeast"/>
                    <w:ind w:left="-42" w:leftChars="-20" w:right="-42" w:rightChars="-2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kern w:val="2"/>
                      <w:sz w:val="21"/>
                      <w:szCs w:val="22"/>
                      <w:highlight w:val="none"/>
                      <w:lang w:val="en-US" w:eastAsia="zh-CN" w:bidi="ar-SA"/>
                    </w:rPr>
                    <w:t>本项目对于产生挥发性有机物</w:t>
                  </w:r>
                  <w:r>
                    <w:rPr>
                      <w:rFonts w:hint="eastAsia" w:ascii="Times New Roman" w:hAnsi="Times New Roman" w:cs="Times New Roman"/>
                      <w:color w:val="auto"/>
                      <w:kern w:val="2"/>
                      <w:sz w:val="21"/>
                      <w:szCs w:val="22"/>
                      <w:highlight w:val="none"/>
                      <w:lang w:val="en-US" w:eastAsia="zh-CN" w:bidi="ar-SA"/>
                    </w:rPr>
                    <w:t>（</w:t>
                  </w:r>
                  <w:r>
                    <w:rPr>
                      <w:rFonts w:hint="eastAsia" w:ascii="Times New Roman" w:hAnsi="Times New Roman" w:eastAsia="宋体" w:cs="Times New Roman"/>
                      <w:color w:val="auto"/>
                      <w:kern w:val="2"/>
                      <w:sz w:val="21"/>
                      <w:szCs w:val="22"/>
                      <w:highlight w:val="none"/>
                      <w:lang w:val="en-US" w:eastAsia="zh-CN" w:bidi="ar-SA"/>
                    </w:rPr>
                    <w:t>VOCs</w:t>
                  </w:r>
                  <w:r>
                    <w:rPr>
                      <w:rFonts w:hint="eastAsia" w:ascii="Times New Roman" w:hAnsi="Times New Roman" w:cs="Times New Roman"/>
                      <w:color w:val="auto"/>
                      <w:kern w:val="2"/>
                      <w:sz w:val="21"/>
                      <w:szCs w:val="22"/>
                      <w:highlight w:val="none"/>
                      <w:lang w:val="en-US" w:eastAsia="zh-CN" w:bidi="ar-SA"/>
                    </w:rPr>
                    <w:t>）</w:t>
                  </w:r>
                  <w:r>
                    <w:rPr>
                      <w:rFonts w:hint="eastAsia" w:ascii="Times New Roman" w:hAnsi="Times New Roman" w:eastAsia="宋体" w:cs="Times New Roman"/>
                      <w:color w:val="auto"/>
                      <w:kern w:val="2"/>
                      <w:sz w:val="21"/>
                      <w:szCs w:val="22"/>
                      <w:highlight w:val="none"/>
                      <w:lang w:val="en-US" w:eastAsia="zh-CN" w:bidi="ar-SA"/>
                    </w:rPr>
                    <w:t>积极治理，</w:t>
                  </w:r>
                  <w:r>
                    <w:rPr>
                      <w:rFonts w:hint="eastAsia" w:ascii="Times New Roman" w:hAnsi="Times New Roman" w:cs="Times New Roman"/>
                      <w:color w:val="auto"/>
                      <w:kern w:val="2"/>
                      <w:sz w:val="21"/>
                      <w:szCs w:val="22"/>
                      <w:highlight w:val="none"/>
                      <w:lang w:val="en-US" w:eastAsia="zh-CN" w:bidi="ar-SA"/>
                    </w:rPr>
                    <w:t>符合</w:t>
                  </w:r>
                  <w:r>
                    <w:rPr>
                      <w:rFonts w:hint="eastAsia" w:ascii="Times New Roman" w:hAnsi="Times New Roman" w:eastAsia="宋体" w:cs="Times New Roman"/>
                      <w:color w:val="auto"/>
                      <w:kern w:val="2"/>
                      <w:sz w:val="21"/>
                      <w:szCs w:val="22"/>
                      <w:highlight w:val="none"/>
                      <w:lang w:val="en-US" w:eastAsia="zh-CN" w:bidi="ar-SA"/>
                    </w:rPr>
                    <w:t>“环办综合函〔2022〕350号关于印发《主要污染物总量减排核算技术指南（2022年修订）》的通知”</w:t>
                  </w:r>
                  <w:r>
                    <w:rPr>
                      <w:rFonts w:hint="eastAsia" w:ascii="Times New Roman" w:hAnsi="Times New Roman" w:cs="Times New Roman"/>
                      <w:color w:val="auto"/>
                      <w:kern w:val="2"/>
                      <w:sz w:val="21"/>
                      <w:szCs w:val="22"/>
                      <w:highlight w:val="none"/>
                      <w:lang w:val="en-US" w:eastAsia="zh-CN" w:bidi="ar-SA"/>
                    </w:rPr>
                    <w:t>中的治理工艺。</w:t>
                  </w:r>
                </w:p>
              </w:tc>
              <w:tc>
                <w:tcPr>
                  <w:tcW w:w="287" w:type="pct"/>
                  <w:vAlign w:val="center"/>
                </w:tcPr>
                <w:p w14:paraId="7F493119">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符合</w:t>
                  </w:r>
                </w:p>
              </w:tc>
            </w:tr>
            <w:tr w14:paraId="0678E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pct"/>
                  <w:vAlign w:val="center"/>
                </w:tcPr>
                <w:p w14:paraId="077189F1">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环境风险防控</w:t>
                  </w:r>
                </w:p>
              </w:tc>
              <w:tc>
                <w:tcPr>
                  <w:tcW w:w="2610" w:type="pct"/>
                  <w:vAlign w:val="center"/>
                </w:tcPr>
                <w:p w14:paraId="364DCE0A">
                  <w:pPr>
                    <w:pageBreakBefore w:val="0"/>
                    <w:numPr>
                      <w:ilvl w:val="0"/>
                      <w:numId w:val="0"/>
                    </w:numPr>
                    <w:kinsoku/>
                    <w:wordWrap/>
                    <w:overflowPunct/>
                    <w:bidi w:val="0"/>
                    <w:adjustRightInd/>
                    <w:snapToGrid/>
                    <w:spacing w:line="200" w:lineRule="atLeast"/>
                    <w:ind w:right="-42" w:rightChars="-2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kern w:val="0"/>
                      <w:sz w:val="21"/>
                      <w:szCs w:val="21"/>
                      <w:highlight w:val="none"/>
                      <w:lang w:val="en-US" w:eastAsia="zh-CN" w:bidi="ar-SA"/>
                    </w:rPr>
                    <w:t>〔A3.2-3〕加强新污染物多环境介质协同治理。排放重点管控新污染物的企事业单位应采取污染控制措施，达到相关污染物排放标准及环境质量目标要求</w:t>
                  </w:r>
                  <w:r>
                    <w:rPr>
                      <w:rFonts w:hint="eastAsia" w:ascii="Times New Roman" w:hAnsi="Times New Roman" w:eastAsia="宋体"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按照排污许可管理有关要求，依法申领排污许可证或填写排污登记表，并在其中载明执行的污染控制标准要求及采取的污染控制措施。排放重点管控新污染物的企事业单位和其他生产经营者应按照相关法律法规要求，对排放</w:t>
                  </w:r>
                  <w:r>
                    <w:rPr>
                      <w:rFonts w:hint="eastAsia"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污</w:t>
                  </w:r>
                  <w:r>
                    <w:rPr>
                      <w:rFonts w:hint="eastAsia"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口及其周边环境定期开展环境监测，评估环境风险，排查整治环境安全隐患，依法公开新污染物信息，采取措施防范环境风险。土壤污染重点监管单位应严格控制有毒有害物质排放，建立土壤污染隐患排查制度，防止有毒有害物质渗漏、流失、扬散。</w:t>
                  </w:r>
                </w:p>
              </w:tc>
              <w:tc>
                <w:tcPr>
                  <w:tcW w:w="1645" w:type="pct"/>
                  <w:vAlign w:val="center"/>
                </w:tcPr>
                <w:p w14:paraId="204B1A12">
                  <w:pPr>
                    <w:keepNext w:val="0"/>
                    <w:keepLines w:val="0"/>
                    <w:pageBreakBefore w:val="0"/>
                    <w:widowControl w:val="0"/>
                    <w:numPr>
                      <w:ilvl w:val="0"/>
                      <w:numId w:val="0"/>
                    </w:numPr>
                    <w:kinsoku/>
                    <w:wordWrap/>
                    <w:overflowPunct/>
                    <w:topLinePunct w:val="0"/>
                    <w:autoSpaceDE/>
                    <w:autoSpaceDN/>
                    <w:bidi w:val="0"/>
                    <w:adjustRightInd/>
                    <w:snapToGrid/>
                    <w:spacing w:line="200" w:lineRule="atLeast"/>
                    <w:ind w:right="0" w:rightChars="0" w:firstLine="420" w:firstLineChars="200"/>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项目各类污染物经治理后均能达标排放</w:t>
                  </w:r>
                  <w:r>
                    <w:rPr>
                      <w:rFonts w:hint="eastAsia" w:cs="Times New Roman"/>
                      <w:color w:val="auto"/>
                      <w:kern w:val="0"/>
                      <w:sz w:val="21"/>
                      <w:szCs w:val="21"/>
                      <w:highlight w:val="none"/>
                      <w:lang w:val="en-US" w:eastAsia="zh-CN" w:bidi="ar-SA"/>
                    </w:rPr>
                    <w:t>；</w:t>
                  </w:r>
                  <w:r>
                    <w:rPr>
                      <w:rFonts w:hint="eastAsia" w:ascii="Times New Roman" w:hAnsi="Times New Roman" w:eastAsia="宋体" w:cs="Times New Roman"/>
                      <w:color w:val="auto"/>
                      <w:kern w:val="0"/>
                      <w:sz w:val="21"/>
                      <w:szCs w:val="21"/>
                      <w:highlight w:val="none"/>
                      <w:lang w:val="en-US" w:eastAsia="zh-CN" w:bidi="ar-SA"/>
                    </w:rPr>
                    <w:t>环评报告</w:t>
                  </w:r>
                  <w:r>
                    <w:rPr>
                      <w:rFonts w:hint="eastAsia" w:cs="Times New Roman"/>
                      <w:color w:val="auto"/>
                      <w:kern w:val="0"/>
                      <w:sz w:val="21"/>
                      <w:szCs w:val="21"/>
                      <w:highlight w:val="none"/>
                      <w:lang w:val="en-US" w:eastAsia="zh-CN" w:bidi="ar-SA"/>
                    </w:rPr>
                    <w:t>要求</w:t>
                  </w:r>
                  <w:r>
                    <w:rPr>
                      <w:rFonts w:hint="eastAsia" w:ascii="Times New Roman" w:hAnsi="Times New Roman" w:eastAsia="宋体" w:cs="Times New Roman"/>
                      <w:color w:val="auto"/>
                      <w:kern w:val="0"/>
                      <w:sz w:val="21"/>
                      <w:szCs w:val="21"/>
                      <w:highlight w:val="none"/>
                      <w:lang w:val="en-US" w:eastAsia="zh-CN" w:bidi="ar-SA"/>
                    </w:rPr>
                    <w:t>按照流程中</w:t>
                  </w:r>
                  <w:r>
                    <w:rPr>
                      <w:rFonts w:hint="default" w:ascii="Times New Roman" w:hAnsi="Times New Roman" w:eastAsia="宋体" w:cs="Times New Roman"/>
                      <w:color w:val="auto"/>
                      <w:kern w:val="0"/>
                      <w:sz w:val="21"/>
                      <w:szCs w:val="21"/>
                      <w:highlight w:val="none"/>
                      <w:lang w:val="en-US" w:eastAsia="zh-CN" w:bidi="ar-SA"/>
                    </w:rPr>
                    <w:t>申领排污许可证</w:t>
                  </w:r>
                  <w:r>
                    <w:rPr>
                      <w:rFonts w:hint="eastAsia" w:ascii="Times New Roman" w:hAnsi="Times New Roman" w:eastAsia="宋体" w:cs="Times New Roman"/>
                      <w:color w:val="auto"/>
                      <w:kern w:val="0"/>
                      <w:sz w:val="21"/>
                      <w:szCs w:val="21"/>
                      <w:highlight w:val="none"/>
                      <w:lang w:val="en-US" w:eastAsia="zh-CN" w:bidi="ar-SA"/>
                    </w:rPr>
                    <w:t>，以及</w:t>
                  </w:r>
                  <w:r>
                    <w:rPr>
                      <w:rFonts w:hint="default" w:ascii="Times New Roman" w:hAnsi="Times New Roman" w:eastAsia="宋体" w:cs="Times New Roman"/>
                      <w:color w:val="auto"/>
                      <w:kern w:val="0"/>
                      <w:sz w:val="21"/>
                      <w:szCs w:val="21"/>
                      <w:highlight w:val="none"/>
                      <w:lang w:val="en-US" w:eastAsia="zh-CN" w:bidi="ar-SA"/>
                    </w:rPr>
                    <w:t>排污许可执</w:t>
                  </w:r>
                  <w:r>
                    <w:rPr>
                      <w:rFonts w:hint="eastAsia" w:ascii="Times New Roman" w:hAnsi="Times New Roman" w:eastAsia="宋体" w:cs="Times New Roman"/>
                      <w:color w:val="auto"/>
                      <w:kern w:val="0"/>
                      <w:sz w:val="21"/>
                      <w:szCs w:val="21"/>
                      <w:highlight w:val="none"/>
                      <w:lang w:val="en-US" w:eastAsia="zh-CN" w:bidi="ar-SA"/>
                    </w:rPr>
                    <w:t>管理要求</w:t>
                  </w:r>
                  <w:r>
                    <w:rPr>
                      <w:rFonts w:hint="eastAsia" w:cs="Times New Roman"/>
                      <w:color w:val="auto"/>
                      <w:kern w:val="0"/>
                      <w:sz w:val="21"/>
                      <w:szCs w:val="21"/>
                      <w:highlight w:val="none"/>
                      <w:lang w:val="en-US" w:eastAsia="zh-CN" w:bidi="ar-SA"/>
                    </w:rPr>
                    <w:t>；项目采取分区防渗，可以最大程度避免</w:t>
                  </w:r>
                  <w:r>
                    <w:rPr>
                      <w:rFonts w:hint="default" w:ascii="Times New Roman" w:hAnsi="Times New Roman" w:eastAsia="宋体" w:cs="Times New Roman"/>
                      <w:color w:val="auto"/>
                      <w:kern w:val="0"/>
                      <w:sz w:val="21"/>
                      <w:szCs w:val="21"/>
                      <w:highlight w:val="none"/>
                      <w:lang w:val="en-US" w:eastAsia="zh-CN" w:bidi="ar-SA"/>
                    </w:rPr>
                    <w:t>土壤污染</w:t>
                  </w:r>
                  <w:r>
                    <w:rPr>
                      <w:rFonts w:hint="eastAsia" w:cs="Times New Roman"/>
                      <w:color w:val="auto"/>
                      <w:kern w:val="0"/>
                      <w:sz w:val="21"/>
                      <w:szCs w:val="21"/>
                      <w:highlight w:val="none"/>
                      <w:lang w:val="en-US" w:eastAsia="zh-CN" w:bidi="ar-SA"/>
                    </w:rPr>
                    <w:t>。</w:t>
                  </w:r>
                </w:p>
                <w:p w14:paraId="7FC9AF3C">
                  <w:pPr>
                    <w:pageBreakBefore w:val="0"/>
                    <w:kinsoku/>
                    <w:wordWrap/>
                    <w:overflowPunct/>
                    <w:bidi w:val="0"/>
                    <w:adjustRightInd/>
                    <w:snapToGrid/>
                    <w:spacing w:line="200" w:lineRule="atLeast"/>
                    <w:ind w:right="-42" w:rightChars="-20"/>
                    <w:rPr>
                      <w:rFonts w:hint="default" w:ascii="Times New Roman" w:hAnsi="Times New Roman" w:eastAsia="宋体" w:cs="Times New Roman"/>
                      <w:color w:val="auto"/>
                      <w:highlight w:val="none"/>
                      <w:lang w:val="en-US" w:eastAsia="zh-CN"/>
                    </w:rPr>
                  </w:pPr>
                </w:p>
              </w:tc>
              <w:tc>
                <w:tcPr>
                  <w:tcW w:w="287" w:type="pct"/>
                  <w:vAlign w:val="center"/>
                </w:tcPr>
                <w:p w14:paraId="4A1E19A6">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符合</w:t>
                  </w:r>
                </w:p>
              </w:tc>
            </w:tr>
            <w:tr w14:paraId="4BE7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pct"/>
                  <w:vAlign w:val="center"/>
                </w:tcPr>
                <w:p w14:paraId="249FBE04">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资源利用效率</w:t>
                  </w:r>
                </w:p>
              </w:tc>
              <w:tc>
                <w:tcPr>
                  <w:tcW w:w="2610" w:type="pct"/>
                  <w:vAlign w:val="center"/>
                </w:tcPr>
                <w:p w14:paraId="36046F27">
                  <w:pPr>
                    <w:pStyle w:val="237"/>
                    <w:spacing w:before="117" w:line="219" w:lineRule="auto"/>
                    <w:ind w:left="1"/>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kern w:val="0"/>
                      <w:sz w:val="21"/>
                      <w:szCs w:val="21"/>
                      <w:highlight w:val="none"/>
                      <w:lang w:val="en-US" w:eastAsia="zh-CN" w:bidi="ar-SA"/>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w:t>
                  </w:r>
                  <w:r>
                    <w:rPr>
                      <w:rFonts w:hint="eastAsia" w:ascii="Times New Roman" w:hAnsi="Times New Roman" w:eastAsia="宋体"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逆向回收</w:t>
                  </w:r>
                  <w:r>
                    <w:rPr>
                      <w:rFonts w:hint="eastAsia" w:ascii="Times New Roman" w:hAnsi="Times New Roman" w:eastAsia="宋体"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等模式。以尾矿和共伴生矿、煤矸石、炉渣、粉煤灰、脱硫石膏、冶炼渣、建筑垃圾等为重点，持续推进固体废物综合利用和环境整治，不断提高大宗固体废物资源化利用水平。推行生活垃圾分类，加快建设县</w:t>
                  </w:r>
                  <w:r>
                    <w:rPr>
                      <w:rFonts w:hint="eastAsia" w:ascii="Times New Roman" w:hAnsi="Times New Roman" w:eastAsia="宋体"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市</w:t>
                  </w:r>
                  <w:r>
                    <w:rPr>
                      <w:rFonts w:hint="eastAsia" w:ascii="Times New Roman" w:hAnsi="Times New Roman" w:eastAsia="宋体"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生活垃圾处理设施，到2025年，全疆城市生活垃圾无害化处理率达到99%以上。</w:t>
                  </w:r>
                </w:p>
              </w:tc>
              <w:tc>
                <w:tcPr>
                  <w:tcW w:w="1645" w:type="pct"/>
                  <w:vAlign w:val="center"/>
                </w:tcPr>
                <w:p w14:paraId="14041969">
                  <w:pPr>
                    <w:pageBreakBefore w:val="0"/>
                    <w:tabs>
                      <w:tab w:val="left" w:pos="312"/>
                    </w:tabs>
                    <w:kinsoku/>
                    <w:wordWrap/>
                    <w:overflowPunct/>
                    <w:bidi w:val="0"/>
                    <w:adjustRightInd/>
                    <w:snapToGrid/>
                    <w:spacing w:line="200" w:lineRule="atLeast"/>
                    <w:ind w:left="-42" w:leftChars="-20" w:right="-42" w:rightChars="-20" w:firstLine="420" w:firstLineChars="200"/>
                    <w:rPr>
                      <w:rFonts w:hint="default" w:ascii="Times New Roman" w:hAnsi="Times New Roman" w:eastAsia="宋体" w:cs="Times New Roman"/>
                      <w:color w:val="auto"/>
                      <w:highlight w:val="none"/>
                      <w:lang w:val="en-US"/>
                    </w:rPr>
                  </w:pPr>
                  <w:r>
                    <w:rPr>
                      <w:rFonts w:hint="eastAsia" w:ascii="Times New Roman" w:hAnsi="Times New Roman" w:eastAsia="宋体" w:cs="Times New Roman"/>
                      <w:color w:val="auto"/>
                      <w:kern w:val="0"/>
                      <w:sz w:val="21"/>
                      <w:szCs w:val="21"/>
                      <w:highlight w:val="none"/>
                      <w:lang w:val="en-US" w:eastAsia="zh-CN" w:bidi="ar-SA"/>
                    </w:rPr>
                    <w:t>原料废包装</w:t>
                  </w:r>
                  <w:r>
                    <w:rPr>
                      <w:rFonts w:hint="eastAsia" w:cs="Times New Roman"/>
                      <w:color w:val="auto"/>
                      <w:kern w:val="0"/>
                      <w:sz w:val="21"/>
                      <w:szCs w:val="21"/>
                      <w:highlight w:val="none"/>
                      <w:lang w:val="en-US" w:eastAsia="zh-CN" w:bidi="ar-SA"/>
                    </w:rPr>
                    <w:t>、除尘灰</w:t>
                  </w:r>
                  <w:r>
                    <w:rPr>
                      <w:rFonts w:hint="eastAsia" w:ascii="Times New Roman" w:hAnsi="Times New Roman" w:eastAsia="宋体" w:cs="Times New Roman"/>
                      <w:color w:val="auto"/>
                      <w:kern w:val="0"/>
                      <w:sz w:val="21"/>
                      <w:szCs w:val="21"/>
                      <w:highlight w:val="none"/>
                      <w:lang w:val="en-US" w:eastAsia="zh-CN" w:bidi="ar-SA"/>
                    </w:rPr>
                    <w:t>外售；边角料及残次品收集后回用于生产；生活垃圾集中收集后交由环卫部门清运处置；废活性炭、废催化剂、废机油分类分区暂存于危废贮存库，定期交有资质单位处置。</w:t>
                  </w:r>
                  <w:r>
                    <w:rPr>
                      <w:rFonts w:hint="eastAsia" w:cs="Times New Roman"/>
                      <w:color w:val="auto"/>
                      <w:kern w:val="0"/>
                      <w:sz w:val="21"/>
                      <w:szCs w:val="21"/>
                      <w:highlight w:val="none"/>
                      <w:lang w:val="en-US" w:eastAsia="zh-CN" w:bidi="ar-SA"/>
                    </w:rPr>
                    <w:t>生活垃圾集中收集后由环卫部门统一拉运处理。各类固废均得到合理处置。</w:t>
                  </w:r>
                </w:p>
              </w:tc>
              <w:tc>
                <w:tcPr>
                  <w:tcW w:w="287" w:type="pct"/>
                  <w:vAlign w:val="center"/>
                </w:tcPr>
                <w:p w14:paraId="20E3042E">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符合</w:t>
                  </w:r>
                </w:p>
              </w:tc>
            </w:tr>
          </w:tbl>
          <w:p w14:paraId="4D213D18">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hAnsiTheme="minorEastAsia" w:eastAsiaTheme="minorEastAsia"/>
                <w:color w:val="auto"/>
                <w:sz w:val="24"/>
                <w:highlight w:val="none"/>
                <w:lang w:eastAsia="zh-CN"/>
              </w:rPr>
            </w:pPr>
            <w:r>
              <w:rPr>
                <w:rFonts w:hAnsiTheme="minorEastAsia"/>
                <w:color w:val="auto"/>
                <w:sz w:val="24"/>
                <w:highlight w:val="none"/>
              </w:rPr>
              <w:t>由上表可知，本</w:t>
            </w:r>
            <w:r>
              <w:rPr>
                <w:rFonts w:hint="eastAsia" w:hAnsiTheme="minorEastAsia" w:eastAsiaTheme="minorEastAsia"/>
                <w:color w:val="auto"/>
                <w:sz w:val="24"/>
                <w:highlight w:val="none"/>
              </w:rPr>
              <w:t>项目符</w:t>
            </w:r>
            <w:r>
              <w:rPr>
                <w:rFonts w:hint="eastAsia" w:hAnsiTheme="minorEastAsia" w:eastAsiaTheme="minorEastAsia"/>
                <w:color w:val="auto"/>
                <w:sz w:val="24"/>
                <w:highlight w:val="none"/>
                <w:lang w:val="en-US" w:eastAsia="zh-CN"/>
              </w:rPr>
              <w:t>合</w:t>
            </w:r>
            <w:r>
              <w:rPr>
                <w:rFonts w:ascii="Times New Roman" w:cs="Times New Roman" w:hAnsiTheme="minorEastAsia" w:eastAsiaTheme="minorEastAsia"/>
                <w:color w:val="auto"/>
                <w:sz w:val="24"/>
                <w:highlight w:val="none"/>
                <w:lang w:val="en-US" w:eastAsia="zh-CN"/>
              </w:rPr>
              <w:t>《新疆维吾尔自治区生态环境分区管控动态更新成果》</w:t>
            </w:r>
            <w:r>
              <w:rPr>
                <w:rFonts w:hint="eastAsia" w:cs="Times New Roman" w:hAnsiTheme="minorEastAsia" w:eastAsiaTheme="minorEastAsia"/>
                <w:color w:val="auto"/>
                <w:sz w:val="24"/>
                <w:highlight w:val="none"/>
                <w:lang w:val="en-US" w:eastAsia="zh-CN"/>
              </w:rPr>
              <w:t>（</w:t>
            </w:r>
            <w:r>
              <w:rPr>
                <w:rFonts w:ascii="Times New Roman" w:cs="Times New Roman" w:hAnsiTheme="minorEastAsia" w:eastAsiaTheme="minorEastAsia"/>
                <w:color w:val="auto"/>
                <w:sz w:val="24"/>
                <w:highlight w:val="none"/>
                <w:lang w:val="en-US" w:eastAsia="zh-CN"/>
              </w:rPr>
              <w:t>新环环评发〔2024〕157号</w:t>
            </w:r>
            <w:r>
              <w:rPr>
                <w:rFonts w:hint="eastAsia" w:cs="Times New Roman" w:hAnsiTheme="minorEastAsia" w:eastAsiaTheme="minorEastAsia"/>
                <w:color w:val="auto"/>
                <w:sz w:val="24"/>
                <w:highlight w:val="none"/>
                <w:lang w:val="en-US" w:eastAsia="zh-CN"/>
              </w:rPr>
              <w:t>）</w:t>
            </w:r>
            <w:r>
              <w:rPr>
                <w:rFonts w:hint="eastAsia" w:hAnsiTheme="minorEastAsia" w:eastAsiaTheme="minorEastAsia"/>
                <w:color w:val="auto"/>
                <w:sz w:val="24"/>
                <w:highlight w:val="none"/>
              </w:rPr>
              <w:t>中相关要求</w:t>
            </w:r>
            <w:r>
              <w:rPr>
                <w:rFonts w:hint="eastAsia" w:hAnsiTheme="minorEastAsia" w:eastAsiaTheme="minorEastAsia"/>
                <w:color w:val="auto"/>
                <w:sz w:val="24"/>
                <w:highlight w:val="none"/>
                <w:lang w:eastAsia="zh-CN"/>
              </w:rPr>
              <w:t>。</w:t>
            </w:r>
          </w:p>
          <w:p w14:paraId="3FB49A18">
            <w:pPr>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与《</w:t>
            </w:r>
            <w:r>
              <w:rPr>
                <w:rFonts w:hint="default" w:ascii="Times New Roman" w:hAnsi="Times New Roman" w:eastAsia="宋体" w:cs="Times New Roman"/>
                <w:color w:val="auto"/>
                <w:kern w:val="0"/>
                <w:sz w:val="24"/>
                <w:szCs w:val="24"/>
                <w:highlight w:val="none"/>
                <w:lang w:val="en-US" w:eastAsia="zh-CN"/>
              </w:rPr>
              <w:t>巴州</w:t>
            </w:r>
            <w:r>
              <w:rPr>
                <w:rFonts w:hint="default" w:ascii="Times New Roman" w:hAnsi="Times New Roman" w:eastAsia="宋体" w:cs="Times New Roman"/>
                <w:color w:val="auto"/>
                <w:kern w:val="0"/>
                <w:sz w:val="24"/>
                <w:szCs w:val="24"/>
                <w:highlight w:val="none"/>
              </w:rPr>
              <w:t>“三线一单”生态环境分区管控动态更新成果（2023年版）》符合性</w:t>
            </w:r>
          </w:p>
          <w:p w14:paraId="1CCEAF68">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rPr>
              <w:t>根据</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巴州</w:t>
            </w:r>
            <w:r>
              <w:rPr>
                <w:rFonts w:hint="default" w:ascii="Times New Roman" w:hAnsi="Times New Roman" w:eastAsia="宋体" w:cs="Times New Roman"/>
                <w:color w:val="auto"/>
                <w:kern w:val="0"/>
                <w:sz w:val="24"/>
                <w:szCs w:val="24"/>
                <w:highlight w:val="none"/>
              </w:rPr>
              <w:t>“三线一单”生态环境分区管控动态更新成果（2023年版）》，本项目所在区域属于重点管控单元，环境管控单元编码为</w:t>
            </w:r>
            <w:r>
              <w:rPr>
                <w:rFonts w:hint="default" w:ascii="Times New Roman" w:hAnsi="Times New Roman" w:eastAsia="宋体" w:cs="Times New Roman"/>
                <w:color w:val="auto"/>
                <w:kern w:val="0"/>
                <w:sz w:val="24"/>
                <w:szCs w:val="24"/>
                <w:lang w:val="en-US" w:eastAsia="zh-CN" w:bidi="ar"/>
              </w:rPr>
              <w:t>ZH65282720008</w:t>
            </w:r>
            <w:r>
              <w:rPr>
                <w:rFonts w:hint="default" w:ascii="Times New Roman" w:hAnsi="Times New Roman" w:eastAsia="宋体" w:cs="Times New Roman"/>
                <w:color w:val="auto"/>
                <w:kern w:val="0"/>
                <w:sz w:val="24"/>
                <w:szCs w:val="24"/>
                <w:highlight w:val="none"/>
                <w:lang w:eastAsia="zh-CN"/>
              </w:rPr>
              <w:t>；环境管控单元名称为：</w:t>
            </w:r>
            <w:r>
              <w:rPr>
                <w:rFonts w:hint="default" w:ascii="Times New Roman" w:hAnsi="Times New Roman" w:eastAsia="宋体" w:cs="Times New Roman"/>
                <w:color w:val="auto"/>
                <w:kern w:val="0"/>
                <w:sz w:val="24"/>
                <w:szCs w:val="24"/>
                <w:lang w:val="en-US" w:eastAsia="zh-CN" w:bidi="ar"/>
              </w:rPr>
              <w:t>和静工业园区额勒再特轻工业片区</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sz w:val="24"/>
                <w:szCs w:val="24"/>
                <w:highlight w:val="none"/>
              </w:rPr>
              <w:t>本项目与</w:t>
            </w:r>
            <w:r>
              <w:rPr>
                <w:rFonts w:hint="default" w:ascii="Times New Roman" w:hAnsi="Times New Roman" w:eastAsia="宋体" w:cs="Times New Roman"/>
                <w:color w:val="auto"/>
                <w:kern w:val="0"/>
                <w:sz w:val="24"/>
                <w:szCs w:val="24"/>
                <w:highlight w:val="none"/>
                <w:lang w:eastAsia="zh-CN"/>
              </w:rPr>
              <w:t>《</w:t>
            </w:r>
            <w:r>
              <w:rPr>
                <w:rFonts w:hint="eastAsia" w:cs="Times New Roman"/>
                <w:color w:val="auto"/>
                <w:kern w:val="0"/>
                <w:sz w:val="24"/>
                <w:szCs w:val="24"/>
                <w:highlight w:val="none"/>
                <w:lang w:val="en-US" w:eastAsia="zh-CN"/>
              </w:rPr>
              <w:t>巴州</w:t>
            </w:r>
            <w:r>
              <w:rPr>
                <w:rFonts w:hint="default" w:ascii="Times New Roman" w:hAnsi="Times New Roman" w:eastAsia="宋体" w:cs="Times New Roman"/>
                <w:color w:val="auto"/>
                <w:kern w:val="0"/>
                <w:sz w:val="24"/>
                <w:szCs w:val="24"/>
                <w:highlight w:val="none"/>
              </w:rPr>
              <w:t>“三线一单”生态环境分区管控动态更新成果（2023年版）》</w:t>
            </w:r>
            <w:r>
              <w:rPr>
                <w:rFonts w:hint="default" w:ascii="Times New Roman" w:hAnsi="Times New Roman" w:eastAsia="宋体" w:cs="Times New Roman"/>
                <w:color w:val="auto"/>
                <w:sz w:val="24"/>
                <w:szCs w:val="24"/>
                <w:highlight w:val="none"/>
              </w:rPr>
              <w:t>相符性分析见表1</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。项目与</w:t>
            </w:r>
            <w:r>
              <w:rPr>
                <w:rFonts w:hint="eastAsia" w:cs="Times New Roman"/>
                <w:color w:val="auto"/>
                <w:sz w:val="24"/>
                <w:szCs w:val="24"/>
                <w:highlight w:val="none"/>
                <w:lang w:val="en-US" w:eastAsia="zh-CN"/>
              </w:rPr>
              <w:t>巴州</w:t>
            </w:r>
            <w:r>
              <w:rPr>
                <w:rFonts w:hint="default" w:ascii="Times New Roman" w:hAnsi="Times New Roman" w:eastAsia="宋体" w:cs="Times New Roman"/>
                <w:color w:val="auto"/>
                <w:sz w:val="24"/>
                <w:szCs w:val="24"/>
                <w:highlight w:val="none"/>
              </w:rPr>
              <w:t>环境管控单元分类图（2023年版）相对位置关系见附图</w:t>
            </w:r>
            <w:r>
              <w:rPr>
                <w:rFonts w:hint="eastAsia"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w:t>
            </w:r>
          </w:p>
          <w:p w14:paraId="430D402E">
            <w:pPr>
              <w:pStyle w:val="5"/>
              <w:keepNext/>
              <w:keepLines/>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表1</w:t>
            </w:r>
            <w:r>
              <w:rPr>
                <w:rFonts w:hint="eastAsia" w:ascii="Times New Roman" w:hAnsi="Times New Roman" w:eastAsia="宋体" w:cs="Times New Roman"/>
                <w:b/>
                <w:bCs/>
                <w:color w:val="auto"/>
                <w:sz w:val="21"/>
                <w:szCs w:val="21"/>
                <w:highlight w:val="none"/>
                <w:lang w:val="en-US" w:eastAsia="zh-CN"/>
              </w:rPr>
              <w:t>-2</w:t>
            </w:r>
            <w:r>
              <w:rPr>
                <w:rFonts w:hint="default" w:ascii="Times New Roman" w:hAnsi="Times New Roman" w:eastAsia="宋体" w:cs="Times New Roman"/>
                <w:b/>
                <w:bCs/>
                <w:color w:val="auto"/>
                <w:sz w:val="21"/>
                <w:szCs w:val="21"/>
                <w:highlight w:val="none"/>
              </w:rPr>
              <w:t xml:space="preserve"> </w:t>
            </w:r>
            <w:r>
              <w:rPr>
                <w:rFonts w:hint="default"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rPr>
              <w:t>与</w:t>
            </w:r>
            <w:r>
              <w:rPr>
                <w:rFonts w:hint="default" w:ascii="Times New Roman" w:hAnsi="Times New Roman" w:eastAsia="宋体" w:cs="Times New Roman"/>
                <w:b/>
                <w:bCs/>
                <w:color w:val="auto"/>
                <w:kern w:val="0"/>
                <w:sz w:val="21"/>
                <w:szCs w:val="21"/>
                <w:highlight w:val="none"/>
                <w:lang w:val="en-US" w:eastAsia="zh-CN" w:bidi="ar-SA"/>
              </w:rPr>
              <w:t>《</w:t>
            </w:r>
            <w:r>
              <w:rPr>
                <w:rFonts w:hint="eastAsia" w:ascii="Times New Roman" w:hAnsi="Times New Roman" w:eastAsia="宋体" w:cs="Times New Roman"/>
                <w:b/>
                <w:bCs/>
                <w:color w:val="auto"/>
                <w:kern w:val="0"/>
                <w:sz w:val="21"/>
                <w:szCs w:val="21"/>
                <w:highlight w:val="none"/>
                <w:lang w:val="en-US" w:eastAsia="zh-CN" w:bidi="ar-SA"/>
              </w:rPr>
              <w:t>巴州</w:t>
            </w:r>
            <w:r>
              <w:rPr>
                <w:rFonts w:hint="default" w:ascii="Times New Roman" w:hAnsi="Times New Roman" w:eastAsia="宋体" w:cs="Times New Roman"/>
                <w:b/>
                <w:bCs/>
                <w:color w:val="auto"/>
                <w:kern w:val="0"/>
                <w:sz w:val="21"/>
                <w:szCs w:val="21"/>
                <w:highlight w:val="none"/>
                <w:lang w:val="en-US" w:eastAsia="zh-CN" w:bidi="ar-SA"/>
              </w:rPr>
              <w:t>“三线一单”生态环境分区管控动态更新成果（2023年版）》</w:t>
            </w:r>
            <w:r>
              <w:rPr>
                <w:rFonts w:hint="default" w:ascii="Times New Roman" w:hAnsi="Times New Roman" w:eastAsia="宋体" w:cs="Times New Roman"/>
                <w:b/>
                <w:bCs/>
                <w:color w:val="auto"/>
                <w:sz w:val="21"/>
                <w:szCs w:val="21"/>
                <w:highlight w:val="none"/>
              </w:rPr>
              <w:t>符合性分析</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3848"/>
              <w:gridCol w:w="2071"/>
              <w:gridCol w:w="781"/>
            </w:tblGrid>
            <w:tr w14:paraId="79339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pct"/>
                  <w:vAlign w:val="center"/>
                </w:tcPr>
                <w:p w14:paraId="7BC0329F">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管控</w:t>
                  </w:r>
                </w:p>
                <w:p w14:paraId="0845723B">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类别</w:t>
                  </w:r>
                </w:p>
              </w:tc>
              <w:tc>
                <w:tcPr>
                  <w:tcW w:w="2609" w:type="pct"/>
                  <w:vAlign w:val="center"/>
                </w:tcPr>
                <w:p w14:paraId="5FD249A5">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总体管控要求</w:t>
                  </w:r>
                </w:p>
              </w:tc>
              <w:tc>
                <w:tcPr>
                  <w:tcW w:w="1404" w:type="pct"/>
                  <w:vAlign w:val="center"/>
                </w:tcPr>
                <w:p w14:paraId="1D33A478">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本项目</w:t>
                  </w:r>
                </w:p>
              </w:tc>
              <w:tc>
                <w:tcPr>
                  <w:tcW w:w="529" w:type="pct"/>
                  <w:vAlign w:val="center"/>
                </w:tcPr>
                <w:p w14:paraId="379840D0">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符合性</w:t>
                  </w:r>
                </w:p>
              </w:tc>
            </w:tr>
            <w:tr w14:paraId="32D8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pct"/>
                  <w:vAlign w:val="center"/>
                </w:tcPr>
                <w:p w14:paraId="4E115507">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空间布局约束</w:t>
                  </w:r>
                </w:p>
              </w:tc>
              <w:tc>
                <w:tcPr>
                  <w:tcW w:w="2609" w:type="pct"/>
                  <w:vAlign w:val="center"/>
                </w:tcPr>
                <w:p w14:paraId="06AAC8B8">
                  <w:pPr>
                    <w:keepNext w:val="0"/>
                    <w:keepLines w:val="0"/>
                    <w:widowControl/>
                    <w:suppressLineNumbers w:val="0"/>
                    <w:jc w:val="left"/>
                    <w:rPr>
                      <w:rFonts w:hint="default" w:ascii="Times New Roman" w:hAnsi="Times New Roman" w:eastAsia="宋体" w:cs="Times New Roman"/>
                      <w:b w:val="0"/>
                      <w:bCs/>
                      <w:color w:val="auto"/>
                      <w:kern w:val="44"/>
                      <w:sz w:val="21"/>
                      <w:szCs w:val="21"/>
                      <w:highlight w:val="none"/>
                      <w:lang w:val="en-US" w:eastAsia="zh-CN" w:bidi="ar-SA"/>
                    </w:rPr>
                  </w:pPr>
                  <w:r>
                    <w:rPr>
                      <w:rFonts w:hint="eastAsia" w:ascii="Times New Roman" w:hAnsi="Times New Roman" w:eastAsia="宋体" w:cs="Times New Roman"/>
                      <w:b w:val="0"/>
                      <w:bCs/>
                      <w:color w:val="auto"/>
                      <w:kern w:val="44"/>
                      <w:sz w:val="21"/>
                      <w:szCs w:val="21"/>
                      <w:highlight w:val="none"/>
                      <w:lang w:val="en-US" w:eastAsia="zh-CN" w:bidi="ar-SA"/>
                    </w:rPr>
                    <w:t>符合国家环保和节能减排要求，排放污染物必须达到国家和自治区污染物排放标准，严禁国家明文规定的限制类、淘汰类项目进入园区；不得采用国家、自治区淘汰或禁止使用的生产工艺、技术和设备；项目中的防治措施必须与主体工程同时设计、同时施工、同时投产使用。</w:t>
                  </w:r>
                </w:p>
                <w:p w14:paraId="3B0E5D83">
                  <w:pPr>
                    <w:keepNext w:val="0"/>
                    <w:keepLines w:val="0"/>
                    <w:widowControl/>
                    <w:suppressLineNumbers w:val="0"/>
                    <w:jc w:val="left"/>
                    <w:rPr>
                      <w:color w:val="auto"/>
                    </w:rPr>
                  </w:pPr>
                </w:p>
                <w:p w14:paraId="69FF5886">
                  <w:pPr>
                    <w:pStyle w:val="177"/>
                    <w:pageBreakBefore w:val="0"/>
                    <w:kinsoku/>
                    <w:wordWrap/>
                    <w:overflowPunct/>
                    <w:bidi w:val="0"/>
                    <w:adjustRightInd/>
                    <w:snapToGrid/>
                    <w:spacing w:line="200" w:lineRule="atLeast"/>
                    <w:ind w:left="-42" w:leftChars="-20" w:right="-42" w:rightChars="-20" w:firstLine="420" w:firstLineChars="200"/>
                    <w:jc w:val="both"/>
                    <w:rPr>
                      <w:rFonts w:hint="default" w:ascii="Times New Roman" w:hAnsi="Times New Roman" w:eastAsia="宋体" w:cs="Times New Roman"/>
                      <w:color w:val="auto"/>
                      <w:sz w:val="21"/>
                      <w:szCs w:val="21"/>
                      <w:highlight w:val="none"/>
                    </w:rPr>
                  </w:pPr>
                </w:p>
              </w:tc>
              <w:tc>
                <w:tcPr>
                  <w:tcW w:w="1404" w:type="pct"/>
                  <w:vAlign w:val="center"/>
                </w:tcPr>
                <w:p w14:paraId="65C300C7">
                  <w:pPr>
                    <w:pStyle w:val="4"/>
                    <w:pageBreakBefore w:val="0"/>
                    <w:kinsoku/>
                    <w:wordWrap/>
                    <w:overflowPunct/>
                    <w:bidi w:val="0"/>
                    <w:adjustRightInd/>
                    <w:snapToGrid/>
                    <w:spacing w:line="200" w:lineRule="atLeast"/>
                    <w:ind w:left="-42" w:leftChars="-20" w:right="-42" w:rightChars="-20" w:firstLine="420" w:firstLineChars="200"/>
                    <w:jc w:val="both"/>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rPr>
                    <w:t>本项目</w:t>
                  </w:r>
                  <w:r>
                    <w:rPr>
                      <w:rFonts w:hint="eastAsia" w:cs="Times New Roman"/>
                      <w:b w:val="0"/>
                      <w:color w:val="auto"/>
                      <w:sz w:val="21"/>
                      <w:szCs w:val="21"/>
                      <w:highlight w:val="none"/>
                      <w:lang w:val="en-US" w:eastAsia="zh-CN"/>
                    </w:rPr>
                    <w:t>各类污染物均能达到</w:t>
                  </w:r>
                  <w:r>
                    <w:rPr>
                      <w:rFonts w:hint="eastAsia" w:ascii="Times New Roman" w:hAnsi="Times New Roman" w:eastAsia="宋体" w:cs="Times New Roman"/>
                      <w:b w:val="0"/>
                      <w:bCs/>
                      <w:color w:val="auto"/>
                      <w:kern w:val="44"/>
                      <w:sz w:val="21"/>
                      <w:szCs w:val="21"/>
                      <w:highlight w:val="none"/>
                      <w:lang w:val="en-US" w:eastAsia="zh-CN" w:bidi="ar-SA"/>
                    </w:rPr>
                    <w:t>国家和自治区污染物排放标准</w:t>
                  </w:r>
                  <w:r>
                    <w:rPr>
                      <w:rFonts w:hint="eastAsia" w:cs="Times New Roman"/>
                      <w:b w:val="0"/>
                      <w:bCs/>
                      <w:color w:val="auto"/>
                      <w:kern w:val="44"/>
                      <w:sz w:val="21"/>
                      <w:szCs w:val="21"/>
                      <w:highlight w:val="none"/>
                      <w:lang w:val="en-US" w:eastAsia="zh-CN" w:bidi="ar-SA"/>
                    </w:rPr>
                    <w:t>。</w:t>
                  </w:r>
                </w:p>
                <w:p w14:paraId="6E357359">
                  <w:pPr>
                    <w:pStyle w:val="4"/>
                    <w:pageBreakBefore w:val="0"/>
                    <w:kinsoku/>
                    <w:wordWrap/>
                    <w:overflowPunct/>
                    <w:bidi w:val="0"/>
                    <w:adjustRightInd/>
                    <w:snapToGrid/>
                    <w:spacing w:line="200" w:lineRule="atLeast"/>
                    <w:ind w:left="-42" w:leftChars="-20" w:right="-42" w:rightChars="-20" w:firstLine="420" w:firstLineChars="200"/>
                    <w:jc w:val="both"/>
                    <w:rPr>
                      <w:rFonts w:hint="default" w:ascii="Times New Roman" w:hAnsi="Times New Roman" w:eastAsia="宋体" w:cs="Times New Roman"/>
                      <w:b w:val="0"/>
                      <w:color w:val="auto"/>
                      <w:sz w:val="21"/>
                      <w:szCs w:val="21"/>
                      <w:highlight w:val="none"/>
                    </w:rPr>
                  </w:pPr>
                  <w:r>
                    <w:rPr>
                      <w:rFonts w:hint="eastAsia" w:cs="Times New Roman"/>
                      <w:b w:val="0"/>
                      <w:color w:val="auto"/>
                      <w:sz w:val="21"/>
                      <w:szCs w:val="21"/>
                      <w:highlight w:val="none"/>
                      <w:lang w:val="en-US" w:eastAsia="zh-CN"/>
                    </w:rPr>
                    <w:t>项目</w:t>
                  </w:r>
                  <w:r>
                    <w:rPr>
                      <w:rFonts w:hint="default" w:ascii="Times New Roman" w:hAnsi="Times New Roman" w:eastAsia="宋体" w:cs="Times New Roman"/>
                      <w:b w:val="0"/>
                      <w:color w:val="auto"/>
                      <w:sz w:val="21"/>
                      <w:szCs w:val="21"/>
                      <w:highlight w:val="none"/>
                    </w:rPr>
                    <w:t>不属于《产业结构调整指导目录》（20</w:t>
                  </w:r>
                  <w:r>
                    <w:rPr>
                      <w:rFonts w:hint="default" w:ascii="Times New Roman" w:hAnsi="Times New Roman" w:eastAsia="宋体" w:cs="Times New Roman"/>
                      <w:b w:val="0"/>
                      <w:color w:val="auto"/>
                      <w:sz w:val="21"/>
                      <w:szCs w:val="21"/>
                      <w:highlight w:val="none"/>
                      <w:lang w:val="en-US" w:eastAsia="zh-CN"/>
                    </w:rPr>
                    <w:t>24</w:t>
                  </w:r>
                  <w:r>
                    <w:rPr>
                      <w:rFonts w:hint="default" w:ascii="Times New Roman" w:hAnsi="Times New Roman" w:eastAsia="宋体" w:cs="Times New Roman"/>
                      <w:b w:val="0"/>
                      <w:color w:val="auto"/>
                      <w:sz w:val="21"/>
                      <w:szCs w:val="21"/>
                      <w:highlight w:val="none"/>
                    </w:rPr>
                    <w:t>年）鼓励类、限制类和淘汰类项目，为允许类，符合国家的产业政策。</w:t>
                  </w:r>
                </w:p>
                <w:p w14:paraId="3DCB6F7A">
                  <w:pPr>
                    <w:pStyle w:val="4"/>
                    <w:pageBreakBefore w:val="0"/>
                    <w:kinsoku/>
                    <w:wordWrap/>
                    <w:overflowPunct/>
                    <w:bidi w:val="0"/>
                    <w:adjustRightInd/>
                    <w:snapToGrid/>
                    <w:spacing w:line="200" w:lineRule="atLeast"/>
                    <w:ind w:left="-42" w:leftChars="-20" w:right="-42" w:rightChars="-20" w:firstLine="420" w:firstLineChars="200"/>
                    <w:jc w:val="both"/>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本项目产品塑料包装袋</w:t>
                  </w:r>
                  <w:r>
                    <w:rPr>
                      <w:rFonts w:hint="eastAsia" w:cs="Times New Roman"/>
                      <w:b w:val="0"/>
                      <w:color w:val="auto"/>
                      <w:sz w:val="21"/>
                      <w:szCs w:val="21"/>
                      <w:highlight w:val="none"/>
                      <w:lang w:val="en-US" w:eastAsia="zh-CN"/>
                    </w:rPr>
                    <w:t>和条农用贴片滴灌带，生产过程中未使用</w:t>
                  </w:r>
                  <w:r>
                    <w:rPr>
                      <w:rFonts w:hint="eastAsia" w:ascii="Times New Roman" w:hAnsi="Times New Roman" w:eastAsia="宋体" w:cs="Times New Roman"/>
                      <w:b w:val="0"/>
                      <w:bCs/>
                      <w:color w:val="auto"/>
                      <w:kern w:val="44"/>
                      <w:sz w:val="21"/>
                      <w:szCs w:val="21"/>
                      <w:highlight w:val="none"/>
                      <w:lang w:val="en-US" w:eastAsia="zh-CN" w:bidi="ar-SA"/>
                    </w:rPr>
                    <w:t>国家、自治区淘汰或禁止使用的生产工艺、技术和设备</w:t>
                  </w:r>
                  <w:r>
                    <w:rPr>
                      <w:rFonts w:hint="default" w:ascii="Times New Roman" w:hAnsi="Times New Roman" w:eastAsia="宋体" w:cs="Times New Roman"/>
                      <w:b w:val="0"/>
                      <w:color w:val="auto"/>
                      <w:sz w:val="21"/>
                      <w:szCs w:val="21"/>
                      <w:highlight w:val="none"/>
                    </w:rPr>
                    <w:t>。</w:t>
                  </w:r>
                </w:p>
                <w:p w14:paraId="425780DF">
                  <w:pPr>
                    <w:pStyle w:val="4"/>
                    <w:pageBreakBefore w:val="0"/>
                    <w:kinsoku/>
                    <w:wordWrap/>
                    <w:overflowPunct/>
                    <w:bidi w:val="0"/>
                    <w:adjustRightInd/>
                    <w:snapToGrid/>
                    <w:spacing w:line="200" w:lineRule="atLeast"/>
                    <w:ind w:left="-42" w:leftChars="-20" w:right="-42" w:rightChars="-20" w:firstLine="420" w:firstLineChars="200"/>
                    <w:jc w:val="both"/>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本项目符合相关规划要求。</w:t>
                  </w:r>
                </w:p>
              </w:tc>
              <w:tc>
                <w:tcPr>
                  <w:tcW w:w="529" w:type="pct"/>
                  <w:vAlign w:val="center"/>
                </w:tcPr>
                <w:p w14:paraId="5FB960A5">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空间布局约束</w:t>
                  </w:r>
                </w:p>
              </w:tc>
            </w:tr>
            <w:tr w14:paraId="51A96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pct"/>
                  <w:vAlign w:val="center"/>
                </w:tcPr>
                <w:p w14:paraId="3DC6A17E">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污染物排放管控</w:t>
                  </w:r>
                </w:p>
              </w:tc>
              <w:tc>
                <w:tcPr>
                  <w:tcW w:w="2609" w:type="pct"/>
                  <w:vAlign w:val="center"/>
                </w:tcPr>
                <w:p w14:paraId="7AB6AF85">
                  <w:pPr>
                    <w:pageBreakBefore w:val="0"/>
                    <w:tabs>
                      <w:tab w:val="left" w:pos="312"/>
                    </w:tabs>
                    <w:kinsoku/>
                    <w:wordWrap/>
                    <w:overflowPunct/>
                    <w:bidi w:val="0"/>
                    <w:adjustRightInd/>
                    <w:snapToGrid/>
                    <w:spacing w:line="200" w:lineRule="atLeast"/>
                    <w:ind w:left="-42" w:leftChars="-20" w:right="-42" w:rightChars="-20" w:firstLine="420" w:firstLineChars="200"/>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 xml:space="preserve">完善工业炉窑综合整治实施方案，开展工业炉窑专项整治，确保各类污染物稳定达标排放。 </w:t>
                  </w:r>
                </w:p>
                <w:p w14:paraId="5D54F710">
                  <w:pPr>
                    <w:pageBreakBefore w:val="0"/>
                    <w:tabs>
                      <w:tab w:val="left" w:pos="312"/>
                    </w:tabs>
                    <w:kinsoku/>
                    <w:wordWrap/>
                    <w:overflowPunct/>
                    <w:bidi w:val="0"/>
                    <w:adjustRightInd/>
                    <w:snapToGrid/>
                    <w:spacing w:line="200" w:lineRule="atLeast"/>
                    <w:ind w:left="-42" w:leftChars="-20" w:right="-42" w:rightChars="-20" w:firstLine="420" w:firstLineChars="200"/>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lang w:val="en-US" w:eastAsia="zh-CN"/>
                    </w:rPr>
                    <w:t>完善矿产品冶炼等工业企业污染水治理设施，推进工业污水达标排放，实现污染物稳定达标排放。企业污水自行处理达到行业排放标准或《污水综合排放标准》中的三级标准后方可进入污水处理厂，并在企业排水口安装在线监测设备，以保障污水处理厂进水满足要求。</w:t>
                  </w:r>
                </w:p>
                <w:p w14:paraId="5BE5861F">
                  <w:pPr>
                    <w:pageBreakBefore w:val="0"/>
                    <w:tabs>
                      <w:tab w:val="left" w:pos="312"/>
                    </w:tabs>
                    <w:kinsoku/>
                    <w:wordWrap/>
                    <w:overflowPunct/>
                    <w:bidi w:val="0"/>
                    <w:adjustRightInd/>
                    <w:snapToGrid/>
                    <w:spacing w:line="200" w:lineRule="atLeast"/>
                    <w:ind w:left="-42" w:leftChars="-20" w:right="-42" w:rightChars="-20" w:firstLine="420" w:firstLineChars="200"/>
                    <w:rPr>
                      <w:rFonts w:hint="default" w:ascii="Times New Roman" w:hAnsi="Times New Roman" w:eastAsia="宋体" w:cs="Times New Roman"/>
                      <w:color w:val="auto"/>
                      <w:highlight w:val="none"/>
                      <w:lang w:eastAsia="zh-CN"/>
                    </w:rPr>
                  </w:pPr>
                </w:p>
              </w:tc>
              <w:tc>
                <w:tcPr>
                  <w:tcW w:w="1404" w:type="pct"/>
                  <w:vAlign w:val="center"/>
                </w:tcPr>
                <w:p w14:paraId="5CC5AC20">
                  <w:pPr>
                    <w:pStyle w:val="66"/>
                    <w:pageBreakBefore w:val="0"/>
                    <w:kinsoku/>
                    <w:wordWrap/>
                    <w:overflowPunct/>
                    <w:bidi w:val="0"/>
                    <w:adjustRightInd/>
                    <w:snapToGrid/>
                    <w:spacing w:line="200" w:lineRule="atLeast"/>
                    <w:ind w:left="-42" w:leftChars="-20" w:right="-42" w:rightChars="-20"/>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eastAsia="zh-CN"/>
                    </w:rPr>
                    <w:t>不属于</w:t>
                  </w:r>
                  <w:r>
                    <w:rPr>
                      <w:rFonts w:hint="eastAsia" w:cs="Times New Roman"/>
                      <w:color w:val="auto"/>
                      <w:highlight w:val="none"/>
                      <w:lang w:val="en-US" w:eastAsia="zh-CN"/>
                    </w:rPr>
                    <w:t>工业炉窑</w:t>
                  </w:r>
                  <w:r>
                    <w:rPr>
                      <w:rFonts w:hint="eastAsia" w:ascii="Times New Roman" w:hAnsi="Times New Roman" w:eastAsia="宋体" w:cs="Times New Roman"/>
                      <w:color w:val="auto"/>
                      <w:highlight w:val="none"/>
                      <w:lang w:eastAsia="zh-CN"/>
                    </w:rPr>
                    <w:t>类项目</w:t>
                  </w:r>
                  <w:r>
                    <w:rPr>
                      <w:rFonts w:hint="default" w:ascii="Times New Roman" w:hAnsi="Times New Roman" w:eastAsia="宋体" w:cs="Times New Roman"/>
                      <w:color w:val="auto"/>
                      <w:highlight w:val="none"/>
                    </w:rPr>
                    <w:t>。</w:t>
                  </w:r>
                  <w:r>
                    <w:rPr>
                      <w:rFonts w:ascii="Times New Roman" w:cs="Times New Roman" w:hAnsiTheme="minorEastAsia" w:eastAsiaTheme="minorEastAsia"/>
                      <w:color w:val="auto"/>
                      <w:sz w:val="21"/>
                      <w:szCs w:val="21"/>
                      <w:highlight w:val="none"/>
                      <w:lang w:val="zh-CN"/>
                    </w:rPr>
                    <w:t>项目生产用热为设备自带电加热，车间取暖依靠设备余热。办公区采用电采暖</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kern w:val="0"/>
                      <w:szCs w:val="21"/>
                      <w:highlight w:val="none"/>
                    </w:rPr>
                    <w:t>项</w:t>
                  </w:r>
                  <w:r>
                    <w:rPr>
                      <w:rFonts w:hint="eastAsia" w:ascii="Times New Roman" w:hAnsi="Times New Roman" w:cs="Times New Roman"/>
                      <w:color w:val="auto"/>
                      <w:kern w:val="0"/>
                      <w:szCs w:val="21"/>
                      <w:highlight w:val="none"/>
                      <w:lang w:val="en-US" w:eastAsia="zh-CN"/>
                    </w:rPr>
                    <w:t>目不属于矿产品冶炼项目，项目生活污水通过管网排放，污染物浓度满足</w:t>
                  </w:r>
                  <w:r>
                    <w:rPr>
                      <w:rFonts w:hint="eastAsia" w:ascii="Times New Roman" w:hAnsi="Times New Roman" w:eastAsia="宋体" w:cs="Times New Roman"/>
                      <w:color w:val="auto"/>
                      <w:highlight w:val="none"/>
                      <w:lang w:val="en-US" w:eastAsia="zh-CN"/>
                    </w:rPr>
                    <w:t>污水处理厂进水</w:t>
                  </w:r>
                  <w:r>
                    <w:rPr>
                      <w:rFonts w:hint="eastAsia" w:ascii="Times New Roman" w:hAnsi="Times New Roman" w:cs="Times New Roman"/>
                      <w:color w:val="auto"/>
                      <w:highlight w:val="none"/>
                      <w:lang w:val="en-US" w:eastAsia="zh-CN"/>
                    </w:rPr>
                    <w:t>要求。</w:t>
                  </w:r>
                </w:p>
              </w:tc>
              <w:tc>
                <w:tcPr>
                  <w:tcW w:w="529" w:type="pct"/>
                  <w:vAlign w:val="center"/>
                </w:tcPr>
                <w:p w14:paraId="0D69B631">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污染物排放管控</w:t>
                  </w:r>
                </w:p>
              </w:tc>
            </w:tr>
            <w:tr w14:paraId="2BFDF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pct"/>
                  <w:vAlign w:val="center"/>
                </w:tcPr>
                <w:p w14:paraId="5C0D602B">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环境风险防控</w:t>
                  </w:r>
                </w:p>
              </w:tc>
              <w:tc>
                <w:tcPr>
                  <w:tcW w:w="2609" w:type="pct"/>
                  <w:vAlign w:val="center"/>
                </w:tcPr>
                <w:p w14:paraId="2493CCA8">
                  <w:pPr>
                    <w:pageBreakBefore w:val="0"/>
                    <w:tabs>
                      <w:tab w:val="left" w:pos="312"/>
                    </w:tabs>
                    <w:kinsoku/>
                    <w:wordWrap/>
                    <w:overflowPunct/>
                    <w:bidi w:val="0"/>
                    <w:adjustRightInd/>
                    <w:snapToGrid/>
                    <w:spacing w:line="200" w:lineRule="atLeast"/>
                    <w:ind w:left="-42" w:leftChars="-20" w:right="-42" w:rightChars="-20" w:firstLine="420" w:firstLineChars="200"/>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开展土壤环境风险源识别，建立土壤污染源管控制度。列入土壤污染风险源清单中的企业，要制定隐患整治方案，报环境保护部门备案并由县人民政府审核后实施。</w:t>
                  </w:r>
                </w:p>
                <w:p w14:paraId="6B7A3153">
                  <w:pPr>
                    <w:pageBreakBefore w:val="0"/>
                    <w:tabs>
                      <w:tab w:val="left" w:pos="312"/>
                    </w:tabs>
                    <w:kinsoku/>
                    <w:wordWrap/>
                    <w:overflowPunct/>
                    <w:bidi w:val="0"/>
                    <w:adjustRightInd/>
                    <w:snapToGrid/>
                    <w:spacing w:line="200" w:lineRule="atLeast"/>
                    <w:ind w:left="-42" w:leftChars="-20" w:right="-42" w:rightChars="-20" w:firstLine="420" w:firstLineChars="200"/>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lang w:val="en-US" w:eastAsia="zh-CN"/>
                    </w:rPr>
                    <w:t>严格环境风险控制。防范环境风险，定期评估工业集聚区环境和健康风险，加强预案管理，落实防控措施，排除水污染隐患。</w:t>
                  </w:r>
                </w:p>
                <w:p w14:paraId="7948D532">
                  <w:pPr>
                    <w:pageBreakBefore w:val="0"/>
                    <w:tabs>
                      <w:tab w:val="left" w:pos="312"/>
                    </w:tabs>
                    <w:kinsoku/>
                    <w:wordWrap/>
                    <w:overflowPunct/>
                    <w:bidi w:val="0"/>
                    <w:adjustRightInd/>
                    <w:snapToGrid/>
                    <w:spacing w:line="200" w:lineRule="atLeast"/>
                    <w:ind w:left="-42" w:leftChars="-20" w:right="-42" w:rightChars="-20" w:firstLine="420" w:firstLineChars="200"/>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lang w:val="en-US" w:eastAsia="zh-CN"/>
                    </w:rPr>
                    <w:t>加强对地下水、地表水污染的动态监测，禁止利用渗坑、渗井排放工业废水和生活污水，控制或杜绝污染。</w:t>
                  </w:r>
                </w:p>
                <w:p w14:paraId="4E1DC802">
                  <w:pPr>
                    <w:pageBreakBefore w:val="0"/>
                    <w:tabs>
                      <w:tab w:val="left" w:pos="312"/>
                    </w:tabs>
                    <w:kinsoku/>
                    <w:wordWrap/>
                    <w:overflowPunct/>
                    <w:bidi w:val="0"/>
                    <w:adjustRightInd/>
                    <w:snapToGrid/>
                    <w:spacing w:line="200" w:lineRule="atLeast"/>
                    <w:ind w:left="-42" w:leftChars="-20" w:right="-42" w:rightChars="-20" w:firstLine="420" w:firstLineChars="200"/>
                    <w:rPr>
                      <w:rFonts w:hint="default" w:ascii="Times New Roman" w:hAnsi="Times New Roman" w:eastAsia="宋体" w:cs="Times New Roman"/>
                      <w:color w:val="auto"/>
                      <w:highlight w:val="none"/>
                      <w:lang w:eastAsia="zh-CN"/>
                    </w:rPr>
                  </w:pPr>
                </w:p>
              </w:tc>
              <w:tc>
                <w:tcPr>
                  <w:tcW w:w="1404" w:type="pct"/>
                  <w:vAlign w:val="center"/>
                </w:tcPr>
                <w:p w14:paraId="4D175999">
                  <w:pPr>
                    <w:pageBreakBefore w:val="0"/>
                    <w:numPr>
                      <w:ilvl w:val="0"/>
                      <w:numId w:val="3"/>
                    </w:numPr>
                    <w:kinsoku/>
                    <w:wordWrap/>
                    <w:overflowPunct/>
                    <w:bidi w:val="0"/>
                    <w:adjustRightInd/>
                    <w:snapToGrid/>
                    <w:spacing w:line="200" w:lineRule="atLeast"/>
                    <w:ind w:left="-42" w:leftChars="-20" w:right="-42" w:rightChars="-20" w:firstLine="420" w:firstLineChars="200"/>
                    <w:rPr>
                      <w:rFonts w:hint="eastAsia" w:cs="Times New Roman"/>
                      <w:color w:val="auto"/>
                      <w:kern w:val="0"/>
                      <w:sz w:val="21"/>
                      <w:szCs w:val="21"/>
                      <w:highlight w:val="none"/>
                      <w:lang w:val="en-US" w:eastAsia="zh-CN" w:bidi="ar-SA"/>
                    </w:rPr>
                  </w:pPr>
                  <w:r>
                    <w:rPr>
                      <w:rFonts w:hint="eastAsia" w:ascii="Times New Roman" w:hAnsi="Times New Roman" w:eastAsia="宋体" w:cs="Times New Roman"/>
                      <w:color w:val="auto"/>
                      <w:highlight w:val="none"/>
                      <w:lang w:eastAsia="zh-CN"/>
                    </w:rPr>
                    <w:t>本项目</w:t>
                  </w:r>
                  <w:r>
                    <w:rPr>
                      <w:rFonts w:hint="eastAsia" w:cs="Times New Roman"/>
                      <w:color w:val="auto"/>
                      <w:highlight w:val="none"/>
                      <w:lang w:val="en-US" w:eastAsia="zh-CN"/>
                    </w:rPr>
                    <w:t>做好防渗措施后，</w:t>
                  </w:r>
                  <w:r>
                    <w:rPr>
                      <w:rFonts w:hint="eastAsia" w:ascii="Times New Roman" w:hAnsi="Times New Roman" w:eastAsia="宋体" w:cs="Times New Roman"/>
                      <w:color w:val="auto"/>
                      <w:kern w:val="0"/>
                      <w:sz w:val="21"/>
                      <w:szCs w:val="21"/>
                      <w:highlight w:val="none"/>
                      <w:lang w:val="en-US" w:eastAsia="zh-CN" w:bidi="ar-SA"/>
                    </w:rPr>
                    <w:t>不存在土壤、地下水环境污染途径的</w:t>
                  </w:r>
                  <w:r>
                    <w:rPr>
                      <w:rFonts w:hint="eastAsia" w:cs="Times New Roman"/>
                      <w:color w:val="auto"/>
                      <w:kern w:val="0"/>
                      <w:sz w:val="21"/>
                      <w:szCs w:val="21"/>
                      <w:highlight w:val="none"/>
                      <w:lang w:val="en-US" w:eastAsia="zh-CN" w:bidi="ar-SA"/>
                    </w:rPr>
                    <w:t>。</w:t>
                  </w:r>
                </w:p>
                <w:p w14:paraId="2B6A8D6D">
                  <w:pPr>
                    <w:keepNext w:val="0"/>
                    <w:keepLines w:val="0"/>
                    <w:pageBreakBefore w:val="0"/>
                    <w:widowControl w:val="0"/>
                    <w:numPr>
                      <w:ilvl w:val="0"/>
                      <w:numId w:val="0"/>
                    </w:numPr>
                    <w:kinsoku/>
                    <w:wordWrap/>
                    <w:overflowPunct/>
                    <w:topLinePunct w:val="0"/>
                    <w:autoSpaceDE/>
                    <w:autoSpaceDN/>
                    <w:bidi w:val="0"/>
                    <w:adjustRightInd/>
                    <w:snapToGrid/>
                    <w:spacing w:line="200" w:lineRule="atLeast"/>
                    <w:ind w:right="-42" w:rightChars="-20" w:firstLine="420" w:firstLineChars="200"/>
                    <w:textAlignment w:val="auto"/>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2.项目主要污水为生活污水，经隔油池简单处理后通过园区管网排放，污水初始浓度较低。</w:t>
                  </w:r>
                </w:p>
                <w:p w14:paraId="256012E6">
                  <w:pPr>
                    <w:keepNext w:val="0"/>
                    <w:keepLines w:val="0"/>
                    <w:pageBreakBefore w:val="0"/>
                    <w:widowControl w:val="0"/>
                    <w:kinsoku/>
                    <w:wordWrap/>
                    <w:overflowPunct/>
                    <w:topLinePunct w:val="0"/>
                    <w:autoSpaceDE/>
                    <w:autoSpaceDN/>
                    <w:bidi w:val="0"/>
                    <w:adjustRightInd/>
                    <w:snapToGrid/>
                    <w:spacing w:line="200" w:lineRule="atLeast"/>
                    <w:ind w:right="-42" w:rightChars="-20" w:firstLine="420" w:firstLineChars="200"/>
                    <w:textAlignment w:val="auto"/>
                    <w:rPr>
                      <w:rFonts w:hint="default" w:ascii="Times New Roman" w:hAnsi="Times New Roman" w:eastAsia="宋体" w:cs="Times New Roman"/>
                      <w:color w:val="auto"/>
                      <w:highlight w:val="none"/>
                      <w:lang w:val="en-US"/>
                    </w:rPr>
                  </w:pPr>
                  <w:r>
                    <w:rPr>
                      <w:rFonts w:hint="eastAsia" w:cs="Times New Roman"/>
                      <w:color w:val="auto"/>
                      <w:kern w:val="0"/>
                      <w:sz w:val="21"/>
                      <w:szCs w:val="21"/>
                      <w:highlight w:val="none"/>
                      <w:lang w:val="en-US" w:eastAsia="zh-CN" w:bidi="ar-SA"/>
                    </w:rPr>
                    <w:t>3.周边无与本项目有水力联系的地表水体。</w:t>
                  </w:r>
                  <w:r>
                    <w:rPr>
                      <w:rFonts w:hint="default" w:ascii="Times New Roman" w:hAnsi="Times New Roman" w:eastAsia="宋体" w:cs="Times New Roman"/>
                      <w:color w:val="auto"/>
                      <w:highlight w:val="none"/>
                    </w:rPr>
                    <w:t>本项目冷却水循环利用不外排。</w:t>
                  </w:r>
                  <w:r>
                    <w:rPr>
                      <w:rFonts w:hint="eastAsia" w:cs="Times New Roman"/>
                      <w:color w:val="auto"/>
                      <w:kern w:val="0"/>
                      <w:sz w:val="21"/>
                      <w:szCs w:val="21"/>
                      <w:highlight w:val="none"/>
                      <w:lang w:val="en-US" w:eastAsia="zh-CN" w:bidi="ar-SA"/>
                    </w:rPr>
                    <w:t>项目生活污水通过园区管网排放。</w:t>
                  </w:r>
                </w:p>
              </w:tc>
              <w:tc>
                <w:tcPr>
                  <w:tcW w:w="529" w:type="pct"/>
                  <w:vAlign w:val="center"/>
                </w:tcPr>
                <w:p w14:paraId="55BD2D01">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环境风险防控</w:t>
                  </w:r>
                </w:p>
              </w:tc>
            </w:tr>
            <w:tr w14:paraId="2C95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pct"/>
                  <w:vAlign w:val="center"/>
                </w:tcPr>
                <w:p w14:paraId="33986578">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资源利用效率</w:t>
                  </w:r>
                </w:p>
              </w:tc>
              <w:tc>
                <w:tcPr>
                  <w:tcW w:w="2609" w:type="pct"/>
                  <w:vAlign w:val="center"/>
                </w:tcPr>
                <w:p w14:paraId="768544EA">
                  <w:pPr>
                    <w:pageBreakBefore w:val="0"/>
                    <w:tabs>
                      <w:tab w:val="left" w:pos="312"/>
                    </w:tabs>
                    <w:kinsoku/>
                    <w:wordWrap/>
                    <w:overflowPunct/>
                    <w:bidi w:val="0"/>
                    <w:adjustRightInd/>
                    <w:snapToGrid/>
                    <w:spacing w:line="200" w:lineRule="atLeast"/>
                    <w:ind w:left="-42" w:leftChars="-20" w:right="-42" w:rightChars="-20" w:firstLine="420" w:firstLineChars="20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围绕资源高效循环利用，加大先进节能技术和减排技术的推广应用，推动结构性、技术性和制度性节能减排。强化行业环境监督管理，以重点领域、重点行业和重点企业为突破口，实施节能减排技术改造和重点工程建设。进一步加强节能监察队伍建设，逐步推行碳排放交易、合同能源管理的节能模式，引导企业做好能源利用状况报告的评审和产品能耗对标工作，加强能耗计量专业化和信息化，提高节能监察工作能力。</w:t>
                  </w:r>
                </w:p>
                <w:p w14:paraId="7F80DA0C">
                  <w:pPr>
                    <w:pageBreakBefore w:val="0"/>
                    <w:tabs>
                      <w:tab w:val="left" w:pos="312"/>
                    </w:tabs>
                    <w:kinsoku/>
                    <w:wordWrap/>
                    <w:overflowPunct/>
                    <w:bidi w:val="0"/>
                    <w:adjustRightInd/>
                    <w:snapToGrid/>
                    <w:spacing w:line="200" w:lineRule="atLeast"/>
                    <w:ind w:left="-42" w:leftChars="-20" w:right="-42" w:rightChars="-20" w:firstLine="420" w:firstLineChars="200"/>
                    <w:rPr>
                      <w:rFonts w:hint="default" w:ascii="Times New Roman" w:hAnsi="Times New Roman" w:eastAsia="宋体" w:cs="Times New Roman"/>
                      <w:color w:val="auto"/>
                      <w:highlight w:val="none"/>
                      <w:lang w:eastAsia="zh-CN"/>
                    </w:rPr>
                  </w:pPr>
                </w:p>
              </w:tc>
              <w:tc>
                <w:tcPr>
                  <w:tcW w:w="1404" w:type="pct"/>
                  <w:vAlign w:val="center"/>
                </w:tcPr>
                <w:p w14:paraId="0394152D">
                  <w:pPr>
                    <w:pageBreakBefore w:val="0"/>
                    <w:tabs>
                      <w:tab w:val="left" w:pos="312"/>
                    </w:tabs>
                    <w:kinsoku/>
                    <w:wordWrap/>
                    <w:overflowPunct/>
                    <w:bidi w:val="0"/>
                    <w:adjustRightInd/>
                    <w:snapToGrid/>
                    <w:spacing w:line="200" w:lineRule="atLeast"/>
                    <w:ind w:left="-42" w:leftChars="-20" w:right="-42" w:rightChars="-20" w:firstLine="42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本项目冷却水循环利用不外排。不属于高耗水、重污染工业。</w:t>
                  </w:r>
                </w:p>
                <w:p w14:paraId="79AD76A4">
                  <w:pPr>
                    <w:pageBreakBefore w:val="0"/>
                    <w:tabs>
                      <w:tab w:val="left" w:pos="312"/>
                    </w:tabs>
                    <w:kinsoku/>
                    <w:wordWrap/>
                    <w:overflowPunct/>
                    <w:bidi w:val="0"/>
                    <w:adjustRightInd/>
                    <w:snapToGrid/>
                    <w:spacing w:line="200" w:lineRule="atLeast"/>
                    <w:ind w:left="-42" w:leftChars="-20" w:right="-42" w:rightChars="-20" w:firstLine="420" w:firstLineChars="20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本项目位于</w:t>
                  </w:r>
                  <w:r>
                    <w:rPr>
                      <w:rFonts w:hint="eastAsia" w:cs="Times New Roman"/>
                      <w:color w:val="auto"/>
                      <w:highlight w:val="none"/>
                      <w:lang w:val="en-US" w:eastAsia="zh-CN"/>
                    </w:rPr>
                    <w:t>和静</w:t>
                  </w:r>
                  <w:r>
                    <w:rPr>
                      <w:rFonts w:hint="eastAsia" w:ascii="Times New Roman" w:hAnsi="Times New Roman" w:eastAsia="宋体" w:cs="Times New Roman"/>
                      <w:color w:val="auto"/>
                      <w:highlight w:val="none"/>
                      <w:lang w:eastAsia="zh-CN"/>
                    </w:rPr>
                    <w:t>工业园区，用地性质为工业用地。</w:t>
                  </w:r>
                </w:p>
                <w:p w14:paraId="762F27DD">
                  <w:pPr>
                    <w:pageBreakBefore w:val="0"/>
                    <w:tabs>
                      <w:tab w:val="left" w:pos="312"/>
                    </w:tabs>
                    <w:kinsoku/>
                    <w:wordWrap/>
                    <w:overflowPunct/>
                    <w:bidi w:val="0"/>
                    <w:adjustRightInd/>
                    <w:snapToGrid/>
                    <w:spacing w:line="200" w:lineRule="atLeast"/>
                    <w:ind w:left="-42" w:leftChars="-20" w:right="-42" w:rightChars="-20" w:firstLine="42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项目使用清洁能源电能。</w:t>
                  </w:r>
                </w:p>
                <w:p w14:paraId="2DCA8677">
                  <w:pPr>
                    <w:pageBreakBefore w:val="0"/>
                    <w:tabs>
                      <w:tab w:val="left" w:pos="312"/>
                    </w:tabs>
                    <w:kinsoku/>
                    <w:wordWrap/>
                    <w:overflowPunct/>
                    <w:bidi w:val="0"/>
                    <w:adjustRightInd/>
                    <w:snapToGrid/>
                    <w:spacing w:line="200" w:lineRule="atLeast"/>
                    <w:ind w:left="-42" w:leftChars="-20" w:right="-42" w:rightChars="-20" w:firstLine="42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项目不属于</w:t>
                  </w:r>
                  <w:r>
                    <w:rPr>
                      <w:rFonts w:hint="default" w:ascii="Times New Roman" w:hAnsi="Times New Roman" w:eastAsia="宋体" w:cs="Times New Roman"/>
                      <w:color w:val="auto"/>
                      <w:kern w:val="0"/>
                      <w:szCs w:val="21"/>
                      <w:highlight w:val="none"/>
                    </w:rPr>
                    <w:t>重污染企业；</w:t>
                  </w:r>
                  <w:r>
                    <w:rPr>
                      <w:rFonts w:hint="default" w:ascii="Times New Roman" w:hAnsi="Times New Roman" w:eastAsia="宋体" w:cs="Times New Roman"/>
                      <w:color w:val="auto"/>
                      <w:highlight w:val="none"/>
                    </w:rPr>
                    <w:t>项目有机废气经</w:t>
                  </w:r>
                  <w:r>
                    <w:rPr>
                      <w:rFonts w:hint="eastAsia" w:cs="Times New Roman"/>
                      <w:color w:val="auto"/>
                      <w:highlight w:val="none"/>
                      <w:lang w:val="en-US" w:eastAsia="zh-CN"/>
                    </w:rPr>
                    <w:t>2</w:t>
                  </w:r>
                  <w:r>
                    <w:rPr>
                      <w:rFonts w:hint="default" w:ascii="Times New Roman" w:hAnsi="Times New Roman" w:eastAsia="宋体" w:cs="Times New Roman"/>
                      <w:color w:val="auto"/>
                      <w:highlight w:val="none"/>
                    </w:rPr>
                    <w:t>套吸附催化燃烧设备处理达标后分别经15m高排气筒DA001、DA002排放。</w:t>
                  </w:r>
                </w:p>
              </w:tc>
              <w:tc>
                <w:tcPr>
                  <w:tcW w:w="529" w:type="pct"/>
                  <w:vAlign w:val="center"/>
                </w:tcPr>
                <w:p w14:paraId="50DC9EFC">
                  <w:pPr>
                    <w:pageBreakBefore w:val="0"/>
                    <w:kinsoku/>
                    <w:wordWrap/>
                    <w:overflowPunct/>
                    <w:bidi w:val="0"/>
                    <w:adjustRightInd/>
                    <w:snapToGrid/>
                    <w:spacing w:line="200" w:lineRule="atLeast"/>
                    <w:ind w:left="-42" w:leftChars="-20" w:right="-42" w:rightChars="-2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资源利用效率</w:t>
                  </w:r>
                </w:p>
              </w:tc>
            </w:tr>
          </w:tbl>
          <w:p w14:paraId="49304AD7">
            <w:pPr>
              <w:keepNext w:val="0"/>
              <w:keepLines w:val="0"/>
              <w:pageBreakBefore w:val="0"/>
              <w:widowControl w:val="0"/>
              <w:kinsoku/>
              <w:wordWrap/>
              <w:overflowPunct/>
              <w:topLinePunct w:val="0"/>
              <w:autoSpaceDE w:val="0"/>
              <w:autoSpaceDN w:val="0"/>
              <w:bidi w:val="0"/>
              <w:adjustRightInd/>
              <w:snapToGrid/>
              <w:spacing w:before="157" w:beforeLines="50" w:line="360" w:lineRule="auto"/>
              <w:ind w:firstLine="480" w:firstLineChars="200"/>
              <w:textAlignment w:val="auto"/>
              <w:rPr>
                <w:color w:val="auto"/>
                <w:sz w:val="24"/>
                <w:highlight w:val="none"/>
              </w:rPr>
            </w:pPr>
            <w:r>
              <w:rPr>
                <w:rFonts w:hAnsiTheme="minorEastAsia"/>
                <w:color w:val="auto"/>
                <w:sz w:val="24"/>
                <w:highlight w:val="none"/>
              </w:rPr>
              <w:t>由上表可知，本</w:t>
            </w:r>
            <w:r>
              <w:rPr>
                <w:rFonts w:hint="eastAsia" w:hAnsiTheme="minorEastAsia" w:eastAsiaTheme="minorEastAsia"/>
                <w:color w:val="auto"/>
                <w:sz w:val="24"/>
                <w:highlight w:val="none"/>
              </w:rPr>
              <w:t>项目符</w:t>
            </w:r>
            <w:r>
              <w:rPr>
                <w:rFonts w:hint="eastAsia" w:hAnsiTheme="minorEastAsia" w:eastAsiaTheme="minorEastAsia"/>
                <w:color w:val="auto"/>
                <w:sz w:val="24"/>
                <w:highlight w:val="none"/>
                <w:lang w:val="en-US" w:eastAsia="zh-CN"/>
              </w:rPr>
              <w:t>合</w:t>
            </w:r>
            <w:r>
              <w:rPr>
                <w:rFonts w:hint="eastAsia" w:hAnsiTheme="minorEastAsia" w:eastAsiaTheme="minorEastAsia"/>
                <w:color w:val="auto"/>
                <w:sz w:val="24"/>
                <w:highlight w:val="none"/>
                <w:lang w:eastAsia="zh-CN"/>
              </w:rPr>
              <w:t>《</w:t>
            </w:r>
            <w:r>
              <w:rPr>
                <w:rFonts w:hint="eastAsia" w:hAnsiTheme="minorEastAsia" w:eastAsiaTheme="minorEastAsia"/>
                <w:color w:val="auto"/>
                <w:sz w:val="24"/>
                <w:highlight w:val="none"/>
                <w:lang w:val="en-US" w:eastAsia="zh-CN"/>
              </w:rPr>
              <w:t>巴州</w:t>
            </w:r>
            <w:r>
              <w:rPr>
                <w:rFonts w:hint="default" w:hAnsiTheme="minorEastAsia" w:eastAsiaTheme="minorEastAsia"/>
                <w:color w:val="auto"/>
                <w:sz w:val="24"/>
                <w:highlight w:val="none"/>
                <w:lang w:val="en-US" w:eastAsia="zh-CN"/>
              </w:rPr>
              <w:t>“三线一单”生态环境分区管控动态更新成果（2023年版）》</w:t>
            </w:r>
            <w:r>
              <w:rPr>
                <w:rFonts w:hint="eastAsia" w:hAnsiTheme="minorEastAsia" w:eastAsiaTheme="minorEastAsia"/>
                <w:color w:val="auto"/>
                <w:sz w:val="24"/>
                <w:highlight w:val="none"/>
              </w:rPr>
              <w:t>中相关要求。</w:t>
            </w:r>
          </w:p>
          <w:p w14:paraId="7B10DFD0">
            <w:pPr>
              <w:keepNext w:val="0"/>
              <w:keepLines w:val="0"/>
              <w:pageBreakBefore w:val="0"/>
              <w:widowControl w:val="0"/>
              <w:kinsoku/>
              <w:wordWrap/>
              <w:overflowPunct/>
              <w:bidi w:val="0"/>
              <w:adjustRightInd/>
              <w:snapToGrid/>
              <w:spacing w:line="360" w:lineRule="auto"/>
              <w:ind w:firstLine="480" w:firstLineChars="200"/>
              <w:rPr>
                <w:rFonts w:hAnsiTheme="minorEastAsia"/>
                <w:color w:val="auto"/>
                <w:sz w:val="24"/>
                <w:highlight w:val="none"/>
              </w:rPr>
            </w:pPr>
            <w:r>
              <w:rPr>
                <w:rFonts w:hAnsiTheme="minorEastAsia"/>
                <w:color w:val="auto"/>
                <w:sz w:val="24"/>
                <w:highlight w:val="none"/>
              </w:rPr>
              <w:t>综上所述，本项目符合</w:t>
            </w:r>
            <w:r>
              <w:rPr>
                <w:color w:val="auto"/>
                <w:sz w:val="24"/>
                <w:highlight w:val="none"/>
              </w:rPr>
              <w:t>“</w:t>
            </w:r>
            <w:r>
              <w:rPr>
                <w:rFonts w:hAnsiTheme="minorEastAsia"/>
                <w:color w:val="auto"/>
                <w:sz w:val="24"/>
                <w:highlight w:val="none"/>
              </w:rPr>
              <w:t>三线一单</w:t>
            </w:r>
            <w:r>
              <w:rPr>
                <w:color w:val="auto"/>
                <w:sz w:val="24"/>
                <w:highlight w:val="none"/>
              </w:rPr>
              <w:t>”</w:t>
            </w:r>
            <w:r>
              <w:rPr>
                <w:rFonts w:hAnsiTheme="minorEastAsia"/>
                <w:color w:val="auto"/>
                <w:sz w:val="24"/>
                <w:highlight w:val="none"/>
              </w:rPr>
              <w:t>要求。</w:t>
            </w:r>
          </w:p>
          <w:p w14:paraId="12111B12">
            <w:pPr>
              <w:keepNext w:val="0"/>
              <w:keepLines w:val="0"/>
              <w:pageBreakBefore w:val="0"/>
              <w:widowControl w:val="0"/>
              <w:kinsoku/>
              <w:wordWrap/>
              <w:overflowPunct/>
              <w:topLinePunct/>
              <w:bidi w:val="0"/>
              <w:adjustRightInd/>
              <w:snapToGrid/>
              <w:spacing w:line="360" w:lineRule="auto"/>
              <w:ind w:firstLine="482" w:firstLineChars="200"/>
              <w:textAlignment w:val="baseline"/>
              <w:rPr>
                <w:rFonts w:hAnsi="宋体"/>
                <w:b/>
                <w:color w:val="auto"/>
                <w:spacing w:val="-4"/>
                <w:sz w:val="24"/>
                <w:highlight w:val="none"/>
              </w:rPr>
            </w:pPr>
            <w:r>
              <w:rPr>
                <w:rFonts w:hint="eastAsia" w:eastAsiaTheme="minorEastAsia"/>
                <w:b/>
                <w:color w:val="auto"/>
                <w:sz w:val="24"/>
                <w:highlight w:val="none"/>
                <w:lang w:eastAsia="zh-CN"/>
              </w:rPr>
              <w:t>（</w:t>
            </w:r>
            <w:r>
              <w:rPr>
                <w:rFonts w:hint="eastAsia" w:eastAsiaTheme="minorEastAsia"/>
                <w:b/>
                <w:color w:val="auto"/>
                <w:sz w:val="24"/>
                <w:highlight w:val="none"/>
                <w:lang w:val="en-US" w:eastAsia="zh-CN"/>
              </w:rPr>
              <w:t>3</w:t>
            </w:r>
            <w:r>
              <w:rPr>
                <w:rFonts w:hint="eastAsia" w:eastAsiaTheme="minorEastAsia"/>
                <w:b/>
                <w:color w:val="auto"/>
                <w:sz w:val="24"/>
                <w:highlight w:val="none"/>
                <w:lang w:eastAsia="zh-CN"/>
              </w:rPr>
              <w:t>）</w:t>
            </w:r>
            <w:r>
              <w:rPr>
                <w:rFonts w:hint="eastAsia" w:hAnsi="宋体"/>
                <w:b/>
                <w:color w:val="auto"/>
                <w:spacing w:val="-4"/>
                <w:sz w:val="24"/>
                <w:highlight w:val="none"/>
              </w:rPr>
              <w:t>与</w:t>
            </w:r>
            <w:r>
              <w:rPr>
                <w:rFonts w:hint="eastAsia" w:hAnsi="宋体"/>
                <w:b/>
                <w:color w:val="auto"/>
                <w:spacing w:val="-4"/>
                <w:sz w:val="24"/>
                <w:highlight w:val="none"/>
                <w:lang w:val="en-US" w:eastAsia="zh-CN"/>
              </w:rPr>
              <w:t>&lt;关于印发</w:t>
            </w:r>
            <w:r>
              <w:rPr>
                <w:rFonts w:hint="eastAsia" w:hAnsi="宋体"/>
                <w:b/>
                <w:color w:val="auto"/>
                <w:spacing w:val="-4"/>
                <w:sz w:val="24"/>
                <w:highlight w:val="none"/>
              </w:rPr>
              <w:t>《重点行业挥发性有机物综合治理方案》</w:t>
            </w:r>
            <w:r>
              <w:rPr>
                <w:rFonts w:hint="eastAsia" w:hAnsi="宋体"/>
                <w:b/>
                <w:color w:val="auto"/>
                <w:spacing w:val="-4"/>
                <w:sz w:val="24"/>
                <w:highlight w:val="none"/>
                <w:lang w:val="en-US" w:eastAsia="zh-CN"/>
              </w:rPr>
              <w:t>的通知&gt;</w:t>
            </w:r>
            <w:r>
              <w:rPr>
                <w:rFonts w:hint="eastAsia" w:hAnsi="宋体"/>
                <w:b/>
                <w:color w:val="auto"/>
                <w:spacing w:val="-4"/>
                <w:sz w:val="24"/>
                <w:highlight w:val="none"/>
              </w:rPr>
              <w:t>符合性分析</w:t>
            </w:r>
          </w:p>
          <w:p w14:paraId="02EAD1B3">
            <w:pPr>
              <w:keepNext w:val="0"/>
              <w:keepLines w:val="0"/>
              <w:pageBreakBefore w:val="0"/>
              <w:widowControl w:val="0"/>
              <w:kinsoku/>
              <w:wordWrap/>
              <w:overflowPunct/>
              <w:bidi w:val="0"/>
              <w:adjustRightInd/>
              <w:snapToGrid/>
              <w:spacing w:line="360" w:lineRule="auto"/>
              <w:ind w:firstLine="480" w:firstLineChars="200"/>
              <w:rPr>
                <w:rFonts w:eastAsiaTheme="minorEastAsia"/>
                <w:color w:val="auto"/>
                <w:sz w:val="24"/>
                <w:highlight w:val="none"/>
              </w:rPr>
            </w:pPr>
            <w:r>
              <w:rPr>
                <w:rFonts w:hAnsiTheme="minorEastAsia" w:eastAsiaTheme="minorEastAsia"/>
                <w:color w:val="auto"/>
                <w:sz w:val="24"/>
                <w:highlight w:val="none"/>
              </w:rPr>
              <w:t>《重点行业挥发性有机物综合治理方案》提出：</w:t>
            </w:r>
            <w:r>
              <w:rPr>
                <w:rFonts w:eastAsiaTheme="minorEastAsia"/>
                <w:color w:val="auto"/>
                <w:sz w:val="24"/>
                <w:highlight w:val="none"/>
              </w:rPr>
              <w:t>“</w:t>
            </w:r>
            <w:r>
              <w:rPr>
                <w:rFonts w:hAnsiTheme="minorEastAsia" w:eastAsiaTheme="minorEastAsia"/>
                <w:color w:val="auto"/>
                <w:sz w:val="24"/>
                <w:highlight w:val="none"/>
              </w:rPr>
              <w:t>全面加强无组织排放控制。重点对含</w:t>
            </w:r>
            <w:r>
              <w:rPr>
                <w:rFonts w:eastAsiaTheme="minorEastAsia"/>
                <w:color w:val="auto"/>
                <w:sz w:val="24"/>
                <w:highlight w:val="none"/>
              </w:rPr>
              <w:t>VOCs</w:t>
            </w:r>
            <w:r>
              <w:rPr>
                <w:rFonts w:hAnsiTheme="minorEastAsia" w:eastAsiaTheme="minorEastAsia"/>
                <w:color w:val="auto"/>
                <w:sz w:val="24"/>
                <w:highlight w:val="none"/>
              </w:rPr>
              <w:t>物料（包括含</w:t>
            </w:r>
            <w:r>
              <w:rPr>
                <w:rFonts w:eastAsiaTheme="minorEastAsia"/>
                <w:color w:val="auto"/>
                <w:sz w:val="24"/>
                <w:highlight w:val="none"/>
              </w:rPr>
              <w:t>VOCs</w:t>
            </w:r>
            <w:r>
              <w:rPr>
                <w:rFonts w:hAnsiTheme="minorEastAsia" w:eastAsiaTheme="minorEastAsia"/>
                <w:color w:val="auto"/>
                <w:sz w:val="24"/>
                <w:highlight w:val="none"/>
              </w:rPr>
              <w:t>原辅材料、含</w:t>
            </w:r>
            <w:r>
              <w:rPr>
                <w:rFonts w:eastAsiaTheme="minorEastAsia"/>
                <w:color w:val="auto"/>
                <w:sz w:val="24"/>
                <w:highlight w:val="none"/>
              </w:rPr>
              <w:t>VOCs</w:t>
            </w:r>
            <w:r>
              <w:rPr>
                <w:rFonts w:hAnsiTheme="minorEastAsia" w:eastAsiaTheme="minorEastAsia"/>
                <w:color w:val="auto"/>
                <w:sz w:val="24"/>
                <w:highlight w:val="none"/>
              </w:rPr>
              <w:t>产品、含</w:t>
            </w:r>
            <w:r>
              <w:rPr>
                <w:rFonts w:eastAsiaTheme="minorEastAsia"/>
                <w:color w:val="auto"/>
                <w:sz w:val="24"/>
                <w:highlight w:val="none"/>
              </w:rPr>
              <w:t>VOCs</w:t>
            </w:r>
            <w:r>
              <w:rPr>
                <w:rFonts w:hAnsiTheme="minorEastAsia" w:eastAsiaTheme="minorEastAsia"/>
                <w:color w:val="auto"/>
                <w:sz w:val="24"/>
                <w:highlight w:val="none"/>
              </w:rPr>
              <w:t>废料以及有机聚合物材料等）储存、转移和输送、设备与管线组件泄漏、敞开液面逸散以及工艺过程等五类排放源实施管控，通过采取设备与场所密闭、工艺改进、废气有效收集等措施，削减</w:t>
            </w:r>
            <w:r>
              <w:rPr>
                <w:rFonts w:eastAsiaTheme="minorEastAsia"/>
                <w:color w:val="auto"/>
                <w:sz w:val="24"/>
                <w:highlight w:val="none"/>
              </w:rPr>
              <w:t>VOCs</w:t>
            </w:r>
            <w:r>
              <w:rPr>
                <w:rFonts w:hAnsiTheme="minorEastAsia" w:eastAsiaTheme="minorEastAsia"/>
                <w:color w:val="auto"/>
                <w:sz w:val="24"/>
                <w:highlight w:val="none"/>
              </w:rPr>
              <w:t>无组织排放。</w:t>
            </w:r>
            <w:r>
              <w:rPr>
                <w:rFonts w:eastAsiaTheme="minorEastAsia"/>
                <w:color w:val="auto"/>
                <w:sz w:val="24"/>
                <w:highlight w:val="none"/>
              </w:rPr>
              <w:t>”</w:t>
            </w:r>
          </w:p>
          <w:p w14:paraId="48E6F4BE">
            <w:pPr>
              <w:keepNext w:val="0"/>
              <w:keepLines w:val="0"/>
              <w:pageBreakBefore w:val="0"/>
              <w:widowControl w:val="0"/>
              <w:kinsoku/>
              <w:wordWrap/>
              <w:overflowPunct/>
              <w:topLinePunct/>
              <w:bidi w:val="0"/>
              <w:adjustRightInd/>
              <w:snapToGrid/>
              <w:spacing w:line="360" w:lineRule="auto"/>
              <w:ind w:firstLine="480" w:firstLineChars="200"/>
              <w:textAlignment w:val="baseline"/>
              <w:rPr>
                <w:rFonts w:hAnsiTheme="minorEastAsia" w:eastAsiaTheme="minorEastAsia"/>
                <w:color w:val="auto"/>
                <w:sz w:val="24"/>
                <w:highlight w:val="none"/>
              </w:rPr>
            </w:pPr>
            <w:r>
              <w:rPr>
                <w:rFonts w:hAnsiTheme="minorEastAsia" w:eastAsiaTheme="minorEastAsia"/>
                <w:bCs/>
                <w:color w:val="auto"/>
                <w:sz w:val="24"/>
                <w:highlight w:val="none"/>
              </w:rPr>
              <w:t>本项目在</w:t>
            </w:r>
            <w:r>
              <w:rPr>
                <w:rFonts w:hint="eastAsia" w:hAnsiTheme="minorEastAsia" w:eastAsiaTheme="minorEastAsia"/>
                <w:bCs/>
                <w:color w:val="auto"/>
                <w:sz w:val="24"/>
                <w:highlight w:val="none"/>
              </w:rPr>
              <w:t>有机</w:t>
            </w:r>
            <w:r>
              <w:rPr>
                <w:rFonts w:hAnsiTheme="minorEastAsia" w:eastAsiaTheme="minorEastAsia"/>
                <w:bCs/>
                <w:color w:val="auto"/>
                <w:sz w:val="24"/>
                <w:highlight w:val="none"/>
              </w:rPr>
              <w:t>废气产生点</w:t>
            </w:r>
            <w:r>
              <w:rPr>
                <w:rFonts w:hint="eastAsia" w:hAnsi="宋体"/>
                <w:color w:val="auto"/>
                <w:sz w:val="24"/>
                <w:highlight w:val="none"/>
              </w:rPr>
              <w:t>安装集气罩对废气进行收集，收集后</w:t>
            </w:r>
            <w:r>
              <w:rPr>
                <w:rFonts w:hint="eastAsia"/>
                <w:color w:val="auto"/>
                <w:sz w:val="24"/>
                <w:szCs w:val="24"/>
                <w:lang w:eastAsia="zh-CN"/>
              </w:rPr>
              <w:t>通过</w:t>
            </w:r>
            <w:r>
              <w:rPr>
                <w:rFonts w:hint="eastAsia"/>
                <w:color w:val="auto"/>
                <w:sz w:val="24"/>
                <w:szCs w:val="24"/>
                <w:highlight w:val="none"/>
                <w:lang w:val="en-US" w:eastAsia="zh-CN"/>
              </w:rPr>
              <w:t>2</w:t>
            </w:r>
            <w:r>
              <w:rPr>
                <w:rFonts w:hint="eastAsia"/>
                <w:color w:val="auto"/>
                <w:sz w:val="24"/>
                <w:szCs w:val="24"/>
                <w:highlight w:val="none"/>
              </w:rPr>
              <w:t>套吸附催化燃烧设备处理达标后</w:t>
            </w:r>
            <w:r>
              <w:rPr>
                <w:rFonts w:hint="eastAsia"/>
                <w:color w:val="auto"/>
                <w:sz w:val="24"/>
                <w:szCs w:val="24"/>
                <w:highlight w:val="none"/>
                <w:lang w:val="en-US" w:eastAsia="zh-CN"/>
              </w:rPr>
              <w:t>分别</w:t>
            </w:r>
            <w:r>
              <w:rPr>
                <w:rFonts w:hint="eastAsia"/>
                <w:color w:val="auto"/>
                <w:sz w:val="24"/>
                <w:szCs w:val="24"/>
                <w:highlight w:val="none"/>
              </w:rPr>
              <w:t>经15m高排气筒</w:t>
            </w:r>
            <w:r>
              <w:rPr>
                <w:rFonts w:hint="eastAsia"/>
                <w:color w:val="auto"/>
                <w:sz w:val="24"/>
                <w:szCs w:val="24"/>
                <w:highlight w:val="none"/>
                <w:lang w:val="en-US" w:eastAsia="zh-CN"/>
              </w:rPr>
              <w:t>DA001、DA002</w:t>
            </w:r>
            <w:r>
              <w:rPr>
                <w:rFonts w:hint="eastAsia"/>
                <w:color w:val="auto"/>
                <w:sz w:val="24"/>
                <w:szCs w:val="24"/>
                <w:highlight w:val="none"/>
              </w:rPr>
              <w:t>排放。</w:t>
            </w:r>
            <w:r>
              <w:rPr>
                <w:rFonts w:hAnsiTheme="minorEastAsia" w:eastAsiaTheme="minorEastAsia"/>
                <w:color w:val="auto"/>
                <w:sz w:val="24"/>
                <w:highlight w:val="none"/>
              </w:rPr>
              <w:t>符合《重点行业挥发性有机物综合治理方案》中相关要求。</w:t>
            </w:r>
          </w:p>
          <w:p w14:paraId="57271794">
            <w:pPr>
              <w:keepNext w:val="0"/>
              <w:keepLines w:val="0"/>
              <w:pageBreakBefore w:val="0"/>
              <w:widowControl w:val="0"/>
              <w:kinsoku/>
              <w:wordWrap/>
              <w:overflowPunct/>
              <w:topLinePunct/>
              <w:bidi w:val="0"/>
              <w:adjustRightInd/>
              <w:snapToGrid/>
              <w:spacing w:line="360" w:lineRule="auto"/>
              <w:ind w:firstLine="482" w:firstLineChars="200"/>
              <w:textAlignment w:val="baseline"/>
              <w:rPr>
                <w:rFonts w:hint="default"/>
                <w:b/>
                <w:color w:val="auto"/>
                <w:sz w:val="24"/>
                <w:lang w:val="en-US"/>
              </w:rPr>
            </w:pPr>
            <w:r>
              <w:rPr>
                <w:rFonts w:hint="eastAsia"/>
                <w:b/>
                <w:color w:val="auto"/>
                <w:sz w:val="24"/>
                <w:lang w:val="en-US" w:eastAsia="zh-CN"/>
              </w:rPr>
              <w:t>（4）与《国务院关于印发＜空气质量持续改善行动计划＞的通知》（国发〔2023〕24号）符合性分析</w:t>
            </w:r>
          </w:p>
          <w:p w14:paraId="25C992A6">
            <w:pPr>
              <w:keepNext w:val="0"/>
              <w:keepLines w:val="0"/>
              <w:pageBreakBefore w:val="0"/>
              <w:widowControl w:val="0"/>
              <w:kinsoku/>
              <w:wordWrap/>
              <w:overflowPunct/>
              <w:topLinePunct/>
              <w:bidi w:val="0"/>
              <w:adjustRightInd/>
              <w:snapToGrid/>
              <w:spacing w:line="360" w:lineRule="auto"/>
              <w:ind w:firstLine="480" w:firstLineChars="200"/>
              <w:textAlignment w:val="baseline"/>
              <w:rPr>
                <w:rFonts w:hint="eastAsia"/>
                <w:color w:val="auto"/>
                <w:sz w:val="24"/>
              </w:rPr>
            </w:pPr>
            <w:r>
              <w:rPr>
                <w:rFonts w:hint="eastAsia"/>
                <w:color w:val="auto"/>
                <w:sz w:val="24"/>
                <w:lang w:val="en-US" w:eastAsia="zh-CN"/>
              </w:rPr>
              <w:t>（七）优化含 VOCs原辅材料和产品结构。严格控制生产和使用高VOCs含量</w:t>
            </w:r>
            <w:r>
              <w:rPr>
                <w:rFonts w:hint="default"/>
                <w:color w:val="auto"/>
                <w:sz w:val="24"/>
                <w:lang w:val="en-US" w:eastAsia="zh-CN"/>
              </w:rPr>
              <w:t>涂料、油墨、胶粘剂、清洗剂等建设项目，提高低（无）VOCs 含量产品比重。实施源头替代工程，加大工业涂装、包装印刷和电子行业低（无）VOCs含量原辅材料替代力度。室外构筑物防护和城市道路交通标志推广使用低（无）VOCs 含量涂料。在生产、销售、进口、使用等环节严格执行 VOCs 含量限值标准。</w:t>
            </w:r>
          </w:p>
          <w:p w14:paraId="25DFC57A">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baseline"/>
              <w:rPr>
                <w:rFonts w:hint="eastAsia"/>
                <w:color w:val="auto"/>
                <w:sz w:val="24"/>
              </w:rPr>
            </w:pPr>
            <w:r>
              <w:rPr>
                <w:rFonts w:hint="default"/>
                <w:color w:val="auto"/>
                <w:sz w:val="24"/>
                <w:lang w:val="en-US" w:eastAsia="zh-CN"/>
              </w:rPr>
              <w:t>（八）推动绿色环保产业健康发展。加大政策支持力度，在低（无）VOCs含量原辅材料生产和使用、VOCs 污染治理、超低排放、环境和大气成分监测等领域支持培育一批龙头企业。多措并举治理环保领域低价低质中标乱象，营造公平竞争环境，推动产业健康有序发展。</w:t>
            </w:r>
          </w:p>
          <w:p w14:paraId="0BE916A5">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w:t>
            </w:r>
            <w:r>
              <w:rPr>
                <w:rFonts w:hint="eastAsia" w:ascii="Times New Roman" w:hAnsi="Times New Roman" w:eastAsia="宋体" w:cs="Times New Roman"/>
                <w:color w:val="auto"/>
                <w:sz w:val="24"/>
                <w:szCs w:val="24"/>
                <w:lang w:val="en-US" w:eastAsia="zh-CN"/>
              </w:rPr>
              <w:t>原料</w:t>
            </w:r>
            <w:r>
              <w:rPr>
                <w:rFonts w:hint="default" w:ascii="Times New Roman" w:hAnsi="Times New Roman" w:eastAsia="宋体" w:cs="Times New Roman"/>
                <w:color w:val="auto"/>
                <w:sz w:val="24"/>
                <w:szCs w:val="24"/>
                <w:lang w:val="en-US" w:eastAsia="zh-CN"/>
              </w:rPr>
              <w:t>使用</w:t>
            </w:r>
            <w:r>
              <w:rPr>
                <w:rFonts w:hint="eastAsia" w:cs="Times New Roman"/>
                <w:color w:val="auto"/>
                <w:sz w:val="24"/>
                <w:szCs w:val="24"/>
                <w:lang w:val="en-US" w:eastAsia="zh-CN"/>
              </w:rPr>
              <w:t>树脂</w:t>
            </w:r>
            <w:r>
              <w:rPr>
                <w:rFonts w:hint="default" w:ascii="Times New Roman" w:hAnsi="Times New Roman" w:eastAsia="宋体" w:cs="Times New Roman"/>
                <w:color w:val="auto"/>
                <w:sz w:val="24"/>
                <w:szCs w:val="24"/>
                <w:lang w:val="en-US" w:eastAsia="zh-CN"/>
              </w:rPr>
              <w:t>颗粒，不进行废旧塑料的回收再利用</w:t>
            </w:r>
            <w:r>
              <w:rPr>
                <w:rFonts w:hint="eastAsia" w:ascii="Times New Roman" w:hAnsi="Times New Roman" w:eastAsia="宋体" w:cs="Times New Roman"/>
                <w:color w:val="auto"/>
                <w:sz w:val="24"/>
                <w:szCs w:val="24"/>
                <w:lang w:val="en-US" w:eastAsia="zh-CN"/>
              </w:rPr>
              <w:t>的生产</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highlight w:val="none"/>
              </w:rPr>
              <w:t>项目生产工艺条件下各塑料粒子均未达到热分解温度，塑料粒子在熔融过程中不发生分解，不产生碳链焦化气体。但原料中有少量未聚合的单体在高温作用下挥发</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废气产生量较小。通过活性炭吸附-脱附</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催化燃烧处理后可以满足</w:t>
            </w:r>
            <w:r>
              <w:rPr>
                <w:rFonts w:hint="default" w:ascii="Times New Roman" w:hAnsi="Times New Roman" w:eastAsia="宋体" w:cs="Times New Roman"/>
                <w:color w:val="auto"/>
                <w:sz w:val="24"/>
                <w:szCs w:val="24"/>
                <w:lang w:val="en-US" w:eastAsia="zh-CN"/>
              </w:rPr>
              <w:t>VOCs含量限值标准。</w:t>
            </w:r>
          </w:p>
          <w:p w14:paraId="44AE1DEE">
            <w:pPr>
              <w:keepNext w:val="0"/>
              <w:keepLines w:val="0"/>
              <w:pageBreakBefore w:val="0"/>
              <w:widowControl w:val="0"/>
              <w:kinsoku/>
              <w:wordWrap/>
              <w:overflowPunct/>
              <w:topLinePunct/>
              <w:autoSpaceDE/>
              <w:autoSpaceDN/>
              <w:bidi w:val="0"/>
              <w:adjustRightInd/>
              <w:snapToGrid/>
              <w:spacing w:line="360" w:lineRule="auto"/>
              <w:ind w:firstLine="482" w:firstLineChars="200"/>
              <w:textAlignment w:val="baseline"/>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（5）与《</w:t>
            </w:r>
            <w:r>
              <w:rPr>
                <w:rFonts w:hint="default" w:ascii="Times New Roman" w:hAnsi="Times New Roman" w:eastAsia="宋体" w:cs="Times New Roman"/>
                <w:b/>
                <w:bCs/>
                <w:color w:val="auto"/>
                <w:sz w:val="24"/>
                <w:lang w:val="en-US" w:eastAsia="zh-CN"/>
              </w:rPr>
              <w:t>挥发性有机物治理突出问题排查整治工作要求</w:t>
            </w:r>
            <w:r>
              <w:rPr>
                <w:rFonts w:hint="eastAsia" w:ascii="Times New Roman" w:hAnsi="Times New Roman" w:eastAsia="宋体" w:cs="Times New Roman"/>
                <w:b/>
                <w:bCs/>
                <w:color w:val="auto"/>
                <w:sz w:val="24"/>
                <w:lang w:val="en-US" w:eastAsia="zh-CN"/>
              </w:rPr>
              <w:t>》符合性分析</w:t>
            </w:r>
          </w:p>
          <w:p w14:paraId="7956766D">
            <w:pPr>
              <w:keepNext w:val="0"/>
              <w:keepLines w:val="0"/>
              <w:pageBreakBefore w:val="0"/>
              <w:widowControl w:val="0"/>
              <w:kinsoku/>
              <w:wordWrap/>
              <w:overflowPunct/>
              <w:topLinePunct/>
              <w:bidi w:val="0"/>
              <w:adjustRightInd/>
              <w:snapToGrid/>
              <w:spacing w:line="360" w:lineRule="auto"/>
              <w:ind w:firstLine="480" w:firstLineChars="200"/>
              <w:textAlignment w:val="baseline"/>
              <w:rPr>
                <w:rFonts w:hint="eastAsia" w:ascii="Times New Roman" w:hAnsi="Times New Roman" w:eastAsia="宋体" w:cs="Times New Roman"/>
                <w:color w:val="auto"/>
                <w:sz w:val="24"/>
              </w:rPr>
            </w:pPr>
            <w:r>
              <w:rPr>
                <w:rFonts w:hint="eastAsia" w:ascii="Times New Roman" w:hAnsi="Times New Roman" w:eastAsia="宋体" w:cs="Times New Roman"/>
                <w:b w:val="0"/>
                <w:bCs w:val="0"/>
                <w:color w:val="auto"/>
                <w:sz w:val="24"/>
                <w:lang w:val="en-US" w:eastAsia="zh-CN"/>
              </w:rPr>
              <w:t>根据《</w:t>
            </w:r>
            <w:r>
              <w:rPr>
                <w:rFonts w:hint="default" w:ascii="Times New Roman" w:hAnsi="Times New Roman" w:eastAsia="宋体" w:cs="Times New Roman"/>
                <w:b w:val="0"/>
                <w:bCs w:val="0"/>
                <w:color w:val="auto"/>
                <w:sz w:val="24"/>
                <w:lang w:val="en-US" w:eastAsia="zh-CN"/>
              </w:rPr>
              <w:t>挥发性有机物治理突出问题排查整治工作要求</w:t>
            </w:r>
            <w:r>
              <w:rPr>
                <w:rFonts w:hint="eastAsia" w:ascii="Times New Roman" w:hAnsi="Times New Roman" w:eastAsia="宋体" w:cs="Times New Roman"/>
                <w:b w:val="0"/>
                <w:bCs w:val="0"/>
                <w:color w:val="auto"/>
                <w:sz w:val="24"/>
                <w:lang w:val="en-US" w:eastAsia="zh-CN"/>
              </w:rPr>
              <w:t>》中的七、有机废气治理，设施存在的突出问题：治理设</w:t>
            </w:r>
            <w:r>
              <w:rPr>
                <w:rFonts w:hint="eastAsia" w:ascii="Times New Roman" w:hAnsi="Times New Roman" w:eastAsia="宋体" w:cs="Times New Roman"/>
                <w:color w:val="auto"/>
                <w:sz w:val="24"/>
                <w:lang w:val="en-US" w:eastAsia="zh-CN"/>
              </w:rPr>
              <w:t>施设计不规范、与生产系统不匹配；光催化、光氧化、低温等离子等低效技术使用占比大、治理效果差；治理设施建设质量良莠不齐，应付治理、无效治理等现象突出；治理设施运行不规范，定期维护不到位。</w:t>
            </w:r>
          </w:p>
          <w:p w14:paraId="7EA4FDD5">
            <w:pPr>
              <w:keepNext w:val="0"/>
              <w:keepLines w:val="0"/>
              <w:pageBreakBefore w:val="0"/>
              <w:widowControl w:val="0"/>
              <w:kinsoku/>
              <w:wordWrap/>
              <w:overflowPunct/>
              <w:topLinePunct/>
              <w:bidi w:val="0"/>
              <w:adjustRightInd/>
              <w:snapToGrid/>
              <w:spacing w:line="360" w:lineRule="auto"/>
              <w:ind w:firstLine="480" w:firstLineChars="200"/>
              <w:textAlignment w:val="baseline"/>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排查检查重点。对治理设施建设情况、工艺类型、处理能力、</w:t>
            </w:r>
          </w:p>
          <w:p w14:paraId="3DC1C332">
            <w:pPr>
              <w:keepNext w:val="0"/>
              <w:keepLines w:val="0"/>
              <w:pageBreakBefore w:val="0"/>
              <w:widowControl w:val="0"/>
              <w:kinsoku/>
              <w:wordWrap/>
              <w:overflowPunct/>
              <w:topLinePunct/>
              <w:bidi w:val="0"/>
              <w:adjustRightInd/>
              <w:snapToGrid/>
              <w:spacing w:line="360" w:lineRule="auto"/>
              <w:ind w:firstLine="480" w:firstLineChars="200"/>
              <w:textAlignment w:val="baseline"/>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运行时间、运行参数、耗材或药剂更换情况、能源消耗情况和废过滤棉、废催化剂、废吸附剂、废吸收剂、废有机溶剂等二次污染物规范化处置情况进行检查，建立VOCs治理设施清单；检查检测企业VOCs排放浓度、排放速率和治理设施去除效率。</w:t>
            </w:r>
          </w:p>
          <w:p w14:paraId="567E923D">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治理要求：新建治理设施或对现有治理设施实施改造，应依据排放废气特征、VOCs组分及浓度、生产工况等，合理选择治理技术；对治理难度大、单一治理工艺难以稳定达标的，宜采用多种技术的组合工艺；除恶臭异味治理外，一般不使用低温等离子、光催化、光氧化等技术。</w:t>
            </w:r>
          </w:p>
          <w:p w14:paraId="4443D534">
            <w:pPr>
              <w:keepNext w:val="0"/>
              <w:keepLines w:val="0"/>
              <w:pageBreakBefore w:val="0"/>
              <w:widowControl w:val="0"/>
              <w:kinsoku/>
              <w:wordWrap/>
              <w:overflowPunct/>
              <w:topLinePunct/>
              <w:autoSpaceDE/>
              <w:autoSpaceDN/>
              <w:bidi w:val="0"/>
              <w:adjustRightInd/>
              <w:snapToGrid/>
              <w:spacing w:line="360" w:lineRule="auto"/>
              <w:ind w:left="0"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加强运行维护管理，做到治理设施较生产设备“先启后停”，在治理设施达到正常运行条件后方可启动生产设备，在生产设备停止、残留VOCs废气收集处理完毕后，方可停运治理设施；及时清理、更换吸附剂、吸收剂、催化剂、蓄热体、过滤棉、灯管、电器元件等治理设施耗材，确保设施能够稳定高效运行；做好生产设备和治理设施启停机时间、检维修情况、治理设施耗材维护更换、处置情况等台账记录；对于VOCs 治理设施产生的废过滤棉、废催化剂、废吸附剂、废吸收剂、废有机溶剂等，应及时清运，属于危险废物的应交有资质的单位处理处置。</w:t>
            </w:r>
          </w:p>
          <w:p w14:paraId="4C12AA8A">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baseline"/>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采用活性炭吸附工艺的企业，应根据废气排放特征，按照相关工程技术规范设计净化工艺和设备，使废气在吸附装置中有足够的停留时间，选择符合相关产品质量标准的活性炭，并足额充填</w:t>
            </w:r>
            <w:bookmarkStart w:id="19" w:name="_GoBack"/>
            <w:r>
              <w:rPr>
                <w:rFonts w:hint="eastAsia" w:cs="Times New Roman"/>
                <w:color w:val="auto"/>
                <w:sz w:val="24"/>
                <w:lang w:val="en-US" w:eastAsia="zh-CN"/>
              </w:rPr>
              <w:t>及</w:t>
            </w:r>
            <w:bookmarkEnd w:id="19"/>
            <w:r>
              <w:rPr>
                <w:rFonts w:hint="default" w:ascii="Times New Roman" w:hAnsi="Times New Roman" w:eastAsia="宋体" w:cs="Times New Roman"/>
                <w:color w:val="auto"/>
                <w:sz w:val="24"/>
                <w:lang w:val="en-US" w:eastAsia="zh-CN"/>
              </w:rPr>
              <w:t>时更换。采用颗粒活性炭作为吸附剂时，其碘值不宜低于800mg/g；采用蜂窝活性炭作为吸附剂时，其碘值不宜低于650mg/g；采用活性炭纤维作为吸附剂时，其比表面积不低于1100m</w:t>
            </w:r>
            <w:r>
              <w:rPr>
                <w:rFonts w:hint="default" w:ascii="Times New Roman" w:hAnsi="Times New Roman" w:eastAsia="宋体" w:cs="Times New Roman"/>
                <w:color w:val="auto"/>
                <w:sz w:val="24"/>
                <w:vertAlign w:val="superscript"/>
                <w:lang w:val="en-US" w:eastAsia="zh-CN"/>
              </w:rPr>
              <w:t>2</w:t>
            </w:r>
            <w:r>
              <w:rPr>
                <w:rFonts w:hint="default" w:ascii="Times New Roman" w:hAnsi="Times New Roman" w:eastAsia="宋体" w:cs="Times New Roman"/>
                <w:color w:val="auto"/>
                <w:sz w:val="24"/>
                <w:lang w:val="en-US" w:eastAsia="zh-CN"/>
              </w:rPr>
              <w:t>/g（BET法）。一次性活性炭吸附工艺宜采用颗粒活性炭作为吸附剂。活性炭、活性炭纤维产品销售时应提供产品质量证明材料。</w:t>
            </w:r>
          </w:p>
          <w:p w14:paraId="15006473">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baseline"/>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采用催化燃烧工艺的企业应使用合格的催化剂并足额添加，催化剂床层的设计空速宜低于40000h</w:t>
            </w:r>
            <w:r>
              <w:rPr>
                <w:rFonts w:hint="eastAsia" w:ascii="Times New Roman" w:hAnsi="Times New Roman" w:eastAsia="宋体" w:cs="Times New Roman"/>
                <w:color w:val="auto"/>
                <w:sz w:val="24"/>
                <w:vertAlign w:val="superscript"/>
                <w:lang w:val="en-US" w:eastAsia="zh-CN"/>
              </w:rPr>
              <w:t>-1</w:t>
            </w:r>
            <w:r>
              <w:rPr>
                <w:rFonts w:hint="eastAsia" w:ascii="Times New Roman" w:hAnsi="Times New Roman" w:eastAsia="宋体" w:cs="Times New Roman"/>
                <w:color w:val="auto"/>
                <w:sz w:val="24"/>
                <w:lang w:val="en-US" w:eastAsia="zh-CN"/>
              </w:rPr>
              <w:t>。采用非连续吸脱附治理工艺的，应按设计要求及时解吸吸附的VOCs，解吸气体应保证采用高效处理工艺处理后达标排放。蓄热式燃烧装置（RTO）燃烧温度一般不低于760℃，催化燃烧装置（CO）燃烧温度一般不低于300℃，相关温度参数应自动记录存储。</w:t>
            </w:r>
          </w:p>
          <w:p w14:paraId="39ED9564">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baseline"/>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有条件的工业园区和企业集群鼓励建设集中涂装中心，分散吸 附、集中脱附模式的活性炭集中再生中心，溶剂回收中心等涉 VOCs“绿岛”项目，实现 VOCs集中高效处理。</w:t>
            </w:r>
          </w:p>
          <w:p w14:paraId="01F3CD28">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baseline"/>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本项目采用活性炭吸附-脱附-催化燃烧处理非甲烷总烃通过15m排气筒排放，设备燃烧温度不低于规定要求，产生的危废委托有资质的单位处理。符合治理要求。</w:t>
            </w:r>
          </w:p>
          <w:p w14:paraId="3186BFBE">
            <w:pPr>
              <w:keepNext w:val="0"/>
              <w:keepLines w:val="0"/>
              <w:pageBreakBefore w:val="0"/>
              <w:widowControl w:val="0"/>
              <w:kinsoku/>
              <w:wordWrap/>
              <w:overflowPunct/>
              <w:topLinePunct/>
              <w:autoSpaceDE/>
              <w:autoSpaceDN/>
              <w:bidi w:val="0"/>
              <w:adjustRightInd/>
              <w:snapToGrid/>
              <w:spacing w:line="360" w:lineRule="auto"/>
              <w:ind w:firstLine="482" w:firstLineChars="200"/>
              <w:textAlignment w:val="baseline"/>
              <w:rPr>
                <w:rFonts w:hint="default" w:ascii="Times New Roman" w:hAnsi="Times New Roman" w:eastAsia="宋体" w:cs="Times New Roman"/>
                <w:b/>
                <w:bCs w:val="0"/>
                <w:color w:val="auto"/>
                <w:sz w:val="24"/>
                <w:lang w:val="en-US" w:eastAsia="zh-CN"/>
              </w:rPr>
            </w:pPr>
            <w:r>
              <w:rPr>
                <w:rFonts w:hint="eastAsia" w:cs="Times New Roman"/>
                <w:b/>
                <w:bCs w:val="0"/>
                <w:color w:val="auto"/>
                <w:sz w:val="24"/>
                <w:lang w:val="en-US" w:eastAsia="zh-CN"/>
              </w:rPr>
              <w:t>（6）项目与</w:t>
            </w:r>
            <w:r>
              <w:rPr>
                <w:rFonts w:hint="default" w:ascii="Times New Roman" w:hAnsi="Times New Roman" w:eastAsia="宋体" w:cs="Times New Roman"/>
                <w:b/>
                <w:bCs w:val="0"/>
                <w:color w:val="auto"/>
                <w:sz w:val="24"/>
                <w:szCs w:val="24"/>
                <w:vertAlign w:val="baseline"/>
                <w:lang w:val="en-US" w:eastAsia="zh-CN"/>
              </w:rPr>
              <w:t>《挥发性有机物</w:t>
            </w:r>
            <w:r>
              <w:rPr>
                <w:rFonts w:hint="eastAsia" w:cs="Times New Roman"/>
                <w:b/>
                <w:bCs w:val="0"/>
                <w:color w:val="auto"/>
                <w:sz w:val="24"/>
                <w:szCs w:val="24"/>
                <w:vertAlign w:val="baseline"/>
                <w:lang w:val="en-US" w:eastAsia="zh-CN"/>
              </w:rPr>
              <w:t>（</w:t>
            </w:r>
            <w:r>
              <w:rPr>
                <w:rFonts w:hint="default" w:ascii="Times New Roman" w:hAnsi="Times New Roman" w:eastAsia="宋体" w:cs="Times New Roman"/>
                <w:b/>
                <w:bCs w:val="0"/>
                <w:color w:val="auto"/>
                <w:sz w:val="24"/>
                <w:szCs w:val="24"/>
                <w:vertAlign w:val="baseline"/>
                <w:lang w:val="en-US" w:eastAsia="zh-CN"/>
              </w:rPr>
              <w:t>VOCs</w:t>
            </w:r>
            <w:r>
              <w:rPr>
                <w:rFonts w:hint="eastAsia" w:cs="Times New Roman"/>
                <w:b/>
                <w:bCs w:val="0"/>
                <w:color w:val="auto"/>
                <w:sz w:val="24"/>
                <w:szCs w:val="24"/>
                <w:vertAlign w:val="baseline"/>
                <w:lang w:val="en-US" w:eastAsia="zh-CN"/>
              </w:rPr>
              <w:t>）</w:t>
            </w:r>
            <w:r>
              <w:rPr>
                <w:rFonts w:hint="default" w:ascii="Times New Roman" w:hAnsi="Times New Roman" w:eastAsia="宋体" w:cs="Times New Roman"/>
                <w:b/>
                <w:bCs w:val="0"/>
                <w:color w:val="auto"/>
                <w:sz w:val="24"/>
                <w:szCs w:val="24"/>
                <w:vertAlign w:val="baseline"/>
                <w:lang w:val="en-US" w:eastAsia="zh-CN"/>
              </w:rPr>
              <w:t>污染防治技术政策》</w:t>
            </w:r>
            <w:r>
              <w:rPr>
                <w:rFonts w:hint="eastAsia" w:cs="Times New Roman"/>
                <w:b/>
                <w:bCs w:val="0"/>
                <w:color w:val="auto"/>
                <w:sz w:val="24"/>
                <w:szCs w:val="24"/>
                <w:vertAlign w:val="baseline"/>
                <w:lang w:val="en-US" w:eastAsia="zh-CN"/>
              </w:rPr>
              <w:t>符合性分析</w:t>
            </w:r>
          </w:p>
          <w:p w14:paraId="28810985">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baseline"/>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鼓励以下新技术、新材料和新装备的研发和推广：</w:t>
            </w:r>
          </w:p>
          <w:p w14:paraId="38FA9A0A">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baseline"/>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二十二）旋转式分子筛吸附浓缩技术、高效蓄热式催化燃烧技术（RCO）和蓄热式热力燃烧技术（RTO）、氮气循环脱附吸附回收技术、高效水基强化吸收技术，以及其他针对特定有机污染物的生物净化技术和低温等离子体净化技术等。</w:t>
            </w:r>
          </w:p>
          <w:p w14:paraId="3DF34DF1">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baseline"/>
              <w:rPr>
                <w:rFonts w:hint="default" w:ascii="Times New Roman" w:hAnsi="Times New Roman" w:eastAsia="宋体" w:cs="Times New Roman"/>
                <w:color w:val="auto"/>
                <w:sz w:val="24"/>
                <w:lang w:val="en-US" w:eastAsia="zh-CN"/>
              </w:rPr>
            </w:pPr>
            <w:r>
              <w:rPr>
                <w:rFonts w:hint="eastAsia" w:cs="Times New Roman"/>
                <w:color w:val="auto"/>
                <w:sz w:val="24"/>
                <w:lang w:val="en-US" w:eastAsia="zh-CN"/>
              </w:rPr>
              <w:t>本项目使用</w:t>
            </w:r>
            <w:r>
              <w:rPr>
                <w:rFonts w:hint="eastAsia" w:hAnsi="宋体"/>
                <w:color w:val="auto"/>
                <w:sz w:val="24"/>
                <w:highlight w:val="none"/>
              </w:rPr>
              <w:t>活性炭</w:t>
            </w:r>
            <w:r>
              <w:rPr>
                <w:rFonts w:hint="eastAsia" w:hAnsi="宋体"/>
                <w:b w:val="0"/>
                <w:bCs w:val="0"/>
                <w:color w:val="auto"/>
                <w:sz w:val="24"/>
                <w:highlight w:val="none"/>
              </w:rPr>
              <w:t>吸附-脱附-催化燃烧装置</w:t>
            </w:r>
            <w:r>
              <w:rPr>
                <w:rFonts w:hint="eastAsia" w:hAnsi="宋体"/>
                <w:b w:val="0"/>
                <w:bCs w:val="0"/>
                <w:color w:val="auto"/>
                <w:sz w:val="24"/>
                <w:highlight w:val="none"/>
                <w:lang w:eastAsia="zh-CN"/>
              </w:rPr>
              <w:t>，</w:t>
            </w:r>
            <w:r>
              <w:rPr>
                <w:rFonts w:hint="eastAsia" w:hAnsi="宋体"/>
                <w:b w:val="0"/>
                <w:bCs w:val="0"/>
                <w:color w:val="auto"/>
                <w:sz w:val="24"/>
                <w:highlight w:val="none"/>
                <w:lang w:val="en-US" w:eastAsia="zh-CN"/>
              </w:rPr>
              <w:t>符合</w:t>
            </w:r>
            <w:r>
              <w:rPr>
                <w:rFonts w:hint="default" w:ascii="Times New Roman" w:hAnsi="Times New Roman" w:eastAsia="宋体" w:cs="Times New Roman"/>
                <w:b w:val="0"/>
                <w:bCs w:val="0"/>
                <w:color w:val="auto"/>
                <w:sz w:val="24"/>
                <w:szCs w:val="24"/>
                <w:vertAlign w:val="baseline"/>
                <w:lang w:val="en-US" w:eastAsia="zh-CN"/>
              </w:rPr>
              <w:t>《挥发性有机物</w:t>
            </w:r>
            <w:r>
              <w:rPr>
                <w:rFonts w:hint="eastAsia" w:cs="Times New Roman"/>
                <w:b w:val="0"/>
                <w:bCs w:val="0"/>
                <w:color w:val="auto"/>
                <w:sz w:val="24"/>
                <w:szCs w:val="24"/>
                <w:vertAlign w:val="baseline"/>
                <w:lang w:val="en-US" w:eastAsia="zh-CN"/>
              </w:rPr>
              <w:t>（</w:t>
            </w:r>
            <w:r>
              <w:rPr>
                <w:rFonts w:hint="default" w:ascii="Times New Roman" w:hAnsi="Times New Roman" w:eastAsia="宋体" w:cs="Times New Roman"/>
                <w:b w:val="0"/>
                <w:bCs w:val="0"/>
                <w:color w:val="auto"/>
                <w:sz w:val="24"/>
                <w:szCs w:val="24"/>
                <w:vertAlign w:val="baseline"/>
                <w:lang w:val="en-US" w:eastAsia="zh-CN"/>
              </w:rPr>
              <w:t>VOCs</w:t>
            </w:r>
            <w:r>
              <w:rPr>
                <w:rFonts w:hint="eastAsia" w:cs="Times New Roman"/>
                <w:b w:val="0"/>
                <w:bCs w:val="0"/>
                <w:color w:val="auto"/>
                <w:sz w:val="24"/>
                <w:szCs w:val="24"/>
                <w:vertAlign w:val="baseline"/>
                <w:lang w:val="en-US" w:eastAsia="zh-CN"/>
              </w:rPr>
              <w:t>）</w:t>
            </w:r>
            <w:r>
              <w:rPr>
                <w:rFonts w:hint="default" w:ascii="Times New Roman" w:hAnsi="Times New Roman" w:eastAsia="宋体" w:cs="Times New Roman"/>
                <w:b w:val="0"/>
                <w:bCs w:val="0"/>
                <w:color w:val="auto"/>
                <w:sz w:val="24"/>
                <w:szCs w:val="24"/>
                <w:vertAlign w:val="baseline"/>
                <w:lang w:val="en-US" w:eastAsia="zh-CN"/>
              </w:rPr>
              <w:t>污染防治技术政策》</w:t>
            </w:r>
            <w:r>
              <w:rPr>
                <w:rFonts w:hint="eastAsia" w:cs="Times New Roman"/>
                <w:b w:val="0"/>
                <w:bCs w:val="0"/>
                <w:color w:val="auto"/>
                <w:sz w:val="24"/>
                <w:szCs w:val="24"/>
                <w:vertAlign w:val="baseline"/>
                <w:lang w:val="en-US" w:eastAsia="zh-CN"/>
              </w:rPr>
              <w:t>中的推荐技术。</w:t>
            </w:r>
          </w:p>
          <w:p w14:paraId="2D312BA8">
            <w:pPr>
              <w:keepNext w:val="0"/>
              <w:keepLines w:val="0"/>
              <w:pageBreakBefore w:val="0"/>
              <w:widowControl w:val="0"/>
              <w:kinsoku/>
              <w:wordWrap/>
              <w:overflowPunct/>
              <w:topLinePunct/>
              <w:autoSpaceDE/>
              <w:autoSpaceDN/>
              <w:bidi w:val="0"/>
              <w:adjustRightInd/>
              <w:snapToGrid/>
              <w:spacing w:line="360" w:lineRule="auto"/>
              <w:ind w:firstLine="482" w:firstLineChars="200"/>
              <w:textAlignment w:val="baseline"/>
              <w:rPr>
                <w:rFonts w:hint="default" w:ascii="Times New Roman" w:hAnsi="Times New Roman" w:eastAsia="宋体" w:cs="Times New Roman"/>
                <w:b/>
                <w:color w:val="auto"/>
                <w:sz w:val="24"/>
                <w:lang w:val="en-US" w:eastAsia="zh-CN"/>
              </w:rPr>
            </w:pPr>
            <w:r>
              <w:rPr>
                <w:rFonts w:hint="eastAsia" w:cs="Times New Roman"/>
                <w:b/>
                <w:bCs/>
                <w:color w:val="auto"/>
                <w:sz w:val="24"/>
                <w:szCs w:val="24"/>
                <w:vertAlign w:val="baseline"/>
                <w:lang w:val="en-US" w:eastAsia="zh-CN"/>
              </w:rPr>
              <w:t>（7）与“</w:t>
            </w:r>
            <w:r>
              <w:rPr>
                <w:rFonts w:hint="default" w:ascii="Times New Roman" w:hAnsi="Times New Roman" w:eastAsia="宋体" w:cs="Times New Roman"/>
                <w:b/>
                <w:bCs/>
                <w:color w:val="auto"/>
                <w:sz w:val="24"/>
                <w:szCs w:val="24"/>
                <w:vertAlign w:val="baseline"/>
                <w:lang w:val="en-US" w:eastAsia="zh-CN"/>
              </w:rPr>
              <w:t>国家发展改革委</w:t>
            </w:r>
            <w:r>
              <w:rPr>
                <w:rFonts w:hint="eastAsia" w:cs="Times New Roman"/>
                <w:b/>
                <w:bCs/>
                <w:color w:val="auto"/>
                <w:sz w:val="24"/>
                <w:szCs w:val="24"/>
                <w:vertAlign w:val="baseline"/>
                <w:lang w:val="en-US" w:eastAsia="zh-CN"/>
              </w:rPr>
              <w:t>、</w:t>
            </w:r>
            <w:r>
              <w:rPr>
                <w:rFonts w:hint="default" w:ascii="Times New Roman" w:hAnsi="Times New Roman" w:eastAsia="宋体" w:cs="Times New Roman"/>
                <w:b/>
                <w:bCs/>
                <w:color w:val="auto"/>
                <w:sz w:val="24"/>
                <w:szCs w:val="24"/>
                <w:vertAlign w:val="baseline"/>
                <w:lang w:val="en-US" w:eastAsia="zh-CN"/>
              </w:rPr>
              <w:t>生态环境部关于进一步加强塑料污染治理的意见</w:t>
            </w:r>
            <w:r>
              <w:rPr>
                <w:rFonts w:hint="eastAsia" w:cs="Times New Roman"/>
                <w:b/>
                <w:bCs/>
                <w:color w:val="auto"/>
                <w:sz w:val="24"/>
                <w:szCs w:val="24"/>
                <w:vertAlign w:val="baseline"/>
                <w:lang w:val="en-US" w:eastAsia="zh-CN"/>
              </w:rPr>
              <w:t>”符合性分析</w:t>
            </w:r>
          </w:p>
          <w:p w14:paraId="4B856C7B">
            <w:pPr>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baseline"/>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根据“</w:t>
            </w:r>
            <w:r>
              <w:rPr>
                <w:rFonts w:hint="default" w:ascii="Times New Roman" w:hAnsi="Times New Roman" w:eastAsia="宋体" w:cs="Times New Roman"/>
                <w:color w:val="auto"/>
                <w:kern w:val="2"/>
                <w:sz w:val="24"/>
                <w:szCs w:val="24"/>
                <w:lang w:val="en-US" w:eastAsia="zh-CN" w:bidi="ar-SA"/>
              </w:rPr>
              <w:t>国家发展改革委</w:t>
            </w:r>
            <w:r>
              <w:rPr>
                <w:rFonts w:hint="eastAsia" w:ascii="Times New Roman" w:hAnsi="Times New Roman" w:eastAsia="宋体"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生态环境部关于进一步加强塑料污染治理的意见</w:t>
            </w:r>
            <w:r>
              <w:rPr>
                <w:rFonts w:hint="eastAsia" w:ascii="Times New Roman" w:hAnsi="Times New Roman" w:eastAsia="宋体" w:cs="Times New Roman"/>
                <w:color w:val="auto"/>
                <w:kern w:val="2"/>
                <w:sz w:val="24"/>
                <w:szCs w:val="24"/>
                <w:lang w:val="en-US" w:eastAsia="zh-CN" w:bidi="ar-SA"/>
              </w:rPr>
              <w:t>”中以下要求：</w:t>
            </w:r>
          </w:p>
          <w:p w14:paraId="22327D4F">
            <w:pPr>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baseline"/>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二、禁止、限制部分塑料制品的生产、销售和使用</w:t>
            </w:r>
          </w:p>
          <w:p w14:paraId="308A7714">
            <w:pPr>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baseline"/>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四）禁止生产、销售的塑料制品。禁止生产和销售厚度小于0.025毫米的超薄塑料购物袋、厚度小于0.01毫米的聚乙烯农用地膜。禁止以医疗废物为原料制造塑料制品。全面禁止废塑料进口。到2020年底，禁止生产和销售一次性发泡塑料餐具、一次性塑料棉签；禁止生产含塑料微珠的日化产品。到2022年底，禁止销售含塑料微珠的日化产品。</w:t>
            </w:r>
          </w:p>
          <w:p w14:paraId="1A85E97E">
            <w:pPr>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baseline"/>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（五）禁止、限制使用的塑料制品。</w:t>
            </w:r>
          </w:p>
          <w:p w14:paraId="33A53527">
            <w:pPr>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baseline"/>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1.不可降解塑料袋。到2020年底，直辖市、省会城市、计划单列市城市建成区的商场、超市、药店、书店等场所以及餐饮打包外卖服务和各类展会活动，禁止使用不可降解塑料袋，集贸市场规范和限制使用不可降解塑料袋；到2022年底，实施范围扩大至全部地级以上城市建成区和沿海地区县城建成区。到2025年底，上述区域的集贸市场禁止使用不可降解塑料袋。鼓励有条件的地方，在城乡结合部、乡镇和农村地区集市等场所停止使用不可降解塑料袋。</w:t>
            </w:r>
          </w:p>
          <w:p w14:paraId="7C482712">
            <w:pPr>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baseline"/>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2.一次性塑料餐具。到2020年底，全国范围餐饮行业禁止使用不可降解一次性塑料吸管；地级以上城市建成区、景区景点的餐饮堂食服务，禁止使用不可降解一次性塑料餐具。到2022年底，县城建成区、景区景点餐饮堂食服务，禁止使用不可降解一次性塑料餐具。到2025年，地级以上城市餐饮外卖领域不可降解一次性塑料餐具消耗强度下降30%。</w:t>
            </w:r>
          </w:p>
          <w:p w14:paraId="45E347FB">
            <w:pPr>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baseline"/>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3.宾馆、酒店一次性塑料用品。到2022年底，全国范围星级宾馆、酒店等场所不再主动提供一次性塑料用品，可通过设置自助购买机、提供续充型洗洁剂等方式提供相关服务；到2025年底，实施范围扩大至所有宾馆、酒店、民宿。</w:t>
            </w:r>
          </w:p>
          <w:p w14:paraId="7F05ED96">
            <w:pPr>
              <w:keepNext w:val="0"/>
              <w:keepLines w:val="0"/>
              <w:pageBreakBefore w:val="0"/>
              <w:widowControl w:val="0"/>
              <w:kinsoku/>
              <w:wordWrap/>
              <w:overflowPunct/>
              <w:topLinePunct/>
              <w:autoSpaceDE/>
              <w:autoSpaceDN/>
              <w:bidi w:val="0"/>
              <w:adjustRightInd/>
              <w:snapToGrid/>
              <w:spacing w:line="360" w:lineRule="auto"/>
              <w:ind w:firstLine="480" w:firstLineChars="200"/>
              <w:jc w:val="both"/>
              <w:textAlignment w:val="baseline"/>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4.快递塑料包装。到2022年底，北京、上海、江苏、浙江、福建、广东等省市的邮政快递网点，先行禁止使用不可降解的塑料包装袋、一次性塑料编织袋等，降低不可降解的塑料胶带使用量。到2025年底，全国范围邮政快递网点禁止使用不可降解的塑料包装袋、塑料胶带、一次性塑料编织袋等。</w:t>
            </w:r>
          </w:p>
          <w:p w14:paraId="610FBDB0">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baseline"/>
              <w:rPr>
                <w:rFonts w:hint="default" w:ascii="Times New Roman" w:hAnsi="Times New Roman" w:eastAsia="宋体" w:cs="Times New Roman"/>
                <w:b/>
                <w:color w:val="auto"/>
                <w:sz w:val="24"/>
                <w:lang w:val="en-US" w:eastAsia="zh-CN"/>
              </w:rPr>
            </w:pPr>
            <w:r>
              <w:rPr>
                <w:rFonts w:hint="eastAsia" w:ascii="Times New Roman" w:hAnsi="Times New Roman" w:eastAsia="宋体" w:cs="Times New Roman"/>
                <w:color w:val="auto"/>
                <w:kern w:val="2"/>
                <w:sz w:val="24"/>
                <w:szCs w:val="24"/>
                <w:lang w:val="en-US" w:eastAsia="zh-CN" w:bidi="ar-SA"/>
              </w:rPr>
              <w:t>本项目主要生产塑料包装袋、农用贴片滴灌带</w:t>
            </w:r>
            <w:r>
              <w:rPr>
                <w:rFonts w:hint="eastAsia" w:cs="Times New Roman"/>
                <w:color w:val="auto"/>
                <w:kern w:val="2"/>
                <w:sz w:val="24"/>
                <w:szCs w:val="24"/>
                <w:lang w:val="en-US" w:eastAsia="zh-CN" w:bidi="ar-SA"/>
              </w:rPr>
              <w:t>，</w:t>
            </w:r>
            <w:r>
              <w:rPr>
                <w:rFonts w:hint="eastAsia" w:ascii="Times New Roman" w:hAnsi="Times New Roman" w:eastAsia="宋体" w:cs="Times New Roman"/>
                <w:color w:val="auto"/>
                <w:kern w:val="2"/>
                <w:sz w:val="24"/>
                <w:szCs w:val="24"/>
                <w:lang w:val="en-US" w:eastAsia="zh-CN" w:bidi="ar-SA"/>
              </w:rPr>
              <w:t>塑料包装袋</w:t>
            </w:r>
            <w:r>
              <w:rPr>
                <w:rFonts w:hint="eastAsia" w:cs="Times New Roman"/>
                <w:color w:val="auto"/>
                <w:kern w:val="2"/>
                <w:sz w:val="24"/>
                <w:szCs w:val="24"/>
                <w:lang w:val="en-US" w:eastAsia="zh-CN" w:bidi="ar-SA"/>
              </w:rPr>
              <w:t>厚度</w:t>
            </w:r>
            <w:r>
              <w:rPr>
                <w:rFonts w:hint="eastAsia" w:cs="Times New Roman"/>
                <w:b w:val="0"/>
                <w:bCs w:val="0"/>
                <w:color w:val="auto"/>
                <w:kern w:val="2"/>
                <w:sz w:val="24"/>
                <w:szCs w:val="24"/>
                <w:lang w:val="en-US" w:eastAsia="zh-CN" w:bidi="ar-SA"/>
              </w:rPr>
              <w:t>大于0.01mm，不属于上述禁止、限制产品，项目符合“</w:t>
            </w:r>
            <w:r>
              <w:rPr>
                <w:rFonts w:hint="default" w:ascii="Times New Roman" w:hAnsi="Times New Roman" w:eastAsia="宋体" w:cs="Times New Roman"/>
                <w:b w:val="0"/>
                <w:bCs w:val="0"/>
                <w:color w:val="auto"/>
                <w:sz w:val="24"/>
                <w:szCs w:val="24"/>
                <w:vertAlign w:val="baseline"/>
                <w:lang w:val="en-US" w:eastAsia="zh-CN"/>
              </w:rPr>
              <w:t>国家发展改革委</w:t>
            </w:r>
            <w:r>
              <w:rPr>
                <w:rFonts w:hint="eastAsia" w:cs="Times New Roman"/>
                <w:b w:val="0"/>
                <w:bCs w:val="0"/>
                <w:color w:val="auto"/>
                <w:sz w:val="24"/>
                <w:szCs w:val="24"/>
                <w:vertAlign w:val="baseline"/>
                <w:lang w:val="en-US" w:eastAsia="zh-CN"/>
              </w:rPr>
              <w:t>、</w:t>
            </w:r>
            <w:r>
              <w:rPr>
                <w:rFonts w:hint="default" w:ascii="Times New Roman" w:hAnsi="Times New Roman" w:eastAsia="宋体" w:cs="Times New Roman"/>
                <w:b w:val="0"/>
                <w:bCs w:val="0"/>
                <w:color w:val="auto"/>
                <w:sz w:val="24"/>
                <w:szCs w:val="24"/>
                <w:vertAlign w:val="baseline"/>
                <w:lang w:val="en-US" w:eastAsia="zh-CN"/>
              </w:rPr>
              <w:t>生态环境部关于进一步加强塑料污染治理的意见</w:t>
            </w:r>
            <w:r>
              <w:rPr>
                <w:rFonts w:hint="eastAsia" w:cs="Times New Roman"/>
                <w:b w:val="0"/>
                <w:bCs w:val="0"/>
                <w:color w:val="auto"/>
                <w:sz w:val="24"/>
                <w:szCs w:val="24"/>
                <w:vertAlign w:val="baseline"/>
                <w:lang w:val="en-US" w:eastAsia="zh-CN"/>
              </w:rPr>
              <w:t>”。</w:t>
            </w:r>
          </w:p>
          <w:p w14:paraId="37D47AA9">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482" w:firstLineChars="200"/>
              <w:textAlignment w:val="baseline"/>
              <w:rPr>
                <w:rFonts w:hint="eastAsia" w:cs="Times New Roman"/>
                <w:b/>
                <w:bCs/>
                <w:color w:val="auto"/>
                <w:kern w:val="2"/>
                <w:sz w:val="24"/>
                <w:szCs w:val="24"/>
                <w:lang w:val="en-US" w:eastAsia="zh-CN" w:bidi="ar-SA"/>
              </w:rPr>
            </w:pPr>
            <w:r>
              <w:rPr>
                <w:rFonts w:hint="eastAsia" w:cs="Times New Roman"/>
                <w:b/>
                <w:bCs/>
                <w:color w:val="auto"/>
                <w:kern w:val="2"/>
                <w:sz w:val="24"/>
                <w:szCs w:val="24"/>
                <w:lang w:val="en-US" w:eastAsia="zh-CN" w:bidi="ar-SA"/>
              </w:rPr>
              <w:t>（8）</w:t>
            </w:r>
            <w:r>
              <w:rPr>
                <w:rFonts w:hint="eastAsia" w:ascii="Times New Roman" w:hAnsi="Times New Roman" w:eastAsia="宋体" w:cs="Times New Roman"/>
                <w:b/>
                <w:bCs/>
                <w:color w:val="auto"/>
                <w:kern w:val="2"/>
                <w:sz w:val="24"/>
                <w:szCs w:val="24"/>
                <w:lang w:val="en-US" w:eastAsia="zh-CN" w:bidi="ar-SA"/>
              </w:rPr>
              <w:t>项目与“</w:t>
            </w:r>
            <w:r>
              <w:rPr>
                <w:rFonts w:hint="default" w:ascii="Times New Roman" w:hAnsi="Times New Roman" w:eastAsia="宋体" w:cs="Times New Roman"/>
                <w:b/>
                <w:bCs/>
                <w:color w:val="auto"/>
                <w:kern w:val="2"/>
                <w:sz w:val="24"/>
                <w:szCs w:val="24"/>
                <w:lang w:val="en-US" w:eastAsia="zh-CN" w:bidi="ar-SA"/>
              </w:rPr>
              <w:t>自治区发展改革委、生态环境厅关于进一步加强塑料污染治理的实施工作方案</w:t>
            </w:r>
            <w:r>
              <w:rPr>
                <w:rFonts w:hint="eastAsia" w:ascii="Times New Roman" w:hAnsi="Times New Roman" w:eastAsia="宋体" w:cs="Times New Roman"/>
                <w:b/>
                <w:bCs/>
                <w:color w:val="auto"/>
                <w:kern w:val="2"/>
                <w:sz w:val="24"/>
                <w:szCs w:val="24"/>
                <w:lang w:val="en-US" w:eastAsia="zh-CN" w:bidi="ar-SA"/>
              </w:rPr>
              <w:t>”</w:t>
            </w:r>
            <w:r>
              <w:rPr>
                <w:rFonts w:hint="eastAsia" w:cs="Times New Roman"/>
                <w:b/>
                <w:bCs/>
                <w:color w:val="auto"/>
                <w:kern w:val="2"/>
                <w:sz w:val="24"/>
                <w:szCs w:val="24"/>
                <w:lang w:val="en-US" w:eastAsia="zh-CN" w:bidi="ar-SA"/>
              </w:rPr>
              <w:t>符合性分析</w:t>
            </w:r>
          </w:p>
          <w:p w14:paraId="79FC5135">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baseline"/>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根据“</w:t>
            </w:r>
            <w:r>
              <w:rPr>
                <w:rFonts w:hint="default" w:ascii="Times New Roman" w:hAnsi="Times New Roman" w:eastAsia="宋体" w:cs="Times New Roman"/>
                <w:color w:val="auto"/>
                <w:kern w:val="2"/>
                <w:sz w:val="24"/>
                <w:szCs w:val="24"/>
                <w:lang w:val="en-US" w:eastAsia="zh-CN" w:bidi="ar-SA"/>
              </w:rPr>
              <w:t>自治区发展改革委、生态环境厅关于进一步加强塑料污染治理的实施工作方案</w:t>
            </w:r>
            <w:r>
              <w:rPr>
                <w:rFonts w:hint="eastAsia" w:ascii="Times New Roman" w:hAnsi="Times New Roman" w:eastAsia="宋体" w:cs="Times New Roman"/>
                <w:color w:val="auto"/>
                <w:kern w:val="2"/>
                <w:sz w:val="24"/>
                <w:szCs w:val="24"/>
                <w:lang w:val="en-US" w:eastAsia="zh-CN" w:bidi="ar-SA"/>
              </w:rPr>
              <w:t>”中的二、禁止、限制部分塑料制品的生产、销售和使用</w:t>
            </w:r>
          </w:p>
          <w:p w14:paraId="17231EC9">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baseline"/>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四）禁止生产、销售的塑料制品。严格执行《产业结构调整指导目录》等产业政策，禁止生产和销售厚度小于0.025毫米的超薄塑料购物袋、厚度小于0.01毫米的聚乙烯农用地膜。禁止以医疗废物为原料制造塑料制品。全面禁止废塑料进口。到2020年底，禁止生产和销售一次性发泡塑料餐具、一次性塑料棉签；禁止生产含塑料微珠的日化产品。到2022年底，禁止销售含塑料微珠的日化产品。对塑料制品禁止类项目不予审批、核准和备案。加强塑料制品生产和销售企业管理，按照规定时限淘汰塑料制品禁止类生产线，督促塑料制品生产、销售企业建立购销台账制度，杜绝不合格塑料制品流入市场，停止销售禁止类产品。加强医疗废物管控和集中处置单位环境监管，严格执行全面禁止废塑料进口政策，继续加大对固体废物进口监管力度。</w:t>
            </w:r>
          </w:p>
          <w:p w14:paraId="0A254CA6">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baseline"/>
              <w:rPr>
                <w:rFonts w:hint="default" w:ascii="Times New Roman" w:hAnsi="Times New Roman" w:eastAsia="宋体" w:cs="Times New Roman"/>
                <w:b/>
                <w:color w:val="auto"/>
                <w:sz w:val="24"/>
                <w:lang w:val="en-US" w:eastAsia="zh-CN"/>
              </w:rPr>
            </w:pPr>
            <w:r>
              <w:rPr>
                <w:rFonts w:hint="eastAsia" w:ascii="Times New Roman" w:hAnsi="Times New Roman" w:eastAsia="宋体" w:cs="Times New Roman"/>
                <w:color w:val="auto"/>
                <w:kern w:val="2"/>
                <w:sz w:val="24"/>
                <w:szCs w:val="24"/>
                <w:lang w:val="en-US" w:eastAsia="zh-CN" w:bidi="ar-SA"/>
              </w:rPr>
              <w:t>本项目主要生产塑料包装袋、农用贴片滴灌带</w:t>
            </w:r>
            <w:r>
              <w:rPr>
                <w:rFonts w:hint="eastAsia" w:cs="Times New Roman"/>
                <w:color w:val="auto"/>
                <w:kern w:val="2"/>
                <w:sz w:val="24"/>
                <w:szCs w:val="24"/>
                <w:lang w:val="en-US" w:eastAsia="zh-CN" w:bidi="ar-SA"/>
              </w:rPr>
              <w:t>，</w:t>
            </w:r>
            <w:r>
              <w:rPr>
                <w:rFonts w:hint="eastAsia" w:ascii="Times New Roman" w:hAnsi="Times New Roman" w:eastAsia="宋体" w:cs="Times New Roman"/>
                <w:color w:val="auto"/>
                <w:kern w:val="2"/>
                <w:sz w:val="24"/>
                <w:szCs w:val="24"/>
                <w:lang w:val="en-US" w:eastAsia="zh-CN" w:bidi="ar-SA"/>
              </w:rPr>
              <w:t>塑料包装袋</w:t>
            </w:r>
            <w:r>
              <w:rPr>
                <w:rFonts w:hint="eastAsia" w:cs="Times New Roman"/>
                <w:color w:val="auto"/>
                <w:kern w:val="2"/>
                <w:sz w:val="24"/>
                <w:szCs w:val="24"/>
                <w:lang w:val="en-US" w:eastAsia="zh-CN" w:bidi="ar-SA"/>
              </w:rPr>
              <w:t>厚度</w:t>
            </w:r>
            <w:r>
              <w:rPr>
                <w:rFonts w:hint="eastAsia" w:cs="Times New Roman"/>
                <w:b w:val="0"/>
                <w:bCs w:val="0"/>
                <w:color w:val="auto"/>
                <w:kern w:val="2"/>
                <w:sz w:val="24"/>
                <w:szCs w:val="24"/>
                <w:lang w:val="en-US" w:eastAsia="zh-CN" w:bidi="ar-SA"/>
              </w:rPr>
              <w:t>大于0.01mm，不属于上述禁止、限制生产的产品，项目符合“</w:t>
            </w:r>
            <w:r>
              <w:rPr>
                <w:rFonts w:hint="default" w:ascii="Times New Roman" w:hAnsi="Times New Roman" w:eastAsia="宋体" w:cs="Times New Roman"/>
                <w:b w:val="0"/>
                <w:bCs w:val="0"/>
                <w:color w:val="auto"/>
                <w:sz w:val="24"/>
                <w:szCs w:val="24"/>
                <w:vertAlign w:val="baseline"/>
                <w:lang w:val="en-US" w:eastAsia="zh-CN"/>
              </w:rPr>
              <w:t>国家发展改革委</w:t>
            </w:r>
            <w:r>
              <w:rPr>
                <w:rFonts w:hint="eastAsia" w:cs="Times New Roman"/>
                <w:b w:val="0"/>
                <w:bCs w:val="0"/>
                <w:color w:val="auto"/>
                <w:sz w:val="24"/>
                <w:szCs w:val="24"/>
                <w:vertAlign w:val="baseline"/>
                <w:lang w:val="en-US" w:eastAsia="zh-CN"/>
              </w:rPr>
              <w:t>、</w:t>
            </w:r>
            <w:r>
              <w:rPr>
                <w:rFonts w:hint="default" w:ascii="Times New Roman" w:hAnsi="Times New Roman" w:eastAsia="宋体" w:cs="Times New Roman"/>
                <w:b w:val="0"/>
                <w:bCs w:val="0"/>
                <w:color w:val="auto"/>
                <w:sz w:val="24"/>
                <w:szCs w:val="24"/>
                <w:vertAlign w:val="baseline"/>
                <w:lang w:val="en-US" w:eastAsia="zh-CN"/>
              </w:rPr>
              <w:t>生态环境部关于进一步加强塑料污染治理的意见</w:t>
            </w:r>
            <w:r>
              <w:rPr>
                <w:rFonts w:hint="eastAsia" w:cs="Times New Roman"/>
                <w:b w:val="0"/>
                <w:bCs w:val="0"/>
                <w:color w:val="auto"/>
                <w:sz w:val="24"/>
                <w:szCs w:val="24"/>
                <w:vertAlign w:val="baseline"/>
                <w:lang w:val="en-US" w:eastAsia="zh-CN"/>
              </w:rPr>
              <w:t>”。</w:t>
            </w:r>
          </w:p>
          <w:p w14:paraId="7D918DED">
            <w:pPr>
              <w:keepNext w:val="0"/>
              <w:keepLines w:val="0"/>
              <w:pageBreakBefore w:val="0"/>
              <w:widowControl w:val="0"/>
              <w:kinsoku/>
              <w:wordWrap/>
              <w:overflowPunct/>
              <w:topLinePunct/>
              <w:autoSpaceDE/>
              <w:autoSpaceDN/>
              <w:bidi w:val="0"/>
              <w:adjustRightInd/>
              <w:snapToGrid/>
              <w:spacing w:line="360" w:lineRule="auto"/>
              <w:ind w:firstLine="482" w:firstLineChars="200"/>
              <w:textAlignment w:val="baseline"/>
              <w:rPr>
                <w:rFonts w:hint="default" w:ascii="Times New Roman" w:hAnsi="Times New Roman" w:eastAsia="宋体" w:cs="Times New Roman"/>
                <w:b/>
                <w:color w:val="auto"/>
                <w:sz w:val="24"/>
                <w:lang w:val="en-US" w:eastAsia="zh-CN"/>
              </w:rPr>
            </w:pPr>
            <w:r>
              <w:rPr>
                <w:rFonts w:hint="eastAsia" w:cs="Times New Roman"/>
                <w:b/>
                <w:color w:val="auto"/>
                <w:sz w:val="24"/>
                <w:lang w:val="en-US" w:eastAsia="zh-CN"/>
              </w:rPr>
              <w:t>（9</w:t>
            </w:r>
            <w:r>
              <w:rPr>
                <w:rFonts w:hint="eastAsia" w:ascii="Times New Roman" w:hAnsi="Times New Roman" w:eastAsia="宋体" w:cs="Times New Roman"/>
                <w:b/>
                <w:color w:val="auto"/>
                <w:sz w:val="24"/>
                <w:lang w:val="en-US" w:eastAsia="zh-CN"/>
              </w:rPr>
              <w:t>）与《自治区关于深入打好污染防治攻坚战的实施方案》符合性分析</w:t>
            </w:r>
          </w:p>
          <w:p w14:paraId="3238E68B">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baseline"/>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根据《自治区关于深入打好污染防治攻坚战的实施方案》中（六）大力发展清洁能源。壮大清洁能源产业，加快非化石能源发展，实施绿电替代，优化用能结构，到2025年非化石能源消费比重提高到18%左右。推进大型清洁能源基地建设，积极开发分布式太阳能发电和分散式风电。积极推动储能产业进步，推进抽水蓄能电站建设，加快新型储能技术和模式示范推广应用。持续完善750千伏骨干电网及农村电网建设，积极发展可再生能源微电网、局域网，提高可再生能源的推广和消纳能力。</w:t>
            </w:r>
          </w:p>
          <w:p w14:paraId="50C29DD1">
            <w:pPr>
              <w:keepNext w:val="0"/>
              <w:keepLines w:val="0"/>
              <w:pageBreakBefore w:val="0"/>
              <w:widowControl w:val="0"/>
              <w:numPr>
                <w:ilvl w:val="0"/>
                <w:numId w:val="4"/>
              </w:numPr>
              <w:kinsoku/>
              <w:wordWrap/>
              <w:overflowPunct/>
              <w:topLinePunct/>
              <w:autoSpaceDE/>
              <w:autoSpaceDN/>
              <w:bidi w:val="0"/>
              <w:adjustRightInd/>
              <w:snapToGrid/>
              <w:spacing w:line="360" w:lineRule="auto"/>
              <w:ind w:firstLine="480" w:firstLineChars="200"/>
              <w:textAlignment w:val="baseline"/>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lang w:val="en-US" w:eastAsia="zh-CN"/>
              </w:rPr>
              <w:t>坚决遏制高耗能高排放低水平项目盲目发展。严把高耗能高排放低水平项目准入关口，严格落实污染物排放区域削减要</w:t>
            </w:r>
            <w:r>
              <w:rPr>
                <w:rFonts w:hint="eastAsia" w:ascii="Times New Roman" w:hAnsi="Times New Roman" w:eastAsia="宋体" w:cs="Times New Roman"/>
                <w:color w:val="auto"/>
                <w:sz w:val="24"/>
                <w:szCs w:val="24"/>
                <w:lang w:val="en-US" w:eastAsia="zh-CN"/>
              </w:rPr>
              <w:t>求，对不符合规定的项目坚决停批停建。依法依规淘汰落后产能和化解过剩产能。大气污染防治重点区域严禁新增钢铁、水泥熟料、平板玻璃、煤化工产能，严控新增炼油产能，其他地区钢铁、水泥熟料、平板玻璃、炼油、电解铝等新建、扩建项目严格实施产能等量或减量置换要求。</w:t>
            </w:r>
          </w:p>
          <w:p w14:paraId="32098135">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baseline"/>
              <w:rPr>
                <w:rFonts w:hint="eastAsia" w:ascii="微软雅黑" w:hAnsi="微软雅黑" w:eastAsia="微软雅黑" w:cs="微软雅黑"/>
                <w:i w:val="0"/>
                <w:iCs w:val="0"/>
                <w:caps w:val="0"/>
                <w:color w:val="auto"/>
                <w:spacing w:val="0"/>
                <w:sz w:val="18"/>
                <w:szCs w:val="18"/>
              </w:rPr>
            </w:pPr>
            <w:r>
              <w:rPr>
                <w:rFonts w:hint="eastAsia" w:ascii="Times New Roman" w:hAnsi="Times New Roman" w:eastAsia="宋体" w:cs="Times New Roman"/>
                <w:color w:val="auto"/>
                <w:sz w:val="24"/>
                <w:lang w:val="en-US" w:eastAsia="zh-CN"/>
              </w:rPr>
              <w:t>（八）推动能源资源节约高效利用。以碳达峰碳中和工作为引领，着力提高能源资源利用效率。引导重点行业深入实施清洁生产改造，钢铁、建材、石油化工等重点行业以及其他行业重点用能单位持续开展节能降耗。推动建筑领域绿色低碳发展，严格执行新建建筑节能要求，鼓励建设超低能耗建筑和近零能耗建筑，到2025年城镇新建建筑全面执行绿色建筑标准；鼓励农村建筑实施节能设计标准。实施节水行动，强化农业节水增效、工业节水减排、城镇节水降损。推进污水资源化利用，到2025年全区城镇生活污水再生利用率力争达到60%。</w:t>
            </w:r>
          </w:p>
          <w:p w14:paraId="642E3F46">
            <w:pPr>
              <w:pStyle w:val="27"/>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color w:val="auto"/>
                <w:sz w:val="24"/>
                <w:szCs w:val="24"/>
                <w:lang w:val="en-US" w:eastAsia="zh-CN"/>
              </w:rPr>
            </w:pPr>
            <w:r>
              <w:rPr>
                <w:rFonts w:hint="eastAsia"/>
                <w:color w:val="auto"/>
                <w:sz w:val="24"/>
                <w:szCs w:val="24"/>
                <w:lang w:val="en-US" w:eastAsia="zh-CN"/>
              </w:rPr>
              <w:t>本项目生产能耗较低，采用电力为生产能源，采暖采用园区集中供热的方式，属于清洁能源，本项目不属于实施方案中“</w:t>
            </w:r>
            <w:r>
              <w:rPr>
                <w:rFonts w:hint="eastAsia" w:ascii="Times New Roman" w:hAnsi="Times New Roman" w:eastAsia="宋体" w:cs="Times New Roman"/>
                <w:color w:val="auto"/>
                <w:sz w:val="24"/>
                <w:szCs w:val="24"/>
                <w:lang w:val="en-US" w:eastAsia="zh-CN"/>
              </w:rPr>
              <w:t>钢铁、水泥熟料、平板玻璃、煤化工产能，严控新增炼油产能，其他地区钢铁、水泥熟料、平板玻璃、炼油、电解铝</w:t>
            </w:r>
            <w:r>
              <w:rPr>
                <w:rFonts w:hint="eastAsia"/>
                <w:color w:val="auto"/>
                <w:sz w:val="24"/>
                <w:szCs w:val="24"/>
                <w:lang w:val="en-US" w:eastAsia="zh-CN"/>
              </w:rPr>
              <w:t>”这类高能耗项目，项目用水主要为生活用水，耗水量少。</w:t>
            </w:r>
            <w:r>
              <w:rPr>
                <w:rFonts w:hint="eastAsia" w:ascii="Times New Roman" w:hAnsi="Times New Roman" w:eastAsia="宋体" w:cs="Times New Roman"/>
                <w:color w:val="auto"/>
                <w:sz w:val="24"/>
                <w:szCs w:val="24"/>
                <w:lang w:val="en-US" w:eastAsia="zh-CN"/>
              </w:rPr>
              <w:t>符合《自治区关于深入打好污染防治攻坚战的实施方案》的要求。</w:t>
            </w:r>
          </w:p>
          <w:p w14:paraId="7B38B67D">
            <w:pPr>
              <w:keepNext w:val="0"/>
              <w:keepLines w:val="0"/>
              <w:pageBreakBefore w:val="0"/>
              <w:widowControl w:val="0"/>
              <w:kinsoku/>
              <w:wordWrap/>
              <w:overflowPunct/>
              <w:topLinePunct/>
              <w:bidi w:val="0"/>
              <w:adjustRightInd/>
              <w:snapToGrid/>
              <w:spacing w:line="360" w:lineRule="auto"/>
              <w:ind w:firstLine="482" w:firstLineChars="200"/>
              <w:textAlignment w:val="baseline"/>
              <w:rPr>
                <w:b/>
                <w:color w:val="auto"/>
                <w:sz w:val="24"/>
              </w:rPr>
            </w:pPr>
            <w:r>
              <w:rPr>
                <w:rFonts w:hint="eastAsia" w:ascii="Times New Roman" w:hAnsi="Times New Roman" w:eastAsia="宋体" w:cs="Times New Roman"/>
                <w:b/>
                <w:color w:val="auto"/>
                <w:sz w:val="24"/>
                <w:lang w:eastAsia="zh-CN"/>
              </w:rPr>
              <w:t>（</w:t>
            </w:r>
            <w:r>
              <w:rPr>
                <w:rFonts w:hint="eastAsia" w:cs="Times New Roman"/>
                <w:b/>
                <w:color w:val="auto"/>
                <w:sz w:val="24"/>
                <w:lang w:val="en-US" w:eastAsia="zh-CN"/>
              </w:rPr>
              <w:t>10</w:t>
            </w:r>
            <w:r>
              <w:rPr>
                <w:rFonts w:hint="eastAsia" w:ascii="Times New Roman" w:hAnsi="Times New Roman" w:eastAsia="宋体" w:cs="Times New Roman"/>
                <w:b/>
                <w:color w:val="auto"/>
                <w:sz w:val="24"/>
                <w:lang w:eastAsia="zh-CN"/>
              </w:rPr>
              <w:t>）</w:t>
            </w:r>
            <w:r>
              <w:rPr>
                <w:rFonts w:hint="default" w:ascii="Times New Roman" w:hAnsi="Times New Roman" w:eastAsia="宋体" w:cs="Times New Roman"/>
                <w:b/>
                <w:color w:val="auto"/>
                <w:sz w:val="24"/>
              </w:rPr>
              <w:t>与《新疆生态环</w:t>
            </w:r>
            <w:r>
              <w:rPr>
                <w:rFonts w:hint="eastAsia"/>
                <w:b/>
                <w:color w:val="auto"/>
                <w:sz w:val="24"/>
              </w:rPr>
              <w:t>境保护“十四五”规划》的符合性</w:t>
            </w:r>
          </w:p>
          <w:p w14:paraId="7750C9AD">
            <w:pPr>
              <w:keepNext w:val="0"/>
              <w:keepLines w:val="0"/>
              <w:pageBreakBefore w:val="0"/>
              <w:widowControl w:val="0"/>
              <w:kinsoku/>
              <w:wordWrap/>
              <w:overflowPunct/>
              <w:topLinePunct/>
              <w:bidi w:val="0"/>
              <w:adjustRightInd/>
              <w:snapToGrid/>
              <w:spacing w:line="360" w:lineRule="auto"/>
              <w:ind w:firstLine="480" w:firstLineChars="200"/>
              <w:textAlignment w:val="baseline"/>
              <w:rPr>
                <w:color w:val="auto"/>
                <w:sz w:val="24"/>
              </w:rPr>
            </w:pPr>
            <w:r>
              <w:rPr>
                <w:rFonts w:hint="eastAsia"/>
                <w:color w:val="auto"/>
                <w:sz w:val="24"/>
              </w:rPr>
              <w:t>《新疆生态环境保护“十四五”规划》中提出：加强白色污染治理。加强塑料污染全链条防治。积极推广替代产品，增加可循环、易回收、可降解绿色产品供给。有序限制、禁止部分塑料制品生产、销售和使用。持续减少一次性不可降解塑料袋、一次性塑料餐具、宾馆酒店一次性塑料用品、快递一次性塑料包装等使用。持续开展塑料污染治理部门联合专项行动。加强废塑料回收和加工利用行业污染治理。加快培育废塑料综合利用骨干企业，提升废塑料综合利用水平。</w:t>
            </w:r>
          </w:p>
          <w:p w14:paraId="03342181">
            <w:pPr>
              <w:keepNext w:val="0"/>
              <w:keepLines w:val="0"/>
              <w:pageBreakBefore w:val="0"/>
              <w:widowControl w:val="0"/>
              <w:kinsoku/>
              <w:wordWrap/>
              <w:overflowPunct/>
              <w:topLinePunct/>
              <w:bidi w:val="0"/>
              <w:adjustRightInd/>
              <w:snapToGrid/>
              <w:spacing w:line="360" w:lineRule="auto"/>
              <w:ind w:firstLine="480" w:firstLineChars="200"/>
              <w:textAlignment w:val="baseline"/>
              <w:rPr>
                <w:color w:val="auto"/>
                <w:sz w:val="24"/>
              </w:rPr>
            </w:pPr>
            <w:r>
              <w:rPr>
                <w:rFonts w:hint="eastAsia"/>
                <w:color w:val="auto"/>
                <w:sz w:val="24"/>
              </w:rPr>
              <w:t>本项目生产的产品为</w:t>
            </w:r>
            <w:r>
              <w:rPr>
                <w:rFonts w:hint="eastAsia" w:ascii="Times New Roman" w:hAnsi="Times New Roman" w:eastAsia="宋体" w:cs="Times New Roman"/>
                <w:color w:val="auto"/>
                <w:kern w:val="2"/>
                <w:sz w:val="24"/>
                <w:szCs w:val="24"/>
                <w:lang w:val="en-US" w:eastAsia="zh-CN" w:bidi="ar-SA"/>
              </w:rPr>
              <w:t>塑料包装袋、农用贴片滴灌带</w:t>
            </w:r>
            <w:r>
              <w:rPr>
                <w:rFonts w:hint="eastAsia" w:cs="Times New Roman"/>
                <w:color w:val="auto"/>
                <w:kern w:val="2"/>
                <w:sz w:val="24"/>
                <w:szCs w:val="24"/>
                <w:lang w:val="en-US" w:eastAsia="zh-CN" w:bidi="ar-SA"/>
              </w:rPr>
              <w:t>，</w:t>
            </w:r>
            <w:r>
              <w:rPr>
                <w:rFonts w:hint="eastAsia"/>
                <w:color w:val="auto"/>
                <w:sz w:val="24"/>
                <w:lang w:eastAsia="zh-CN"/>
              </w:rPr>
              <w:t>属于塑料制品类</w:t>
            </w:r>
            <w:r>
              <w:rPr>
                <w:rFonts w:hint="eastAsia"/>
                <w:snapToGrid w:val="0"/>
                <w:color w:val="auto"/>
                <w:kern w:val="0"/>
                <w:sz w:val="24"/>
              </w:rPr>
              <w:t>，</w:t>
            </w:r>
            <w:r>
              <w:rPr>
                <w:rFonts w:hint="eastAsia"/>
                <w:color w:val="auto"/>
                <w:sz w:val="24"/>
              </w:rPr>
              <w:t>属于可循环、易回收产品，不属于限制、禁止生产塑料制品。符合《新疆生态环境保护“十四五”规划》要求。</w:t>
            </w:r>
          </w:p>
          <w:p w14:paraId="740969E7">
            <w:pPr>
              <w:keepNext w:val="0"/>
              <w:keepLines w:val="0"/>
              <w:pageBreakBefore w:val="0"/>
              <w:widowControl w:val="0"/>
              <w:kinsoku/>
              <w:wordWrap/>
              <w:overflowPunct/>
              <w:topLinePunct/>
              <w:bidi w:val="0"/>
              <w:adjustRightInd/>
              <w:snapToGrid/>
              <w:spacing w:line="360" w:lineRule="auto"/>
              <w:ind w:firstLine="482" w:firstLineChars="200"/>
              <w:textAlignment w:val="baseline"/>
              <w:rPr>
                <w:rFonts w:eastAsiaTheme="minorEastAsia"/>
                <w:b/>
                <w:color w:val="auto"/>
                <w:sz w:val="24"/>
                <w:highlight w:val="none"/>
              </w:rPr>
            </w:pPr>
            <w:r>
              <w:rPr>
                <w:rFonts w:hint="eastAsia" w:eastAsiaTheme="minorEastAsia"/>
                <w:b/>
                <w:color w:val="auto"/>
                <w:sz w:val="24"/>
                <w:highlight w:val="none"/>
                <w:lang w:eastAsia="zh-CN"/>
              </w:rPr>
              <w:t>（</w:t>
            </w:r>
            <w:r>
              <w:rPr>
                <w:rFonts w:hint="eastAsia" w:eastAsiaTheme="minorEastAsia"/>
                <w:b/>
                <w:color w:val="auto"/>
                <w:sz w:val="24"/>
                <w:highlight w:val="none"/>
                <w:lang w:val="en-US" w:eastAsia="zh-CN"/>
              </w:rPr>
              <w:t>11</w:t>
            </w:r>
            <w:r>
              <w:rPr>
                <w:rFonts w:hint="eastAsia" w:eastAsiaTheme="minorEastAsia"/>
                <w:b/>
                <w:color w:val="auto"/>
                <w:sz w:val="24"/>
                <w:highlight w:val="none"/>
                <w:lang w:eastAsia="zh-CN"/>
              </w:rPr>
              <w:t>）</w:t>
            </w:r>
            <w:r>
              <w:rPr>
                <w:rFonts w:hAnsiTheme="minorEastAsia" w:eastAsiaTheme="minorEastAsia"/>
                <w:b/>
                <w:color w:val="auto"/>
                <w:sz w:val="24"/>
                <w:highlight w:val="none"/>
              </w:rPr>
              <w:t>选址合理性</w:t>
            </w:r>
          </w:p>
          <w:p w14:paraId="2EC8D00A">
            <w:pPr>
              <w:keepNext w:val="0"/>
              <w:keepLines w:val="0"/>
              <w:pageBreakBefore w:val="0"/>
              <w:widowControl w:val="0"/>
              <w:kinsoku/>
              <w:wordWrap/>
              <w:overflowPunct/>
              <w:bidi w:val="0"/>
              <w:adjustRightInd/>
              <w:snapToGrid/>
              <w:spacing w:line="360" w:lineRule="auto"/>
              <w:ind w:firstLine="480" w:firstLineChars="200"/>
              <w:rPr>
                <w:rFonts w:hAnsiTheme="minorEastAsia" w:eastAsiaTheme="minorEastAsia"/>
                <w:color w:val="auto"/>
                <w:sz w:val="24"/>
                <w:highlight w:val="none"/>
              </w:rPr>
            </w:pPr>
            <w:r>
              <w:rPr>
                <w:rFonts w:hint="eastAsia" w:ascii="宋体" w:hAnsi="宋体" w:cs="宋体"/>
                <w:color w:val="auto"/>
                <w:sz w:val="24"/>
                <w:highlight w:val="none"/>
              </w:rPr>
              <w:t>①</w:t>
            </w:r>
            <w:r>
              <w:rPr>
                <w:rFonts w:hAnsiTheme="minorEastAsia" w:eastAsiaTheme="minorEastAsia"/>
                <w:color w:val="auto"/>
                <w:sz w:val="24"/>
                <w:highlight w:val="none"/>
              </w:rPr>
              <w:t>项目</w:t>
            </w:r>
            <w:r>
              <w:rPr>
                <w:rFonts w:hint="eastAsia" w:hAnsi="宋体"/>
                <w:color w:val="auto"/>
                <w:sz w:val="24"/>
                <w:highlight w:val="none"/>
              </w:rPr>
              <w:t>位于</w:t>
            </w:r>
            <w:r>
              <w:rPr>
                <w:rFonts w:hint="eastAsia" w:ascii="宋体" w:hAnsi="宋体"/>
                <w:color w:val="auto"/>
                <w:sz w:val="24"/>
                <w:highlight w:val="none"/>
                <w:lang w:val="en-US" w:eastAsia="zh-CN"/>
              </w:rPr>
              <w:t>巴州和静县和静</w:t>
            </w:r>
            <w:r>
              <w:rPr>
                <w:rFonts w:hint="eastAsia" w:ascii="宋体" w:hAnsi="宋体"/>
                <w:color w:val="auto"/>
                <w:sz w:val="24"/>
                <w:highlight w:val="none"/>
              </w:rPr>
              <w:t>工业园区</w:t>
            </w:r>
            <w:r>
              <w:rPr>
                <w:rFonts w:hint="eastAsia" w:hAnsi="宋体"/>
                <w:color w:val="auto"/>
                <w:sz w:val="24"/>
                <w:highlight w:val="none"/>
              </w:rPr>
              <w:t>，</w:t>
            </w:r>
            <w:r>
              <w:rPr>
                <w:rFonts w:hAnsiTheme="minorEastAsia" w:eastAsiaTheme="minorEastAsia"/>
                <w:color w:val="auto"/>
                <w:sz w:val="24"/>
                <w:highlight w:val="none"/>
              </w:rPr>
              <w:t>根据现场踏勘，</w:t>
            </w:r>
            <w:r>
              <w:rPr>
                <w:rFonts w:hAnsiTheme="minorEastAsia" w:eastAsiaTheme="minorEastAsia"/>
                <w:bCs/>
                <w:color w:val="auto"/>
                <w:spacing w:val="-4"/>
                <w:sz w:val="24"/>
                <w:highlight w:val="none"/>
              </w:rPr>
              <w:t>项目所处位置交通、供电、供水等基础设施齐全，本项目可直接利用。</w:t>
            </w:r>
            <w:r>
              <w:rPr>
                <w:rFonts w:hAnsiTheme="minorEastAsia" w:eastAsiaTheme="minorEastAsia"/>
                <w:color w:val="auto"/>
                <w:sz w:val="24"/>
                <w:highlight w:val="none"/>
              </w:rPr>
              <w:t>项目地势平坦，污染物进行治理后可实现达标排放，运行过程中对环境影响较轻</w:t>
            </w:r>
            <w:r>
              <w:rPr>
                <w:rFonts w:hint="eastAsia" w:hAnsiTheme="minorEastAsia" w:eastAsiaTheme="minorEastAsia"/>
                <w:bCs/>
                <w:color w:val="auto"/>
                <w:spacing w:val="-4"/>
                <w:sz w:val="24"/>
                <w:highlight w:val="none"/>
              </w:rPr>
              <w:t>，</w:t>
            </w:r>
            <w:r>
              <w:rPr>
                <w:rFonts w:hAnsiTheme="minorEastAsia" w:eastAsiaTheme="minorEastAsia"/>
                <w:color w:val="auto"/>
                <w:sz w:val="24"/>
                <w:highlight w:val="none"/>
              </w:rPr>
              <w:t>与周边环境相容。</w:t>
            </w:r>
          </w:p>
          <w:p w14:paraId="00D76828">
            <w:pPr>
              <w:keepNext w:val="0"/>
              <w:keepLines w:val="0"/>
              <w:pageBreakBefore w:val="0"/>
              <w:widowControl w:val="0"/>
              <w:kinsoku/>
              <w:wordWrap/>
              <w:overflowPunct/>
              <w:bidi w:val="0"/>
              <w:adjustRightInd/>
              <w:snapToGrid/>
              <w:spacing w:line="360" w:lineRule="auto"/>
              <w:ind w:firstLine="480" w:firstLineChars="200"/>
              <w:rPr>
                <w:rFonts w:hAnsiTheme="minorEastAsia" w:eastAsiaTheme="minorEastAsia"/>
                <w:color w:val="auto"/>
                <w:sz w:val="24"/>
                <w:highlight w:val="none"/>
              </w:rPr>
            </w:pPr>
            <w:r>
              <w:rPr>
                <w:rFonts w:hint="eastAsia" w:hAnsiTheme="minorEastAsia" w:eastAsiaTheme="minorEastAsia"/>
                <w:color w:val="auto"/>
                <w:sz w:val="24"/>
                <w:highlight w:val="none"/>
              </w:rPr>
              <w:t>②</w:t>
            </w:r>
            <w:r>
              <w:rPr>
                <w:rFonts w:hAnsiTheme="minorEastAsia" w:eastAsiaTheme="minorEastAsia"/>
                <w:color w:val="auto"/>
                <w:sz w:val="24"/>
                <w:highlight w:val="none"/>
              </w:rPr>
              <w:t>项目用地性质为工业用地</w:t>
            </w:r>
            <w:r>
              <w:rPr>
                <w:rFonts w:hint="eastAsia" w:hAnsiTheme="minorEastAsia" w:eastAsiaTheme="minorEastAsia"/>
                <w:color w:val="auto"/>
                <w:sz w:val="24"/>
                <w:highlight w:val="none"/>
              </w:rPr>
              <w:t>，符合园区规划要求。项目符合“三线一单”要求，符合国家的产业政策</w:t>
            </w:r>
            <w:r>
              <w:rPr>
                <w:rFonts w:hint="eastAsia" w:hAnsiTheme="minorEastAsia" w:eastAsiaTheme="minorEastAsia"/>
                <w:color w:val="auto"/>
                <w:sz w:val="24"/>
                <w:highlight w:val="none"/>
                <w:lang w:eastAsia="zh-CN"/>
              </w:rPr>
              <w:t>，园区出具《关于符合园区总体规划的说明》，说明见附件</w:t>
            </w:r>
            <w:r>
              <w:rPr>
                <w:rFonts w:hint="eastAsia" w:hAnsiTheme="minorEastAsia" w:eastAsiaTheme="minorEastAsia"/>
                <w:color w:val="auto"/>
                <w:sz w:val="24"/>
                <w:highlight w:val="none"/>
              </w:rPr>
              <w:t>。</w:t>
            </w:r>
          </w:p>
          <w:p w14:paraId="5A8671BF">
            <w:pPr>
              <w:pStyle w:val="196"/>
              <w:keepNext w:val="0"/>
              <w:keepLines w:val="0"/>
              <w:pageBreakBefore w:val="0"/>
              <w:widowControl w:val="0"/>
              <w:kinsoku/>
              <w:wordWrap/>
              <w:overflowPunct/>
              <w:bidi w:val="0"/>
              <w:adjustRightInd/>
              <w:snapToGrid/>
              <w:spacing w:line="360" w:lineRule="auto"/>
              <w:ind w:firstLine="480" w:firstLineChars="200"/>
              <w:jc w:val="both"/>
              <w:rPr>
                <w:rFonts w:hint="eastAsia" w:hAnsiTheme="minorEastAsia" w:eastAsiaTheme="minorEastAsia"/>
                <w:color w:val="auto"/>
                <w:szCs w:val="24"/>
                <w:highlight w:val="none"/>
                <w:lang w:val="en-US" w:eastAsia="zh-CN"/>
              </w:rPr>
            </w:pPr>
            <w:r>
              <w:rPr>
                <w:rFonts w:hint="eastAsia" w:hAnsiTheme="minorEastAsia" w:eastAsiaTheme="minorEastAsia"/>
                <w:color w:val="auto"/>
                <w:szCs w:val="24"/>
                <w:highlight w:val="none"/>
                <w:lang w:val="en-US" w:eastAsia="zh-CN"/>
              </w:rPr>
              <w:t>③本项目塑料包装袋加工厂房大门位于厂房北侧；厂房内部自西向东依次布置原料堆放区、生产区、成品堆放区；农用贴片滴灌带加工厂房大门位于厂房东侧；厂房内部自北向南依次布置原料堆放区、生产区、成品堆放区。厂区平面布置见附图5。</w:t>
            </w:r>
          </w:p>
          <w:p w14:paraId="2A8BC4AD">
            <w:pPr>
              <w:pStyle w:val="196"/>
              <w:keepNext w:val="0"/>
              <w:keepLines w:val="0"/>
              <w:pageBreakBefore w:val="0"/>
              <w:widowControl w:val="0"/>
              <w:kinsoku/>
              <w:wordWrap/>
              <w:overflowPunct/>
              <w:bidi w:val="0"/>
              <w:adjustRightInd/>
              <w:snapToGrid/>
              <w:spacing w:line="360" w:lineRule="auto"/>
              <w:ind w:firstLine="480" w:firstLineChars="200"/>
              <w:jc w:val="both"/>
              <w:rPr>
                <w:rFonts w:hAnsiTheme="minorEastAsia" w:eastAsiaTheme="minorEastAsia"/>
                <w:color w:val="auto"/>
                <w:szCs w:val="24"/>
                <w:highlight w:val="none"/>
              </w:rPr>
            </w:pPr>
            <w:r>
              <w:rPr>
                <w:rFonts w:hint="eastAsia" w:hAnsiTheme="minorEastAsia" w:eastAsiaTheme="minorEastAsia"/>
                <w:color w:val="auto"/>
                <w:szCs w:val="24"/>
                <w:highlight w:val="none"/>
                <w:lang w:eastAsia="zh-CN"/>
              </w:rPr>
              <w:t>④</w:t>
            </w:r>
            <w:r>
              <w:rPr>
                <w:rFonts w:hint="eastAsia" w:hAnsiTheme="minorEastAsia" w:eastAsiaTheme="minorEastAsia"/>
                <w:color w:val="auto"/>
                <w:szCs w:val="24"/>
                <w:highlight w:val="none"/>
              </w:rPr>
              <w:t>区域敏感性</w:t>
            </w:r>
          </w:p>
          <w:p w14:paraId="5DB3F246">
            <w:pPr>
              <w:keepNext w:val="0"/>
              <w:keepLines w:val="0"/>
              <w:pageBreakBefore w:val="0"/>
              <w:widowControl w:val="0"/>
              <w:tabs>
                <w:tab w:val="left" w:pos="6915"/>
              </w:tabs>
              <w:kinsoku/>
              <w:wordWrap/>
              <w:overflowPunct/>
              <w:bidi w:val="0"/>
              <w:adjustRightInd/>
              <w:snapToGrid/>
              <w:spacing w:line="360" w:lineRule="auto"/>
              <w:ind w:firstLine="480" w:firstLineChars="200"/>
              <w:rPr>
                <w:rFonts w:eastAsiaTheme="minorEastAsia"/>
                <w:color w:val="auto"/>
                <w:sz w:val="24"/>
                <w:highlight w:val="none"/>
              </w:rPr>
            </w:pPr>
            <w:r>
              <w:rPr>
                <w:rFonts w:hAnsiTheme="minorEastAsia"/>
                <w:color w:val="auto"/>
                <w:sz w:val="24"/>
                <w:highlight w:val="none"/>
              </w:rPr>
              <w:t>项目</w:t>
            </w:r>
            <w:r>
              <w:rPr>
                <w:rFonts w:hint="eastAsia" w:hAnsiTheme="minorEastAsia"/>
                <w:color w:val="auto"/>
                <w:sz w:val="24"/>
                <w:highlight w:val="none"/>
              </w:rPr>
              <w:t>区</w:t>
            </w:r>
            <w:r>
              <w:rPr>
                <w:rFonts w:hAnsiTheme="minorEastAsia"/>
                <w:color w:val="auto"/>
                <w:sz w:val="24"/>
                <w:highlight w:val="none"/>
              </w:rPr>
              <w:t>附近无国家及省级确定的自然保护区、风景名胜区、饮用水水源地和其它需要特殊保护的地区，不属于敏感区。</w:t>
            </w:r>
            <w:r>
              <w:rPr>
                <w:rFonts w:hAnsiTheme="minorEastAsia"/>
                <w:color w:val="auto"/>
                <w:spacing w:val="-4"/>
                <w:sz w:val="24"/>
                <w:highlight w:val="none"/>
              </w:rPr>
              <w:t>按《建设项目环境影响评价分类管理名录（</w:t>
            </w:r>
            <w:r>
              <w:rPr>
                <w:color w:val="auto"/>
                <w:spacing w:val="-4"/>
                <w:sz w:val="24"/>
                <w:highlight w:val="none"/>
              </w:rPr>
              <w:t>2021</w:t>
            </w:r>
            <w:r>
              <w:rPr>
                <w:rFonts w:hAnsiTheme="minorEastAsia"/>
                <w:color w:val="auto"/>
                <w:spacing w:val="-4"/>
                <w:sz w:val="24"/>
                <w:highlight w:val="none"/>
              </w:rPr>
              <w:t>年版）》中关于环境敏感因素的界定原则，经调查</w:t>
            </w:r>
            <w:r>
              <w:rPr>
                <w:rFonts w:hint="eastAsia" w:hAnsiTheme="minorEastAsia"/>
                <w:color w:val="auto"/>
                <w:spacing w:val="-4"/>
                <w:sz w:val="24"/>
                <w:highlight w:val="none"/>
              </w:rPr>
              <w:t>项目区</w:t>
            </w:r>
            <w:r>
              <w:rPr>
                <w:rFonts w:hAnsiTheme="minorEastAsia"/>
                <w:color w:val="auto"/>
                <w:spacing w:val="-4"/>
                <w:sz w:val="24"/>
                <w:highlight w:val="none"/>
              </w:rPr>
              <w:t>不属于特殊保护地区、社会关注区和特殊地貌景观区，也无重点保护生态品种及濒危生物物种，文物古迹等。</w:t>
            </w:r>
          </w:p>
          <w:p w14:paraId="6B53A310">
            <w:pPr>
              <w:pStyle w:val="196"/>
              <w:keepNext w:val="0"/>
              <w:keepLines w:val="0"/>
              <w:pageBreakBefore w:val="0"/>
              <w:widowControl w:val="0"/>
              <w:kinsoku/>
              <w:wordWrap/>
              <w:overflowPunct/>
              <w:bidi w:val="0"/>
              <w:adjustRightInd/>
              <w:snapToGrid/>
              <w:spacing w:line="360" w:lineRule="auto"/>
              <w:ind w:firstLine="480" w:firstLineChars="200"/>
              <w:rPr>
                <w:rFonts w:hAnsiTheme="minorEastAsia" w:eastAsiaTheme="minorEastAsia"/>
                <w:color w:val="auto"/>
                <w:highlight w:val="none"/>
              </w:rPr>
            </w:pPr>
            <w:r>
              <w:rPr>
                <w:rFonts w:hAnsiTheme="minorEastAsia" w:eastAsiaTheme="minorEastAsia"/>
                <w:color w:val="auto"/>
                <w:highlight w:val="none"/>
              </w:rPr>
              <w:t>综上所述，本项目选址合理。</w:t>
            </w:r>
          </w:p>
          <w:p w14:paraId="4B0E3FB6">
            <w:pPr>
              <w:pStyle w:val="196"/>
              <w:keepNext w:val="0"/>
              <w:keepLines w:val="0"/>
              <w:pageBreakBefore w:val="0"/>
              <w:widowControl w:val="0"/>
              <w:kinsoku/>
              <w:wordWrap/>
              <w:overflowPunct/>
              <w:bidi w:val="0"/>
              <w:adjustRightInd/>
              <w:snapToGrid/>
              <w:spacing w:line="460" w:lineRule="exact"/>
              <w:ind w:left="0" w:leftChars="0" w:firstLine="0" w:firstLineChars="0"/>
              <w:rPr>
                <w:rFonts w:hint="eastAsia" w:hAnsiTheme="minorEastAsia" w:eastAsiaTheme="minorEastAsia"/>
                <w:color w:val="auto"/>
                <w:highlight w:val="none"/>
                <w:lang w:val="en-US" w:eastAsia="zh-CN"/>
              </w:rPr>
            </w:pPr>
          </w:p>
        </w:tc>
      </w:tr>
    </w:tbl>
    <w:p w14:paraId="35969C28">
      <w:pPr>
        <w:spacing w:line="360" w:lineRule="auto"/>
        <w:outlineLvl w:val="0"/>
        <w:rPr>
          <w:rFonts w:eastAsia="黑体"/>
          <w:color w:val="auto"/>
          <w:sz w:val="30"/>
          <w:highlight w:val="none"/>
        </w:rPr>
        <w:sectPr>
          <w:footerReference r:id="rId4" w:type="default"/>
          <w:pgSz w:w="11906" w:h="16838"/>
          <w:pgMar w:top="1701" w:right="1531" w:bottom="1701" w:left="1531" w:header="851" w:footer="1077" w:gutter="0"/>
          <w:pgNumType w:fmt="decimal" w:start="1"/>
          <w:cols w:space="720" w:num="1"/>
          <w:docGrid w:linePitch="312" w:charSpace="0"/>
        </w:sectPr>
      </w:pPr>
    </w:p>
    <w:p w14:paraId="659CFEBD">
      <w:pPr>
        <w:pStyle w:val="29"/>
        <w:jc w:val="center"/>
        <w:outlineLvl w:val="0"/>
        <w:rPr>
          <w:rFonts w:ascii="黑体" w:hAnsi="黑体" w:eastAsia="黑体"/>
          <w:snapToGrid w:val="0"/>
          <w:color w:val="auto"/>
          <w:sz w:val="30"/>
          <w:szCs w:val="30"/>
          <w:highlight w:val="none"/>
        </w:rPr>
      </w:pPr>
      <w:bookmarkStart w:id="8" w:name="_Toc29983"/>
      <w:r>
        <w:rPr>
          <w:rFonts w:hint="eastAsia" w:ascii="黑体" w:hAnsi="黑体" w:eastAsia="黑体"/>
          <w:snapToGrid w:val="0"/>
          <w:color w:val="auto"/>
          <w:sz w:val="30"/>
          <w:szCs w:val="30"/>
          <w:highlight w:val="none"/>
        </w:rPr>
        <w:t>二、建设项目工程分析</w:t>
      </w:r>
      <w:bookmarkEnd w:id="8"/>
    </w:p>
    <w:tbl>
      <w:tblPr>
        <w:tblStyle w:val="3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38"/>
        <w:gridCol w:w="8622"/>
      </w:tblGrid>
      <w:tr w14:paraId="617E07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79" w:hRule="atLeast"/>
          <w:jc w:val="center"/>
        </w:trPr>
        <w:tc>
          <w:tcPr>
            <w:tcW w:w="438" w:type="dxa"/>
            <w:vAlign w:val="center"/>
          </w:tcPr>
          <w:p w14:paraId="3FF232C1">
            <w:pPr>
              <w:pStyle w:val="29"/>
              <w:adjustRightInd w:val="0"/>
              <w:snapToGrid w:val="0"/>
              <w:spacing w:before="0" w:beforeAutospacing="0" w:after="0" w:afterAutospacing="0"/>
              <w:jc w:val="center"/>
              <w:rPr>
                <w:rFonts w:ascii="Times New Roman" w:hAnsi="Times New Roman" w:eastAsiaTheme="minorEastAsia"/>
                <w:color w:val="auto"/>
                <w:szCs w:val="24"/>
                <w:highlight w:val="none"/>
              </w:rPr>
            </w:pPr>
            <w:r>
              <w:rPr>
                <w:rFonts w:ascii="Times New Roman" w:hAnsiTheme="minorEastAsia" w:eastAsiaTheme="minorEastAsia"/>
                <w:color w:val="auto"/>
                <w:szCs w:val="24"/>
                <w:highlight w:val="none"/>
              </w:rPr>
              <w:t>建设内容</w:t>
            </w:r>
          </w:p>
        </w:tc>
        <w:tc>
          <w:tcPr>
            <w:tcW w:w="8622" w:type="dxa"/>
          </w:tcPr>
          <w:p w14:paraId="2AFB1EA9">
            <w:pPr>
              <w:topLinePunct/>
              <w:spacing w:line="560" w:lineRule="exact"/>
              <w:jc w:val="left"/>
              <w:textAlignment w:val="baseline"/>
              <w:rPr>
                <w:b/>
                <w:bCs/>
                <w:color w:val="auto"/>
                <w:sz w:val="24"/>
                <w:highlight w:val="none"/>
              </w:rPr>
            </w:pPr>
            <w:r>
              <w:rPr>
                <w:b/>
                <w:bCs/>
                <w:color w:val="auto"/>
                <w:sz w:val="24"/>
                <w:highlight w:val="none"/>
              </w:rPr>
              <w:t>1、项目由来</w:t>
            </w:r>
          </w:p>
          <w:p w14:paraId="5357D4B0">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color w:val="auto"/>
                <w:sz w:val="24"/>
                <w:highlight w:val="none"/>
              </w:rPr>
            </w:pPr>
            <w:r>
              <w:rPr>
                <w:rFonts w:hint="eastAsia" w:cs="Times New Roman"/>
                <w:b w:val="0"/>
                <w:bCs w:val="0"/>
                <w:color w:val="auto"/>
                <w:kern w:val="2"/>
                <w:sz w:val="24"/>
                <w:szCs w:val="24"/>
                <w:lang w:val="en-US" w:eastAsia="zh-CN" w:bidi="ar-SA"/>
              </w:rPr>
              <w:t>巴州启辰恒远新材料有限公司</w:t>
            </w:r>
            <w:r>
              <w:rPr>
                <w:rFonts w:hint="eastAsia"/>
                <w:bCs/>
                <w:color w:val="auto"/>
                <w:sz w:val="24"/>
                <w:highlight w:val="none"/>
              </w:rPr>
              <w:t>在</w:t>
            </w:r>
            <w:r>
              <w:rPr>
                <w:rFonts w:hint="eastAsia"/>
                <w:bCs/>
                <w:color w:val="auto"/>
                <w:sz w:val="24"/>
                <w:highlight w:val="none"/>
                <w:lang w:val="en-US" w:eastAsia="zh-CN"/>
              </w:rPr>
              <w:t>巴州和静</w:t>
            </w:r>
            <w:r>
              <w:rPr>
                <w:rFonts w:hint="eastAsia"/>
                <w:bCs/>
                <w:color w:val="auto"/>
                <w:sz w:val="24"/>
                <w:highlight w:val="none"/>
              </w:rPr>
              <w:t>县</w:t>
            </w:r>
            <w:r>
              <w:rPr>
                <w:rFonts w:hint="eastAsia"/>
                <w:bCs/>
                <w:color w:val="auto"/>
                <w:sz w:val="24"/>
                <w:highlight w:val="none"/>
                <w:lang w:val="en-US" w:eastAsia="zh-CN"/>
              </w:rPr>
              <w:t>和静</w:t>
            </w:r>
            <w:r>
              <w:rPr>
                <w:rFonts w:hint="eastAsia"/>
                <w:bCs/>
                <w:color w:val="auto"/>
                <w:sz w:val="24"/>
                <w:highlight w:val="none"/>
              </w:rPr>
              <w:t>工业园区租赁厂房生产</w:t>
            </w:r>
            <w:r>
              <w:rPr>
                <w:rFonts w:hint="eastAsia" w:ascii="Times New Roman" w:hAnsi="Times New Roman" w:eastAsia="宋体" w:cs="Times New Roman"/>
                <w:color w:val="auto"/>
                <w:kern w:val="2"/>
                <w:sz w:val="24"/>
                <w:szCs w:val="24"/>
                <w:lang w:val="en-US" w:eastAsia="zh-CN" w:bidi="ar-SA"/>
              </w:rPr>
              <w:t>塑料包装袋、农用贴片滴灌带</w:t>
            </w:r>
            <w:r>
              <w:rPr>
                <w:rFonts w:hint="eastAsia"/>
                <w:bCs/>
                <w:color w:val="auto"/>
                <w:sz w:val="24"/>
                <w:highlight w:val="none"/>
              </w:rPr>
              <w:t>，项目建成后年产 1000t 塑料包装袋、1000t 农用贴片滴灌带</w:t>
            </w:r>
            <w:r>
              <w:rPr>
                <w:rFonts w:hint="eastAsia"/>
                <w:bCs/>
                <w:color w:val="auto"/>
                <w:sz w:val="24"/>
                <w:highlight w:val="none"/>
                <w:lang w:val="en-US" w:eastAsia="zh-CN"/>
              </w:rPr>
              <w:t>。</w:t>
            </w:r>
            <w:r>
              <w:rPr>
                <w:rFonts w:hint="eastAsia"/>
                <w:snapToGrid w:val="0"/>
                <w:color w:val="auto"/>
                <w:kern w:val="0"/>
                <w:sz w:val="24"/>
                <w:highlight w:val="none"/>
              </w:rPr>
              <w:t>项目</w:t>
            </w:r>
            <w:r>
              <w:rPr>
                <w:rFonts w:hint="eastAsia"/>
                <w:color w:val="auto"/>
                <w:sz w:val="24"/>
                <w:highlight w:val="none"/>
              </w:rPr>
              <w:t>既能为周边生产加工企业的生产包装提供必要保障，又能获得利润收入，最终实现双方互利互赢的良好局面，并能为本地区的塑编行业起带头示范效应。</w:t>
            </w:r>
          </w:p>
          <w:p w14:paraId="5F6023D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color w:val="auto"/>
                <w:kern w:val="0"/>
                <w:sz w:val="24"/>
                <w:highlight w:val="none"/>
              </w:rPr>
            </w:pPr>
            <w:r>
              <w:rPr>
                <w:bCs/>
                <w:color w:val="auto"/>
                <w:sz w:val="24"/>
                <w:highlight w:val="none"/>
              </w:rPr>
              <w:t>根据《建设项目环境影响评价分类管理名录》（2021年版），本项目环境影响评价类别</w:t>
            </w:r>
            <w:r>
              <w:rPr>
                <w:rFonts w:hint="eastAsia"/>
                <w:bCs/>
                <w:color w:val="auto"/>
                <w:sz w:val="24"/>
                <w:highlight w:val="none"/>
              </w:rPr>
              <w:t>属于</w:t>
            </w:r>
            <w:r>
              <w:rPr>
                <w:rFonts w:hint="eastAsia"/>
                <w:color w:val="auto"/>
                <w:sz w:val="24"/>
                <w:highlight w:val="none"/>
              </w:rPr>
              <w:t>二十六、橡胶和塑料制品业29—53塑料制品业292</w:t>
            </w:r>
            <w:r>
              <w:rPr>
                <w:color w:val="auto"/>
                <w:sz w:val="24"/>
                <w:highlight w:val="none"/>
              </w:rPr>
              <w:t>—其它</w:t>
            </w:r>
            <w:r>
              <w:rPr>
                <w:bCs/>
                <w:color w:val="auto"/>
                <w:sz w:val="24"/>
                <w:highlight w:val="none"/>
              </w:rPr>
              <w:t>，应编制环境影响报告表。我公司受</w:t>
            </w:r>
            <w:r>
              <w:rPr>
                <w:rFonts w:hint="eastAsia" w:cs="Times New Roman"/>
                <w:b w:val="0"/>
                <w:bCs w:val="0"/>
                <w:color w:val="auto"/>
                <w:kern w:val="2"/>
                <w:sz w:val="24"/>
                <w:szCs w:val="24"/>
                <w:lang w:val="en-US" w:eastAsia="zh-CN" w:bidi="ar-SA"/>
              </w:rPr>
              <w:t>巴州启辰恒远新材料有限公司</w:t>
            </w:r>
            <w:r>
              <w:rPr>
                <w:bCs/>
                <w:color w:val="auto"/>
                <w:sz w:val="24"/>
                <w:highlight w:val="none"/>
              </w:rPr>
              <w:t>的委托，承担了该项目的环境影响评价工作。接受委托后，我公司立刻派人对项目现场进行踏勘，对评价区范围的自然环境、周边环境概况进行了调查，收集了当地相关的资料。在此基础上编制完成了《</w:t>
            </w:r>
            <w:r>
              <w:rPr>
                <w:rFonts w:hint="eastAsia"/>
                <w:bCs/>
                <w:color w:val="auto"/>
                <w:sz w:val="24"/>
                <w:highlight w:val="none"/>
              </w:rPr>
              <w:t>巴州启辰恒远新材料有限公司塑料制品建设项目</w:t>
            </w:r>
            <w:r>
              <w:rPr>
                <w:color w:val="auto"/>
                <w:sz w:val="24"/>
                <w:highlight w:val="none"/>
                <w:lang w:val="en-US" w:eastAsia="zh-CN"/>
              </w:rPr>
              <w:t>建设项目</w:t>
            </w:r>
            <w:r>
              <w:rPr>
                <w:bCs/>
                <w:color w:val="auto"/>
                <w:sz w:val="24"/>
                <w:highlight w:val="none"/>
              </w:rPr>
              <w:t>环境影响报告表》。现上报生态环境主管部门，审批后可作为企业做好环境保护工作和主管部门环境管理的科学依据。</w:t>
            </w:r>
          </w:p>
          <w:p w14:paraId="3339DC08">
            <w:pPr>
              <w:topLinePunct/>
              <w:spacing w:line="500" w:lineRule="exact"/>
              <w:textAlignment w:val="baseline"/>
              <w:rPr>
                <w:b/>
                <w:bCs/>
                <w:color w:val="auto"/>
                <w:sz w:val="24"/>
                <w:highlight w:val="none"/>
              </w:rPr>
            </w:pPr>
            <w:r>
              <w:rPr>
                <w:b/>
                <w:bCs/>
                <w:color w:val="auto"/>
                <w:sz w:val="24"/>
                <w:highlight w:val="none"/>
              </w:rPr>
              <w:t>2、本项目概况</w:t>
            </w:r>
          </w:p>
          <w:p w14:paraId="27778D2A">
            <w:pPr>
              <w:adjustRightInd w:val="0"/>
              <w:snapToGrid w:val="0"/>
              <w:spacing w:line="500" w:lineRule="exact"/>
              <w:ind w:firstLine="480" w:firstLineChars="200"/>
              <w:rPr>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1</w:t>
            </w:r>
            <w:r>
              <w:rPr>
                <w:rFonts w:hint="eastAsia"/>
                <w:color w:val="auto"/>
                <w:sz w:val="24"/>
                <w:highlight w:val="none"/>
                <w:lang w:eastAsia="zh-CN"/>
              </w:rPr>
              <w:t>）</w:t>
            </w:r>
            <w:r>
              <w:rPr>
                <w:color w:val="auto"/>
                <w:sz w:val="24"/>
                <w:highlight w:val="none"/>
              </w:rPr>
              <w:t>项目名称：</w:t>
            </w:r>
            <w:r>
              <w:rPr>
                <w:rFonts w:hint="eastAsia"/>
                <w:color w:val="auto"/>
                <w:sz w:val="24"/>
                <w:highlight w:val="none"/>
              </w:rPr>
              <w:t>巴州启辰恒远新材料有限公司塑料制品建设项目</w:t>
            </w:r>
          </w:p>
          <w:p w14:paraId="13125ED6">
            <w:pPr>
              <w:adjustRightInd w:val="0"/>
              <w:snapToGrid w:val="0"/>
              <w:spacing w:line="500" w:lineRule="exact"/>
              <w:ind w:firstLine="480" w:firstLineChars="200"/>
              <w:rPr>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2</w:t>
            </w:r>
            <w:r>
              <w:rPr>
                <w:rFonts w:hint="eastAsia"/>
                <w:color w:val="auto"/>
                <w:sz w:val="24"/>
                <w:highlight w:val="none"/>
                <w:lang w:eastAsia="zh-CN"/>
              </w:rPr>
              <w:t>）</w:t>
            </w:r>
            <w:r>
              <w:rPr>
                <w:color w:val="auto"/>
                <w:sz w:val="24"/>
                <w:highlight w:val="none"/>
              </w:rPr>
              <w:t>建设单位：</w:t>
            </w:r>
            <w:r>
              <w:rPr>
                <w:rFonts w:hint="eastAsia"/>
                <w:color w:val="auto"/>
                <w:sz w:val="24"/>
                <w:highlight w:val="none"/>
              </w:rPr>
              <w:t>巴州启辰恒远新材料有限公司</w:t>
            </w:r>
          </w:p>
          <w:p w14:paraId="6F3B10E5">
            <w:pPr>
              <w:autoSpaceDE w:val="0"/>
              <w:autoSpaceDN w:val="0"/>
              <w:adjustRightInd w:val="0"/>
              <w:spacing w:line="500" w:lineRule="exact"/>
              <w:ind w:firstLine="480" w:firstLineChars="200"/>
              <w:rPr>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3</w:t>
            </w:r>
            <w:r>
              <w:rPr>
                <w:rFonts w:hint="eastAsia"/>
                <w:color w:val="auto"/>
                <w:sz w:val="24"/>
                <w:highlight w:val="none"/>
                <w:lang w:eastAsia="zh-CN"/>
              </w:rPr>
              <w:t>）</w:t>
            </w:r>
            <w:r>
              <w:rPr>
                <w:color w:val="auto"/>
                <w:sz w:val="24"/>
                <w:highlight w:val="none"/>
              </w:rPr>
              <w:t>建设性质：</w:t>
            </w:r>
            <w:r>
              <w:rPr>
                <w:rFonts w:hint="eastAsia"/>
                <w:color w:val="auto"/>
                <w:sz w:val="24"/>
                <w:highlight w:val="none"/>
              </w:rPr>
              <w:t>新建</w:t>
            </w:r>
          </w:p>
          <w:p w14:paraId="00895D5A">
            <w:pPr>
              <w:adjustRightInd w:val="0"/>
              <w:snapToGrid w:val="0"/>
              <w:spacing w:line="500" w:lineRule="exact"/>
              <w:ind w:firstLine="480" w:firstLineChars="200"/>
              <w:rPr>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4</w:t>
            </w:r>
            <w:r>
              <w:rPr>
                <w:rFonts w:hint="eastAsia"/>
                <w:color w:val="auto"/>
                <w:sz w:val="24"/>
                <w:highlight w:val="none"/>
                <w:lang w:eastAsia="zh-CN"/>
              </w:rPr>
              <w:t>）</w:t>
            </w:r>
            <w:r>
              <w:rPr>
                <w:color w:val="auto"/>
                <w:sz w:val="24"/>
                <w:highlight w:val="none"/>
              </w:rPr>
              <w:t>项目投资：项目总投资</w:t>
            </w:r>
            <w:r>
              <w:rPr>
                <w:rFonts w:hint="eastAsia"/>
                <w:color w:val="auto"/>
                <w:sz w:val="24"/>
                <w:highlight w:val="none"/>
                <w:lang w:val="en-US" w:eastAsia="zh-CN"/>
              </w:rPr>
              <w:t>2</w:t>
            </w:r>
            <w:r>
              <w:rPr>
                <w:rFonts w:hint="eastAsia"/>
                <w:color w:val="auto"/>
                <w:sz w:val="24"/>
                <w:highlight w:val="none"/>
              </w:rPr>
              <w:t>00</w:t>
            </w:r>
            <w:r>
              <w:rPr>
                <w:color w:val="auto"/>
                <w:sz w:val="24"/>
                <w:highlight w:val="none"/>
              </w:rPr>
              <w:t>万元。</w:t>
            </w:r>
          </w:p>
          <w:p w14:paraId="3A44900C">
            <w:pPr>
              <w:adjustRightInd w:val="0"/>
              <w:snapToGrid w:val="0"/>
              <w:spacing w:line="500" w:lineRule="exact"/>
              <w:ind w:firstLine="480" w:firstLineChars="200"/>
              <w:rPr>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5</w:t>
            </w:r>
            <w:r>
              <w:rPr>
                <w:rFonts w:hint="eastAsia"/>
                <w:color w:val="auto"/>
                <w:sz w:val="24"/>
                <w:highlight w:val="none"/>
                <w:lang w:eastAsia="zh-CN"/>
              </w:rPr>
              <w:t>）</w:t>
            </w:r>
            <w:r>
              <w:rPr>
                <w:color w:val="auto"/>
                <w:sz w:val="24"/>
                <w:highlight w:val="none"/>
              </w:rPr>
              <w:t>劳动定员及工作制度：</w:t>
            </w:r>
            <w:r>
              <w:rPr>
                <w:rFonts w:hint="eastAsia"/>
                <w:color w:val="auto"/>
                <w:sz w:val="24"/>
                <w:highlight w:val="none"/>
              </w:rPr>
              <w:t>项目</w:t>
            </w:r>
            <w:r>
              <w:rPr>
                <w:color w:val="auto"/>
                <w:sz w:val="24"/>
                <w:highlight w:val="none"/>
              </w:rPr>
              <w:t>劳动定员</w:t>
            </w:r>
            <w:r>
              <w:rPr>
                <w:rFonts w:hint="eastAsia"/>
                <w:color w:val="auto"/>
                <w:sz w:val="24"/>
                <w:highlight w:val="none"/>
                <w:lang w:val="en-US" w:eastAsia="zh-CN"/>
              </w:rPr>
              <w:t>25</w:t>
            </w:r>
            <w:r>
              <w:rPr>
                <w:color w:val="auto"/>
                <w:sz w:val="24"/>
                <w:highlight w:val="none"/>
              </w:rPr>
              <w:t>人，</w:t>
            </w:r>
            <w:r>
              <w:rPr>
                <w:bCs/>
                <w:snapToGrid w:val="0"/>
                <w:color w:val="auto"/>
                <w:sz w:val="24"/>
                <w:highlight w:val="none"/>
              </w:rPr>
              <w:t>本项目年工作</w:t>
            </w:r>
            <w:r>
              <w:rPr>
                <w:rFonts w:hint="eastAsia"/>
                <w:bCs/>
                <w:snapToGrid w:val="0"/>
                <w:color w:val="auto"/>
                <w:sz w:val="24"/>
                <w:highlight w:val="none"/>
                <w:lang w:val="en-US" w:eastAsia="zh-CN"/>
              </w:rPr>
              <w:t>300</w:t>
            </w:r>
            <w:r>
              <w:rPr>
                <w:bCs/>
                <w:snapToGrid w:val="0"/>
                <w:color w:val="auto"/>
                <w:sz w:val="24"/>
                <w:highlight w:val="none"/>
              </w:rPr>
              <w:t>天。</w:t>
            </w:r>
          </w:p>
          <w:p w14:paraId="7DD3A9E0">
            <w:pPr>
              <w:adjustRightInd w:val="0"/>
              <w:snapToGrid w:val="0"/>
              <w:spacing w:line="500" w:lineRule="exact"/>
              <w:ind w:firstLine="480" w:firstLineChars="200"/>
              <w:rPr>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6</w:t>
            </w:r>
            <w:r>
              <w:rPr>
                <w:rFonts w:hint="eastAsia"/>
                <w:color w:val="auto"/>
                <w:sz w:val="24"/>
                <w:highlight w:val="none"/>
                <w:lang w:eastAsia="zh-CN"/>
              </w:rPr>
              <w:t>）</w:t>
            </w:r>
            <w:r>
              <w:rPr>
                <w:color w:val="auto"/>
                <w:sz w:val="24"/>
                <w:highlight w:val="none"/>
              </w:rPr>
              <w:t>建设地点：本项目位于</w:t>
            </w:r>
            <w:r>
              <w:rPr>
                <w:rFonts w:hint="eastAsia"/>
                <w:color w:val="auto"/>
                <w:sz w:val="24"/>
                <w:highlight w:val="none"/>
              </w:rPr>
              <w:t>新疆</w:t>
            </w:r>
            <w:r>
              <w:rPr>
                <w:rFonts w:hint="eastAsia"/>
                <w:color w:val="auto"/>
                <w:sz w:val="24"/>
                <w:highlight w:val="none"/>
                <w:lang w:val="en-US" w:eastAsia="zh-CN"/>
              </w:rPr>
              <w:t>巴州和静</w:t>
            </w:r>
            <w:r>
              <w:rPr>
                <w:rFonts w:hint="eastAsia"/>
                <w:color w:val="auto"/>
                <w:sz w:val="24"/>
                <w:highlight w:val="none"/>
              </w:rPr>
              <w:t>县</w:t>
            </w:r>
            <w:r>
              <w:rPr>
                <w:rFonts w:hint="eastAsia"/>
                <w:color w:val="auto"/>
                <w:sz w:val="24"/>
                <w:highlight w:val="none"/>
                <w:lang w:val="en-US" w:eastAsia="zh-CN"/>
              </w:rPr>
              <w:t>和静</w:t>
            </w:r>
            <w:r>
              <w:rPr>
                <w:rFonts w:hint="eastAsia"/>
                <w:color w:val="auto"/>
                <w:sz w:val="24"/>
                <w:highlight w:val="none"/>
              </w:rPr>
              <w:t>工业园区</w:t>
            </w:r>
            <w:r>
              <w:rPr>
                <w:rStyle w:val="50"/>
                <w:rFonts w:hint="eastAsia"/>
                <w:color w:val="auto"/>
                <w:sz w:val="24"/>
                <w:highlight w:val="none"/>
              </w:rPr>
              <w:t>，</w:t>
            </w:r>
            <w:r>
              <w:rPr>
                <w:rStyle w:val="50"/>
                <w:rFonts w:hint="eastAsia"/>
                <w:color w:val="auto"/>
                <w:sz w:val="24"/>
                <w:highlight w:val="none"/>
                <w:lang w:val="en-US" w:eastAsia="zh-CN"/>
              </w:rPr>
              <w:t>塑料包装袋加工厂房北侧、南</w:t>
            </w:r>
            <w:r>
              <w:rPr>
                <w:rFonts w:hint="eastAsia"/>
                <w:color w:val="auto"/>
                <w:sz w:val="24"/>
                <w:highlight w:val="none"/>
              </w:rPr>
              <w:t>侧</w:t>
            </w:r>
            <w:r>
              <w:rPr>
                <w:rFonts w:hint="eastAsia"/>
                <w:color w:val="auto"/>
                <w:sz w:val="24"/>
                <w:highlight w:val="none"/>
                <w:lang w:eastAsia="zh-CN"/>
              </w:rPr>
              <w:t>、</w:t>
            </w:r>
            <w:r>
              <w:rPr>
                <w:rFonts w:hint="eastAsia"/>
                <w:color w:val="auto"/>
                <w:sz w:val="24"/>
                <w:highlight w:val="none"/>
                <w:lang w:val="en-US" w:eastAsia="zh-CN"/>
              </w:rPr>
              <w:t>东</w:t>
            </w:r>
            <w:r>
              <w:rPr>
                <w:rFonts w:hint="eastAsia"/>
                <w:color w:val="auto"/>
                <w:sz w:val="24"/>
                <w:highlight w:val="none"/>
              </w:rPr>
              <w:t>侧</w:t>
            </w:r>
            <w:r>
              <w:rPr>
                <w:rFonts w:hint="eastAsia"/>
                <w:color w:val="auto"/>
                <w:sz w:val="24"/>
                <w:highlight w:val="none"/>
                <w:lang w:val="en-US" w:eastAsia="zh-CN"/>
              </w:rPr>
              <w:t>均</w:t>
            </w:r>
            <w:r>
              <w:rPr>
                <w:rFonts w:hint="eastAsia"/>
                <w:color w:val="auto"/>
                <w:sz w:val="24"/>
                <w:highlight w:val="none"/>
              </w:rPr>
              <w:t>为</w:t>
            </w:r>
            <w:r>
              <w:rPr>
                <w:rFonts w:hint="eastAsia"/>
                <w:color w:val="auto"/>
                <w:sz w:val="24"/>
                <w:highlight w:val="none"/>
                <w:lang w:val="en-US" w:eastAsia="zh-CN"/>
              </w:rPr>
              <w:t>空置的</w:t>
            </w:r>
            <w:r>
              <w:rPr>
                <w:rFonts w:hint="eastAsia"/>
                <w:color w:val="auto"/>
                <w:sz w:val="24"/>
                <w:highlight w:val="none"/>
              </w:rPr>
              <w:t>标准化厂房</w:t>
            </w:r>
            <w:r>
              <w:rPr>
                <w:rFonts w:hint="eastAsia"/>
                <w:color w:val="auto"/>
                <w:sz w:val="24"/>
                <w:highlight w:val="none"/>
                <w:lang w:eastAsia="zh-CN"/>
              </w:rPr>
              <w:t>，</w:t>
            </w:r>
            <w:r>
              <w:rPr>
                <w:rFonts w:hint="eastAsia"/>
                <w:color w:val="auto"/>
                <w:sz w:val="24"/>
                <w:highlight w:val="none"/>
                <w:lang w:val="en-US" w:eastAsia="zh-CN"/>
              </w:rPr>
              <w:t>西侧为园区道路及空地；</w:t>
            </w:r>
            <w:r>
              <w:rPr>
                <w:rStyle w:val="50"/>
                <w:rFonts w:hint="eastAsia"/>
                <w:color w:val="auto"/>
                <w:sz w:val="24"/>
                <w:highlight w:val="none"/>
                <w:lang w:val="en-US" w:eastAsia="zh-CN"/>
              </w:rPr>
              <w:t>农用贴片滴灌带加工厂房北侧、南</w:t>
            </w:r>
            <w:r>
              <w:rPr>
                <w:rFonts w:hint="eastAsia"/>
                <w:color w:val="auto"/>
                <w:sz w:val="24"/>
                <w:highlight w:val="none"/>
              </w:rPr>
              <w:t>侧</w:t>
            </w:r>
            <w:r>
              <w:rPr>
                <w:rFonts w:hint="eastAsia"/>
                <w:color w:val="auto"/>
                <w:sz w:val="24"/>
                <w:highlight w:val="none"/>
                <w:lang w:eastAsia="zh-CN"/>
              </w:rPr>
              <w:t>、</w:t>
            </w:r>
            <w:r>
              <w:rPr>
                <w:rFonts w:hint="eastAsia"/>
                <w:color w:val="auto"/>
                <w:sz w:val="24"/>
                <w:highlight w:val="none"/>
                <w:lang w:val="en-US" w:eastAsia="zh-CN"/>
              </w:rPr>
              <w:t>西</w:t>
            </w:r>
            <w:r>
              <w:rPr>
                <w:rFonts w:hint="eastAsia"/>
                <w:color w:val="auto"/>
                <w:sz w:val="24"/>
                <w:highlight w:val="none"/>
              </w:rPr>
              <w:t>侧</w:t>
            </w:r>
            <w:r>
              <w:rPr>
                <w:rFonts w:hint="eastAsia"/>
                <w:color w:val="auto"/>
                <w:sz w:val="24"/>
                <w:highlight w:val="none"/>
                <w:lang w:val="en-US" w:eastAsia="zh-CN"/>
              </w:rPr>
              <w:t>均</w:t>
            </w:r>
            <w:r>
              <w:rPr>
                <w:rFonts w:hint="eastAsia"/>
                <w:color w:val="auto"/>
                <w:sz w:val="24"/>
                <w:highlight w:val="none"/>
              </w:rPr>
              <w:t>为</w:t>
            </w:r>
            <w:r>
              <w:rPr>
                <w:rFonts w:hint="eastAsia"/>
                <w:color w:val="auto"/>
                <w:sz w:val="24"/>
                <w:highlight w:val="none"/>
                <w:lang w:val="en-US" w:eastAsia="zh-CN"/>
              </w:rPr>
              <w:t>空置的</w:t>
            </w:r>
            <w:r>
              <w:rPr>
                <w:rFonts w:hint="eastAsia"/>
                <w:color w:val="auto"/>
                <w:sz w:val="24"/>
                <w:highlight w:val="none"/>
              </w:rPr>
              <w:t>标准化厂房</w:t>
            </w:r>
            <w:r>
              <w:rPr>
                <w:rFonts w:hint="eastAsia"/>
                <w:color w:val="auto"/>
                <w:sz w:val="24"/>
                <w:highlight w:val="none"/>
                <w:lang w:eastAsia="zh-CN"/>
              </w:rPr>
              <w:t>，</w:t>
            </w:r>
            <w:r>
              <w:rPr>
                <w:rFonts w:hint="eastAsia"/>
                <w:color w:val="auto"/>
                <w:sz w:val="24"/>
                <w:highlight w:val="none"/>
                <w:lang w:val="en-US" w:eastAsia="zh-CN"/>
              </w:rPr>
              <w:t>东侧为园区道路及空地</w:t>
            </w:r>
            <w:r>
              <w:rPr>
                <w:color w:val="auto"/>
                <w:sz w:val="24"/>
                <w:highlight w:val="none"/>
              </w:rPr>
              <w:t>。项目区地势平坦，附近交通便利，外部环境优越。项目中心地理坐标：</w:t>
            </w:r>
            <w:r>
              <w:rPr>
                <w:rFonts w:hint="eastAsia"/>
                <w:color w:val="auto"/>
                <w:sz w:val="24"/>
                <w:highlight w:val="none"/>
                <w:lang w:eastAsia="zh-CN"/>
              </w:rPr>
              <w:t>塑料包装袋加工厂房</w:t>
            </w:r>
            <w:r>
              <w:rPr>
                <w:rFonts w:hint="eastAsia"/>
                <w:color w:val="auto"/>
                <w:sz w:val="24"/>
                <w:highlight w:val="none"/>
              </w:rPr>
              <w:t>中心坐标为东经86</w:t>
            </w:r>
            <w:r>
              <w:rPr>
                <w:color w:val="auto"/>
                <w:sz w:val="24"/>
                <w:highlight w:val="none"/>
              </w:rPr>
              <w:t>°</w:t>
            </w:r>
            <w:r>
              <w:rPr>
                <w:rFonts w:hint="eastAsia"/>
                <w:color w:val="auto"/>
                <w:sz w:val="24"/>
                <w:highlight w:val="none"/>
              </w:rPr>
              <w:t>13</w:t>
            </w:r>
            <w:r>
              <w:rPr>
                <w:color w:val="auto"/>
                <w:sz w:val="24"/>
                <w:highlight w:val="none"/>
              </w:rPr>
              <w:t>′</w:t>
            </w:r>
            <w:r>
              <w:rPr>
                <w:rFonts w:hint="eastAsia"/>
                <w:color w:val="auto"/>
                <w:sz w:val="24"/>
                <w:highlight w:val="none"/>
              </w:rPr>
              <w:t>20.206</w:t>
            </w:r>
            <w:r>
              <w:rPr>
                <w:color w:val="auto"/>
                <w:sz w:val="24"/>
                <w:highlight w:val="none"/>
              </w:rPr>
              <w:t>″</w:t>
            </w:r>
            <w:r>
              <w:rPr>
                <w:rFonts w:hint="eastAsia"/>
                <w:color w:val="auto"/>
                <w:sz w:val="24"/>
                <w:highlight w:val="none"/>
              </w:rPr>
              <w:t>，北纬42</w:t>
            </w:r>
            <w:r>
              <w:rPr>
                <w:color w:val="auto"/>
                <w:sz w:val="24"/>
                <w:highlight w:val="none"/>
              </w:rPr>
              <w:t>°</w:t>
            </w:r>
            <w:r>
              <w:rPr>
                <w:rFonts w:hint="eastAsia"/>
                <w:color w:val="auto"/>
                <w:sz w:val="24"/>
                <w:highlight w:val="none"/>
              </w:rPr>
              <w:t>19</w:t>
            </w:r>
            <w:r>
              <w:rPr>
                <w:color w:val="auto"/>
                <w:sz w:val="24"/>
                <w:highlight w:val="none"/>
              </w:rPr>
              <w:t>′</w:t>
            </w:r>
            <w:r>
              <w:rPr>
                <w:rFonts w:hint="eastAsia"/>
                <w:color w:val="auto"/>
                <w:sz w:val="24"/>
                <w:highlight w:val="none"/>
              </w:rPr>
              <w:t>9.827</w:t>
            </w:r>
            <w:r>
              <w:rPr>
                <w:color w:val="auto"/>
                <w:sz w:val="24"/>
                <w:highlight w:val="none"/>
              </w:rPr>
              <w:t>″</w:t>
            </w:r>
            <w:r>
              <w:rPr>
                <w:rFonts w:hint="eastAsia"/>
                <w:color w:val="auto"/>
                <w:sz w:val="24"/>
                <w:highlight w:val="none"/>
                <w:lang w:eastAsia="zh-CN"/>
              </w:rPr>
              <w:t>；农用贴片滴灌带加工厂房</w:t>
            </w:r>
            <w:r>
              <w:rPr>
                <w:rFonts w:hint="eastAsia"/>
                <w:color w:val="auto"/>
                <w:sz w:val="24"/>
                <w:highlight w:val="none"/>
              </w:rPr>
              <w:t>中心坐标为东经86</w:t>
            </w:r>
            <w:r>
              <w:rPr>
                <w:color w:val="auto"/>
                <w:sz w:val="24"/>
                <w:highlight w:val="none"/>
              </w:rPr>
              <w:t>°</w:t>
            </w:r>
            <w:r>
              <w:rPr>
                <w:rFonts w:hint="eastAsia"/>
                <w:color w:val="auto"/>
                <w:sz w:val="24"/>
                <w:highlight w:val="none"/>
              </w:rPr>
              <w:t>13</w:t>
            </w:r>
            <w:r>
              <w:rPr>
                <w:color w:val="auto"/>
                <w:sz w:val="24"/>
                <w:highlight w:val="none"/>
              </w:rPr>
              <w:t>′</w:t>
            </w:r>
            <w:r>
              <w:rPr>
                <w:rFonts w:hint="eastAsia"/>
                <w:color w:val="auto"/>
                <w:sz w:val="24"/>
                <w:highlight w:val="none"/>
              </w:rPr>
              <w:t>25.729</w:t>
            </w:r>
            <w:r>
              <w:rPr>
                <w:color w:val="auto"/>
                <w:sz w:val="24"/>
                <w:highlight w:val="none"/>
              </w:rPr>
              <w:t>″</w:t>
            </w:r>
            <w:r>
              <w:rPr>
                <w:rFonts w:hint="eastAsia"/>
                <w:color w:val="auto"/>
                <w:sz w:val="24"/>
                <w:highlight w:val="none"/>
              </w:rPr>
              <w:t>，北纬42</w:t>
            </w:r>
            <w:r>
              <w:rPr>
                <w:color w:val="auto"/>
                <w:sz w:val="24"/>
                <w:highlight w:val="none"/>
              </w:rPr>
              <w:t>°</w:t>
            </w:r>
            <w:r>
              <w:rPr>
                <w:rFonts w:hint="eastAsia"/>
                <w:color w:val="auto"/>
                <w:sz w:val="24"/>
                <w:highlight w:val="none"/>
              </w:rPr>
              <w:t>19</w:t>
            </w:r>
            <w:r>
              <w:rPr>
                <w:color w:val="auto"/>
                <w:sz w:val="24"/>
                <w:highlight w:val="none"/>
              </w:rPr>
              <w:t>′</w:t>
            </w:r>
            <w:r>
              <w:rPr>
                <w:rFonts w:hint="eastAsia"/>
                <w:color w:val="auto"/>
                <w:sz w:val="24"/>
                <w:highlight w:val="none"/>
              </w:rPr>
              <w:t>9.441</w:t>
            </w:r>
            <w:r>
              <w:rPr>
                <w:color w:val="auto"/>
                <w:sz w:val="24"/>
                <w:highlight w:val="none"/>
              </w:rPr>
              <w:t>″。项目地理位置图见附图</w:t>
            </w:r>
            <w:r>
              <w:rPr>
                <w:rFonts w:hint="eastAsia"/>
                <w:color w:val="auto"/>
                <w:sz w:val="24"/>
                <w:highlight w:val="none"/>
                <w:lang w:val="en-US" w:eastAsia="zh-CN"/>
              </w:rPr>
              <w:t>1，项目与周边关系图见附图2</w:t>
            </w:r>
            <w:r>
              <w:rPr>
                <w:color w:val="auto"/>
                <w:sz w:val="24"/>
                <w:highlight w:val="none"/>
              </w:rPr>
              <w:t>。</w:t>
            </w:r>
          </w:p>
          <w:p w14:paraId="325399D9">
            <w:pPr>
              <w:topLinePunct/>
              <w:spacing w:line="500" w:lineRule="exact"/>
              <w:jc w:val="left"/>
              <w:textAlignment w:val="baseline"/>
              <w:rPr>
                <w:b/>
                <w:bCs/>
                <w:color w:val="auto"/>
                <w:sz w:val="24"/>
                <w:highlight w:val="none"/>
              </w:rPr>
            </w:pPr>
            <w:r>
              <w:rPr>
                <w:b/>
                <w:bCs/>
                <w:color w:val="auto"/>
                <w:sz w:val="24"/>
                <w:highlight w:val="none"/>
              </w:rPr>
              <w:t>3、项目组成</w:t>
            </w:r>
          </w:p>
          <w:p w14:paraId="507EF1EC">
            <w:pPr>
              <w:adjustRightInd w:val="0"/>
              <w:snapToGrid w:val="0"/>
              <w:spacing w:line="500" w:lineRule="exact"/>
              <w:ind w:firstLine="480" w:firstLineChars="200"/>
              <w:rPr>
                <w:rFonts w:hint="eastAsia"/>
                <w:color w:val="auto"/>
                <w:sz w:val="24"/>
                <w:highlight w:val="none"/>
                <w:lang w:val="en-US" w:eastAsia="zh-CN"/>
              </w:rPr>
            </w:pPr>
            <w:r>
              <w:rPr>
                <w:rFonts w:hint="eastAsia"/>
                <w:color w:val="auto"/>
                <w:sz w:val="24"/>
                <w:highlight w:val="none"/>
                <w:lang w:val="zh-CN" w:eastAsia="zh-CN"/>
              </w:rPr>
              <w:t>本项目租赁和静工业园区额勒再特片区</w:t>
            </w:r>
            <w:r>
              <w:rPr>
                <w:rFonts w:hint="eastAsia"/>
                <w:color w:val="auto"/>
                <w:sz w:val="24"/>
                <w:highlight w:val="none"/>
                <w:lang w:val="en-US" w:eastAsia="zh-CN"/>
              </w:rPr>
              <w:t>7#、23#</w:t>
            </w:r>
            <w:r>
              <w:rPr>
                <w:rFonts w:hint="eastAsia"/>
                <w:color w:val="auto"/>
                <w:sz w:val="24"/>
                <w:highlight w:val="none"/>
                <w:lang w:val="zh-CN" w:eastAsia="zh-CN"/>
              </w:rPr>
              <w:t>已建成</w:t>
            </w:r>
            <w:r>
              <w:rPr>
                <w:rFonts w:hint="eastAsia"/>
                <w:color w:val="auto"/>
                <w:sz w:val="24"/>
                <w:highlight w:val="none"/>
                <w:lang w:val="en-US" w:eastAsia="zh-CN"/>
              </w:rPr>
              <w:t>的标准化</w:t>
            </w:r>
            <w:r>
              <w:rPr>
                <w:rFonts w:hint="eastAsia"/>
                <w:color w:val="auto"/>
                <w:sz w:val="24"/>
                <w:highlight w:val="none"/>
                <w:lang w:val="zh-CN" w:eastAsia="zh-CN"/>
              </w:rPr>
              <w:t>厂房</w:t>
            </w:r>
            <w:r>
              <w:rPr>
                <w:rFonts w:hint="eastAsia"/>
                <w:color w:val="auto"/>
                <w:sz w:val="24"/>
                <w:highlight w:val="none"/>
                <w:lang w:val="en-US" w:eastAsia="zh-CN"/>
              </w:rPr>
              <w:t>，7#塑料包装袋加工厂房占地面积1346m</w:t>
            </w:r>
            <w:r>
              <w:rPr>
                <w:rFonts w:hint="eastAsia"/>
                <w:color w:val="auto"/>
                <w:sz w:val="24"/>
                <w:highlight w:val="none"/>
                <w:vertAlign w:val="superscript"/>
                <w:lang w:val="en-US" w:eastAsia="zh-CN"/>
              </w:rPr>
              <w:t>2</w:t>
            </w:r>
            <w:r>
              <w:rPr>
                <w:rFonts w:hint="eastAsia"/>
                <w:color w:val="auto"/>
                <w:sz w:val="24"/>
                <w:highlight w:val="none"/>
                <w:lang w:val="en-US" w:eastAsia="zh-CN"/>
              </w:rPr>
              <w:t>，23#农用贴片滴灌带加工厂房占地面积2364m</w:t>
            </w:r>
            <w:r>
              <w:rPr>
                <w:rFonts w:hint="eastAsia"/>
                <w:color w:val="auto"/>
                <w:sz w:val="24"/>
                <w:highlight w:val="none"/>
                <w:vertAlign w:val="superscript"/>
                <w:lang w:val="en-US" w:eastAsia="zh-CN"/>
              </w:rPr>
              <w:t>2</w:t>
            </w:r>
            <w:r>
              <w:rPr>
                <w:rFonts w:hint="eastAsia"/>
                <w:color w:val="auto"/>
                <w:sz w:val="24"/>
                <w:highlight w:val="none"/>
                <w:lang w:val="en-US" w:eastAsia="zh-CN"/>
              </w:rPr>
              <w:t>，每个厂房内设置分区，将厂房分成3部分，分别为原料堆放区、生产区、成品堆放区。在塑料包装袋加工厂房生产区内设置6条塑料包装袋生产线，在农用贴片滴灌带加工厂房生产区内设置4条农用贴片滴灌带生产线，项目分两期建设，一期建设2条塑料包装袋生产线、2条农用贴片滴灌带生产线，二期建设4条塑料包装袋生产线、2条农用贴片滴灌带生产线。项目全部建成后年产1000t厚度为0.18-0.25mm的可降解塑料包装袋、1000t厚度为0.20mm的农用贴片滴灌带。</w:t>
            </w:r>
          </w:p>
          <w:p w14:paraId="4CEAE9E4">
            <w:pPr>
              <w:spacing w:line="500" w:lineRule="exact"/>
              <w:ind w:firstLine="476" w:firstLineChars="200"/>
              <w:rPr>
                <w:color w:val="auto"/>
                <w:sz w:val="24"/>
                <w:highlight w:val="none"/>
              </w:rPr>
            </w:pPr>
            <w:r>
              <w:rPr>
                <w:color w:val="auto"/>
                <w:spacing w:val="-1"/>
                <w:sz w:val="24"/>
                <w:highlight w:val="none"/>
              </w:rPr>
              <w:t>项目组成内容一</w:t>
            </w:r>
            <w:r>
              <w:rPr>
                <w:color w:val="auto"/>
                <w:spacing w:val="-8"/>
                <w:sz w:val="24"/>
                <w:highlight w:val="none"/>
              </w:rPr>
              <w:t>览表</w:t>
            </w:r>
            <w:r>
              <w:rPr>
                <w:color w:val="auto"/>
                <w:sz w:val="24"/>
                <w:highlight w:val="none"/>
              </w:rPr>
              <w:t>见表</w:t>
            </w:r>
            <w:r>
              <w:rPr>
                <w:rFonts w:hint="eastAsia"/>
                <w:color w:val="auto"/>
                <w:sz w:val="24"/>
                <w:highlight w:val="none"/>
              </w:rPr>
              <w:t>2</w:t>
            </w:r>
            <w:r>
              <w:rPr>
                <w:rFonts w:hint="eastAsia"/>
                <w:color w:val="auto"/>
                <w:sz w:val="24"/>
                <w:highlight w:val="none"/>
                <w:lang w:val="en-US" w:eastAsia="zh-CN"/>
              </w:rPr>
              <w:t>-1</w:t>
            </w:r>
            <w:r>
              <w:rPr>
                <w:color w:val="auto"/>
                <w:sz w:val="24"/>
                <w:highlight w:val="none"/>
              </w:rPr>
              <w:t>。</w:t>
            </w:r>
          </w:p>
          <w:p w14:paraId="114A08D9">
            <w:pPr>
              <w:spacing w:line="500" w:lineRule="exact"/>
              <w:jc w:val="center"/>
              <w:rPr>
                <w:b/>
                <w:bCs/>
                <w:color w:val="auto"/>
                <w:szCs w:val="21"/>
                <w:highlight w:val="none"/>
              </w:rPr>
            </w:pPr>
            <w:r>
              <w:rPr>
                <w:b/>
                <w:bCs/>
                <w:color w:val="auto"/>
                <w:szCs w:val="21"/>
                <w:highlight w:val="none"/>
              </w:rPr>
              <w:t>表</w:t>
            </w:r>
            <w:r>
              <w:rPr>
                <w:rFonts w:hint="eastAsia"/>
                <w:b/>
                <w:bCs/>
                <w:color w:val="auto"/>
                <w:szCs w:val="21"/>
                <w:highlight w:val="none"/>
              </w:rPr>
              <w:t>2</w:t>
            </w:r>
            <w:r>
              <w:rPr>
                <w:rFonts w:hint="eastAsia"/>
                <w:b/>
                <w:bCs/>
                <w:color w:val="auto"/>
                <w:szCs w:val="21"/>
                <w:highlight w:val="none"/>
                <w:lang w:val="en-US" w:eastAsia="zh-CN"/>
              </w:rPr>
              <w:t>-1</w:t>
            </w:r>
            <w:r>
              <w:rPr>
                <w:b/>
                <w:bCs/>
                <w:color w:val="auto"/>
                <w:szCs w:val="21"/>
                <w:highlight w:val="none"/>
              </w:rPr>
              <w:t xml:space="preserve">        项目组成一览表</w:t>
            </w:r>
          </w:p>
          <w:tbl>
            <w:tblPr>
              <w:tblStyle w:val="34"/>
              <w:tblW w:w="4998"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38"/>
              <w:gridCol w:w="680"/>
              <w:gridCol w:w="851"/>
              <w:gridCol w:w="5534"/>
              <w:gridCol w:w="690"/>
            </w:tblGrid>
            <w:tr w14:paraId="27E290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454" w:hRule="atLeast"/>
              </w:trPr>
              <w:tc>
                <w:tcPr>
                  <w:tcW w:w="380" w:type="pct"/>
                  <w:tcBorders>
                    <w:bottom w:val="single" w:color="auto" w:sz="4" w:space="0"/>
                    <w:right w:val="single" w:color="auto" w:sz="4" w:space="0"/>
                  </w:tcBorders>
                  <w:vAlign w:val="center"/>
                </w:tcPr>
                <w:p w14:paraId="7D1DC0DD">
                  <w:pPr>
                    <w:overflowPunct w:val="0"/>
                    <w:adjustRightInd w:val="0"/>
                    <w:snapToGrid w:val="0"/>
                    <w:spacing w:line="270" w:lineRule="exact"/>
                    <w:ind w:left="-53" w:leftChars="-25" w:right="-53" w:rightChars="-25"/>
                    <w:rPr>
                      <w:rFonts w:eastAsiaTheme="minorEastAsia"/>
                      <w:b/>
                      <w:bCs/>
                      <w:color w:val="auto"/>
                      <w:szCs w:val="21"/>
                      <w:highlight w:val="none"/>
                    </w:rPr>
                  </w:pPr>
                  <w:r>
                    <w:rPr>
                      <w:rFonts w:hAnsiTheme="minorEastAsia" w:eastAsiaTheme="minorEastAsia"/>
                      <w:b/>
                      <w:bCs/>
                      <w:color w:val="auto"/>
                      <w:szCs w:val="21"/>
                      <w:highlight w:val="none"/>
                    </w:rPr>
                    <w:t>序号</w:t>
                  </w:r>
                </w:p>
              </w:tc>
              <w:tc>
                <w:tcPr>
                  <w:tcW w:w="405" w:type="pct"/>
                  <w:tcBorders>
                    <w:left w:val="single" w:color="auto" w:sz="4" w:space="0"/>
                    <w:bottom w:val="single" w:color="auto" w:sz="4" w:space="0"/>
                    <w:right w:val="single" w:color="auto" w:sz="4" w:space="0"/>
                  </w:tcBorders>
                  <w:vAlign w:val="center"/>
                </w:tcPr>
                <w:p w14:paraId="392DFF9F">
                  <w:pPr>
                    <w:overflowPunct w:val="0"/>
                    <w:adjustRightInd w:val="0"/>
                    <w:snapToGrid w:val="0"/>
                    <w:spacing w:line="270" w:lineRule="exact"/>
                    <w:ind w:left="-53" w:leftChars="-25" w:right="-53" w:rightChars="-25"/>
                    <w:jc w:val="center"/>
                    <w:rPr>
                      <w:rFonts w:eastAsiaTheme="minorEastAsia"/>
                      <w:b/>
                      <w:bCs/>
                      <w:color w:val="auto"/>
                      <w:szCs w:val="21"/>
                      <w:highlight w:val="none"/>
                    </w:rPr>
                  </w:pPr>
                  <w:r>
                    <w:rPr>
                      <w:rFonts w:hAnsiTheme="minorEastAsia" w:eastAsiaTheme="minorEastAsia"/>
                      <w:b/>
                      <w:bCs/>
                      <w:color w:val="auto"/>
                      <w:szCs w:val="21"/>
                      <w:highlight w:val="none"/>
                    </w:rPr>
                    <w:t>工程类别</w:t>
                  </w:r>
                </w:p>
              </w:tc>
              <w:tc>
                <w:tcPr>
                  <w:tcW w:w="507" w:type="pct"/>
                  <w:tcBorders>
                    <w:left w:val="single" w:color="auto" w:sz="4" w:space="0"/>
                    <w:bottom w:val="single" w:color="auto" w:sz="4" w:space="0"/>
                    <w:right w:val="single" w:color="auto" w:sz="4" w:space="0"/>
                  </w:tcBorders>
                  <w:vAlign w:val="center"/>
                </w:tcPr>
                <w:p w14:paraId="69839BD3">
                  <w:pPr>
                    <w:overflowPunct w:val="0"/>
                    <w:adjustRightInd w:val="0"/>
                    <w:snapToGrid w:val="0"/>
                    <w:spacing w:line="270" w:lineRule="exact"/>
                    <w:ind w:left="-53" w:leftChars="-25" w:right="-53" w:rightChars="-25"/>
                    <w:jc w:val="center"/>
                    <w:rPr>
                      <w:rFonts w:eastAsiaTheme="minorEastAsia"/>
                      <w:b/>
                      <w:bCs/>
                      <w:color w:val="auto"/>
                      <w:szCs w:val="21"/>
                      <w:highlight w:val="none"/>
                    </w:rPr>
                  </w:pPr>
                  <w:r>
                    <w:rPr>
                      <w:rFonts w:hAnsiTheme="minorEastAsia" w:eastAsiaTheme="minorEastAsia"/>
                      <w:b/>
                      <w:bCs/>
                      <w:color w:val="auto"/>
                      <w:szCs w:val="21"/>
                      <w:highlight w:val="none"/>
                    </w:rPr>
                    <w:t>建设</w:t>
                  </w:r>
                </w:p>
                <w:p w14:paraId="572FD79A">
                  <w:pPr>
                    <w:overflowPunct w:val="0"/>
                    <w:adjustRightInd w:val="0"/>
                    <w:snapToGrid w:val="0"/>
                    <w:spacing w:line="270" w:lineRule="exact"/>
                    <w:ind w:left="-53" w:leftChars="-25" w:right="-53" w:rightChars="-25"/>
                    <w:jc w:val="center"/>
                    <w:rPr>
                      <w:rFonts w:eastAsiaTheme="minorEastAsia"/>
                      <w:b/>
                      <w:bCs/>
                      <w:color w:val="auto"/>
                      <w:szCs w:val="21"/>
                      <w:highlight w:val="none"/>
                    </w:rPr>
                  </w:pPr>
                  <w:r>
                    <w:rPr>
                      <w:rFonts w:hAnsiTheme="minorEastAsia" w:eastAsiaTheme="minorEastAsia"/>
                      <w:b/>
                      <w:bCs/>
                      <w:color w:val="auto"/>
                      <w:szCs w:val="21"/>
                      <w:highlight w:val="none"/>
                    </w:rPr>
                    <w:t>内容</w:t>
                  </w:r>
                </w:p>
              </w:tc>
              <w:tc>
                <w:tcPr>
                  <w:tcW w:w="3296" w:type="pct"/>
                  <w:tcBorders>
                    <w:left w:val="single" w:color="auto" w:sz="4" w:space="0"/>
                    <w:bottom w:val="single" w:color="auto" w:sz="4" w:space="0"/>
                    <w:right w:val="single" w:color="auto" w:sz="4" w:space="0"/>
                  </w:tcBorders>
                  <w:vAlign w:val="center"/>
                </w:tcPr>
                <w:p w14:paraId="6234D0E6">
                  <w:pPr>
                    <w:overflowPunct w:val="0"/>
                    <w:adjustRightInd w:val="0"/>
                    <w:snapToGrid w:val="0"/>
                    <w:spacing w:line="270" w:lineRule="exact"/>
                    <w:ind w:left="-53" w:leftChars="-25" w:right="-53" w:rightChars="-25"/>
                    <w:jc w:val="center"/>
                    <w:rPr>
                      <w:rFonts w:eastAsiaTheme="minorEastAsia"/>
                      <w:b/>
                      <w:bCs/>
                      <w:color w:val="auto"/>
                      <w:szCs w:val="21"/>
                      <w:highlight w:val="none"/>
                    </w:rPr>
                  </w:pPr>
                  <w:r>
                    <w:rPr>
                      <w:rFonts w:hAnsiTheme="minorEastAsia" w:eastAsiaTheme="minorEastAsia"/>
                      <w:b/>
                      <w:bCs/>
                      <w:color w:val="auto"/>
                      <w:szCs w:val="21"/>
                      <w:highlight w:val="none"/>
                    </w:rPr>
                    <w:t>规模</w:t>
                  </w:r>
                </w:p>
              </w:tc>
              <w:tc>
                <w:tcPr>
                  <w:tcW w:w="411" w:type="pct"/>
                  <w:tcBorders>
                    <w:left w:val="single" w:color="auto" w:sz="4" w:space="0"/>
                    <w:bottom w:val="single" w:color="auto" w:sz="4" w:space="0"/>
                  </w:tcBorders>
                  <w:vAlign w:val="center"/>
                </w:tcPr>
                <w:p w14:paraId="5C56C133">
                  <w:pPr>
                    <w:overflowPunct w:val="0"/>
                    <w:adjustRightInd w:val="0"/>
                    <w:snapToGrid w:val="0"/>
                    <w:spacing w:line="270" w:lineRule="exact"/>
                    <w:ind w:left="-53" w:leftChars="-25" w:right="-53" w:rightChars="-25"/>
                    <w:jc w:val="center"/>
                    <w:rPr>
                      <w:rFonts w:eastAsiaTheme="minorEastAsia"/>
                      <w:b/>
                      <w:bCs/>
                      <w:color w:val="auto"/>
                      <w:szCs w:val="21"/>
                      <w:highlight w:val="none"/>
                    </w:rPr>
                  </w:pPr>
                  <w:r>
                    <w:rPr>
                      <w:rFonts w:hAnsiTheme="minorEastAsia" w:eastAsiaTheme="minorEastAsia"/>
                      <w:b/>
                      <w:bCs/>
                      <w:color w:val="auto"/>
                      <w:szCs w:val="21"/>
                      <w:highlight w:val="none"/>
                    </w:rPr>
                    <w:t>备注</w:t>
                  </w:r>
                </w:p>
              </w:tc>
            </w:tr>
            <w:tr w14:paraId="2DA68C2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0" w:type="pct"/>
                  <w:tcBorders>
                    <w:top w:val="single" w:color="auto" w:sz="4" w:space="0"/>
                    <w:bottom w:val="single" w:color="auto" w:sz="4" w:space="0"/>
                    <w:right w:val="single" w:color="auto" w:sz="4" w:space="0"/>
                  </w:tcBorders>
                  <w:vAlign w:val="center"/>
                </w:tcPr>
                <w:p w14:paraId="16B0B3B3">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eastAsiaTheme="minorEastAsia"/>
                      <w:color w:val="auto"/>
                      <w:szCs w:val="21"/>
                      <w:highlight w:val="none"/>
                    </w:rPr>
                    <w:t>1</w:t>
                  </w:r>
                </w:p>
              </w:tc>
              <w:tc>
                <w:tcPr>
                  <w:tcW w:w="405" w:type="pct"/>
                  <w:tcBorders>
                    <w:top w:val="single" w:color="auto" w:sz="4" w:space="0"/>
                    <w:left w:val="single" w:color="auto" w:sz="4" w:space="0"/>
                    <w:bottom w:val="single" w:color="auto" w:sz="4" w:space="0"/>
                    <w:right w:val="single" w:color="auto" w:sz="4" w:space="0"/>
                  </w:tcBorders>
                  <w:vAlign w:val="center"/>
                </w:tcPr>
                <w:p w14:paraId="367132BA">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hAnsiTheme="minorEastAsia" w:eastAsiaTheme="minorEastAsia"/>
                      <w:color w:val="auto"/>
                      <w:szCs w:val="21"/>
                      <w:highlight w:val="none"/>
                    </w:rPr>
                    <w:t>主体工程</w:t>
                  </w:r>
                </w:p>
              </w:tc>
              <w:tc>
                <w:tcPr>
                  <w:tcW w:w="507" w:type="pct"/>
                  <w:tcBorders>
                    <w:top w:val="single" w:color="auto" w:sz="4" w:space="0"/>
                    <w:left w:val="single" w:color="auto" w:sz="4" w:space="0"/>
                    <w:bottom w:val="single" w:color="auto" w:sz="4" w:space="0"/>
                    <w:right w:val="single" w:color="auto" w:sz="4" w:space="0"/>
                  </w:tcBorders>
                  <w:vAlign w:val="center"/>
                </w:tcPr>
                <w:p w14:paraId="77AE21D7">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hAnsiTheme="minorEastAsia" w:eastAsiaTheme="minorEastAsia"/>
                      <w:color w:val="auto"/>
                      <w:szCs w:val="21"/>
                      <w:highlight w:val="none"/>
                    </w:rPr>
                    <w:t>生产</w:t>
                  </w:r>
                </w:p>
                <w:p w14:paraId="2A229D0D">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hAnsiTheme="minorEastAsia" w:eastAsiaTheme="minorEastAsia"/>
                      <w:color w:val="auto"/>
                      <w:szCs w:val="21"/>
                      <w:highlight w:val="none"/>
                    </w:rPr>
                    <w:t>区</w:t>
                  </w:r>
                </w:p>
              </w:tc>
              <w:tc>
                <w:tcPr>
                  <w:tcW w:w="3296" w:type="pct"/>
                  <w:tcBorders>
                    <w:top w:val="single" w:color="auto" w:sz="4" w:space="0"/>
                    <w:left w:val="single" w:color="auto" w:sz="4" w:space="0"/>
                    <w:bottom w:val="single" w:color="auto" w:sz="4" w:space="0"/>
                    <w:right w:val="single" w:color="auto" w:sz="4" w:space="0"/>
                  </w:tcBorders>
                  <w:vAlign w:val="center"/>
                </w:tcPr>
                <w:p w14:paraId="1B3E6F15">
                  <w:pPr>
                    <w:overflowPunct w:val="0"/>
                    <w:adjustRightInd w:val="0"/>
                    <w:snapToGrid w:val="0"/>
                    <w:spacing w:line="270" w:lineRule="exact"/>
                    <w:ind w:left="-53" w:leftChars="-25" w:right="-53" w:rightChars="-25"/>
                    <w:rPr>
                      <w:rFonts w:hint="eastAsia" w:hAnsiTheme="minorEastAsia" w:eastAsiaTheme="minorEastAsia"/>
                      <w:color w:val="auto"/>
                      <w:spacing w:val="-5"/>
                      <w:szCs w:val="21"/>
                      <w:highlight w:val="none"/>
                      <w:lang w:val="en-US" w:eastAsia="zh-CN"/>
                    </w:rPr>
                  </w:pPr>
                  <w:r>
                    <w:rPr>
                      <w:rFonts w:hint="eastAsia" w:hAnsiTheme="minorEastAsia" w:eastAsiaTheme="minorEastAsia"/>
                      <w:color w:val="auto"/>
                      <w:spacing w:val="-5"/>
                      <w:szCs w:val="21"/>
                      <w:highlight w:val="none"/>
                      <w:lang w:val="en-US" w:eastAsia="zh-CN"/>
                    </w:rPr>
                    <w:t>塑料包装袋加工厂房生产区内设置6条塑料包装袋生产线；</w:t>
                  </w:r>
                </w:p>
                <w:p w14:paraId="5745FF70">
                  <w:pPr>
                    <w:overflowPunct w:val="0"/>
                    <w:adjustRightInd w:val="0"/>
                    <w:snapToGrid w:val="0"/>
                    <w:spacing w:line="270" w:lineRule="exact"/>
                    <w:ind w:left="-53" w:leftChars="-25" w:right="-53" w:rightChars="-25"/>
                    <w:rPr>
                      <w:rFonts w:eastAsiaTheme="minorEastAsia"/>
                      <w:color w:val="auto"/>
                      <w:spacing w:val="-5"/>
                      <w:szCs w:val="21"/>
                      <w:highlight w:val="none"/>
                    </w:rPr>
                  </w:pPr>
                  <w:r>
                    <w:rPr>
                      <w:rFonts w:hint="eastAsia" w:hAnsiTheme="minorEastAsia" w:eastAsiaTheme="minorEastAsia"/>
                      <w:color w:val="auto"/>
                      <w:spacing w:val="-5"/>
                      <w:szCs w:val="21"/>
                      <w:highlight w:val="none"/>
                      <w:lang w:val="en-US" w:eastAsia="zh-CN"/>
                    </w:rPr>
                    <w:t>农用贴片滴灌带加工厂房生产区内设置4条农用贴片滴灌带生产线。</w:t>
                  </w:r>
                </w:p>
              </w:tc>
              <w:tc>
                <w:tcPr>
                  <w:tcW w:w="411" w:type="pct"/>
                  <w:tcBorders>
                    <w:top w:val="single" w:color="auto" w:sz="4" w:space="0"/>
                    <w:left w:val="single" w:color="auto" w:sz="4" w:space="0"/>
                    <w:bottom w:val="single" w:color="auto" w:sz="4" w:space="0"/>
                  </w:tcBorders>
                  <w:vAlign w:val="center"/>
                </w:tcPr>
                <w:p w14:paraId="71196BFF">
                  <w:pPr>
                    <w:overflowPunct w:val="0"/>
                    <w:adjustRightInd w:val="0"/>
                    <w:snapToGrid w:val="0"/>
                    <w:spacing w:line="270" w:lineRule="exact"/>
                    <w:ind w:left="-53" w:leftChars="-25" w:right="-53" w:rightChars="-25"/>
                    <w:jc w:val="center"/>
                    <w:rPr>
                      <w:rFonts w:hint="eastAsia" w:eastAsiaTheme="minorEastAsia"/>
                      <w:color w:val="auto"/>
                      <w:szCs w:val="21"/>
                      <w:highlight w:val="none"/>
                      <w:lang w:eastAsia="zh-CN"/>
                    </w:rPr>
                  </w:pPr>
                  <w:r>
                    <w:rPr>
                      <w:rFonts w:hint="eastAsia" w:hAnsiTheme="minorEastAsia" w:eastAsiaTheme="minorEastAsia"/>
                      <w:color w:val="auto"/>
                      <w:szCs w:val="21"/>
                      <w:highlight w:val="none"/>
                      <w:lang w:val="en-US" w:eastAsia="zh-CN"/>
                    </w:rPr>
                    <w:t>厂房租赁</w:t>
                  </w:r>
                </w:p>
              </w:tc>
            </w:tr>
            <w:tr w14:paraId="6617F9D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0" w:type="pct"/>
                  <w:vMerge w:val="restart"/>
                  <w:tcBorders>
                    <w:top w:val="single" w:color="auto" w:sz="4" w:space="0"/>
                    <w:bottom w:val="single" w:color="auto" w:sz="4" w:space="0"/>
                    <w:right w:val="single" w:color="auto" w:sz="4" w:space="0"/>
                  </w:tcBorders>
                  <w:vAlign w:val="center"/>
                </w:tcPr>
                <w:p w14:paraId="0911824D">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eastAsiaTheme="minorEastAsia"/>
                      <w:color w:val="auto"/>
                      <w:szCs w:val="21"/>
                      <w:highlight w:val="none"/>
                    </w:rPr>
                    <w:t>2</w:t>
                  </w:r>
                </w:p>
              </w:tc>
              <w:tc>
                <w:tcPr>
                  <w:tcW w:w="405" w:type="pct"/>
                  <w:vMerge w:val="restart"/>
                  <w:tcBorders>
                    <w:top w:val="single" w:color="auto" w:sz="4" w:space="0"/>
                    <w:left w:val="single" w:color="auto" w:sz="4" w:space="0"/>
                    <w:bottom w:val="single" w:color="auto" w:sz="4" w:space="0"/>
                    <w:right w:val="single" w:color="auto" w:sz="4" w:space="0"/>
                  </w:tcBorders>
                  <w:vAlign w:val="center"/>
                </w:tcPr>
                <w:p w14:paraId="33BC5F71">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hAnsiTheme="minorEastAsia" w:eastAsiaTheme="minorEastAsia"/>
                      <w:color w:val="auto"/>
                      <w:szCs w:val="21"/>
                      <w:highlight w:val="none"/>
                    </w:rPr>
                    <w:t>储运工程</w:t>
                  </w:r>
                </w:p>
              </w:tc>
              <w:tc>
                <w:tcPr>
                  <w:tcW w:w="507" w:type="pct"/>
                  <w:tcBorders>
                    <w:top w:val="single" w:color="auto" w:sz="4" w:space="0"/>
                    <w:left w:val="single" w:color="auto" w:sz="4" w:space="0"/>
                    <w:bottom w:val="single" w:color="auto" w:sz="4" w:space="0"/>
                    <w:right w:val="single" w:color="auto" w:sz="4" w:space="0"/>
                  </w:tcBorders>
                  <w:vAlign w:val="center"/>
                </w:tcPr>
                <w:p w14:paraId="15EF7D62">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hAnsiTheme="minorEastAsia" w:eastAsiaTheme="minorEastAsia"/>
                      <w:color w:val="auto"/>
                      <w:szCs w:val="21"/>
                      <w:highlight w:val="none"/>
                    </w:rPr>
                    <w:t>原料区</w:t>
                  </w:r>
                </w:p>
              </w:tc>
              <w:tc>
                <w:tcPr>
                  <w:tcW w:w="3296" w:type="pct"/>
                  <w:tcBorders>
                    <w:top w:val="single" w:color="auto" w:sz="4" w:space="0"/>
                    <w:left w:val="single" w:color="auto" w:sz="4" w:space="0"/>
                    <w:bottom w:val="single" w:color="auto" w:sz="4" w:space="0"/>
                    <w:right w:val="single" w:color="auto" w:sz="4" w:space="0"/>
                  </w:tcBorders>
                  <w:vAlign w:val="center"/>
                </w:tcPr>
                <w:p w14:paraId="345DAA73">
                  <w:pPr>
                    <w:overflowPunct w:val="0"/>
                    <w:adjustRightInd w:val="0"/>
                    <w:snapToGrid w:val="0"/>
                    <w:spacing w:line="270" w:lineRule="exact"/>
                    <w:ind w:left="-53" w:leftChars="-25" w:right="-53" w:rightChars="-25"/>
                    <w:rPr>
                      <w:rFonts w:hint="eastAsia" w:hAnsiTheme="minorEastAsia" w:eastAsiaTheme="minorEastAsia"/>
                      <w:color w:val="auto"/>
                      <w:spacing w:val="-5"/>
                      <w:szCs w:val="21"/>
                      <w:highlight w:val="none"/>
                      <w:lang w:val="en-US" w:eastAsia="zh-CN"/>
                    </w:rPr>
                  </w:pPr>
                  <w:r>
                    <w:rPr>
                      <w:rFonts w:hint="eastAsia" w:hAnsiTheme="minorEastAsia" w:eastAsiaTheme="minorEastAsia"/>
                      <w:color w:val="auto"/>
                      <w:spacing w:val="-5"/>
                      <w:szCs w:val="21"/>
                      <w:highlight w:val="none"/>
                      <w:lang w:val="en-US" w:eastAsia="zh-CN"/>
                    </w:rPr>
                    <w:t>塑料包装袋加工厂房</w:t>
                  </w:r>
                  <w:r>
                    <w:rPr>
                      <w:rFonts w:hAnsiTheme="minorEastAsia" w:eastAsiaTheme="minorEastAsia"/>
                      <w:color w:val="auto"/>
                      <w:spacing w:val="-5"/>
                      <w:szCs w:val="21"/>
                      <w:highlight w:val="none"/>
                    </w:rPr>
                    <w:t>原料区</w:t>
                  </w:r>
                  <w:r>
                    <w:rPr>
                      <w:rFonts w:hint="eastAsia" w:hAnsiTheme="minorEastAsia" w:eastAsiaTheme="minorEastAsia"/>
                      <w:color w:val="auto"/>
                      <w:spacing w:val="-5"/>
                      <w:szCs w:val="21"/>
                      <w:highlight w:val="none"/>
                      <w:lang w:val="en-US" w:eastAsia="zh-CN"/>
                    </w:rPr>
                    <w:t>存放生产塑料包装袋的原辅料；</w:t>
                  </w:r>
                </w:p>
                <w:p w14:paraId="3A901467">
                  <w:pPr>
                    <w:overflowPunct w:val="0"/>
                    <w:adjustRightInd w:val="0"/>
                    <w:snapToGrid w:val="0"/>
                    <w:spacing w:line="270" w:lineRule="exact"/>
                    <w:ind w:left="-53" w:leftChars="-25" w:right="-53" w:rightChars="-25"/>
                    <w:rPr>
                      <w:rFonts w:hint="default" w:eastAsiaTheme="minorEastAsia"/>
                      <w:color w:val="auto"/>
                      <w:spacing w:val="-5"/>
                      <w:szCs w:val="21"/>
                      <w:highlight w:val="none"/>
                      <w:lang w:val="en-US" w:eastAsia="zh-CN"/>
                    </w:rPr>
                  </w:pPr>
                  <w:r>
                    <w:rPr>
                      <w:rFonts w:hint="eastAsia" w:hAnsiTheme="minorEastAsia" w:eastAsiaTheme="minorEastAsia"/>
                      <w:color w:val="auto"/>
                      <w:spacing w:val="-5"/>
                      <w:szCs w:val="21"/>
                      <w:highlight w:val="none"/>
                      <w:lang w:val="en-US" w:eastAsia="zh-CN"/>
                    </w:rPr>
                    <w:t>塑料包装袋加工厂房</w:t>
                  </w:r>
                  <w:r>
                    <w:rPr>
                      <w:rFonts w:hAnsiTheme="minorEastAsia" w:eastAsiaTheme="minorEastAsia"/>
                      <w:color w:val="auto"/>
                      <w:spacing w:val="-5"/>
                      <w:szCs w:val="21"/>
                      <w:highlight w:val="none"/>
                    </w:rPr>
                    <w:t>原料区</w:t>
                  </w:r>
                  <w:r>
                    <w:rPr>
                      <w:rFonts w:hint="eastAsia" w:hAnsiTheme="minorEastAsia" w:eastAsiaTheme="minorEastAsia"/>
                      <w:color w:val="auto"/>
                      <w:spacing w:val="-5"/>
                      <w:szCs w:val="21"/>
                      <w:highlight w:val="none"/>
                      <w:lang w:val="en-US" w:eastAsia="zh-CN"/>
                    </w:rPr>
                    <w:t>存放生产农用贴片滴灌带的原辅料</w:t>
                  </w:r>
                </w:p>
              </w:tc>
              <w:tc>
                <w:tcPr>
                  <w:tcW w:w="411" w:type="pct"/>
                  <w:tcBorders>
                    <w:top w:val="single" w:color="auto" w:sz="4" w:space="0"/>
                    <w:left w:val="single" w:color="auto" w:sz="4" w:space="0"/>
                    <w:bottom w:val="single" w:color="auto" w:sz="4" w:space="0"/>
                  </w:tcBorders>
                  <w:vAlign w:val="center"/>
                </w:tcPr>
                <w:p w14:paraId="2F53AF4B">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hint="eastAsia" w:hAnsiTheme="minorEastAsia" w:eastAsiaTheme="minorEastAsia"/>
                      <w:color w:val="auto"/>
                      <w:szCs w:val="21"/>
                      <w:highlight w:val="none"/>
                      <w:lang w:val="en-US" w:eastAsia="zh-CN"/>
                    </w:rPr>
                    <w:t>厂房租赁</w:t>
                  </w:r>
                </w:p>
              </w:tc>
            </w:tr>
            <w:tr w14:paraId="4386D4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0" w:type="pct"/>
                  <w:vMerge w:val="continue"/>
                  <w:tcBorders>
                    <w:top w:val="single" w:color="auto" w:sz="4" w:space="0"/>
                    <w:bottom w:val="single" w:color="auto" w:sz="4" w:space="0"/>
                    <w:right w:val="single" w:color="auto" w:sz="4" w:space="0"/>
                  </w:tcBorders>
                  <w:vAlign w:val="center"/>
                </w:tcPr>
                <w:p w14:paraId="1886D10E">
                  <w:pPr>
                    <w:overflowPunct w:val="0"/>
                    <w:adjustRightInd w:val="0"/>
                    <w:snapToGrid w:val="0"/>
                    <w:spacing w:line="270" w:lineRule="exact"/>
                    <w:ind w:left="-53" w:leftChars="-25" w:right="-53" w:rightChars="-25"/>
                    <w:jc w:val="center"/>
                    <w:rPr>
                      <w:rFonts w:eastAsiaTheme="minorEastAsia"/>
                      <w:color w:val="auto"/>
                      <w:szCs w:val="21"/>
                      <w:highlight w:val="none"/>
                    </w:rPr>
                  </w:pPr>
                </w:p>
              </w:tc>
              <w:tc>
                <w:tcPr>
                  <w:tcW w:w="405" w:type="pct"/>
                  <w:vMerge w:val="continue"/>
                  <w:tcBorders>
                    <w:top w:val="single" w:color="auto" w:sz="4" w:space="0"/>
                    <w:left w:val="single" w:color="auto" w:sz="4" w:space="0"/>
                    <w:bottom w:val="single" w:color="auto" w:sz="4" w:space="0"/>
                    <w:right w:val="single" w:color="auto" w:sz="4" w:space="0"/>
                  </w:tcBorders>
                  <w:vAlign w:val="center"/>
                </w:tcPr>
                <w:p w14:paraId="1597C558">
                  <w:pPr>
                    <w:overflowPunct w:val="0"/>
                    <w:adjustRightInd w:val="0"/>
                    <w:snapToGrid w:val="0"/>
                    <w:spacing w:line="270" w:lineRule="exact"/>
                    <w:ind w:left="-53" w:leftChars="-25" w:right="-53" w:rightChars="-25"/>
                    <w:jc w:val="center"/>
                    <w:rPr>
                      <w:rFonts w:eastAsiaTheme="minorEastAsia"/>
                      <w:color w:val="auto"/>
                      <w:szCs w:val="21"/>
                      <w:highlight w:val="none"/>
                    </w:rPr>
                  </w:pPr>
                </w:p>
              </w:tc>
              <w:tc>
                <w:tcPr>
                  <w:tcW w:w="507" w:type="pct"/>
                  <w:tcBorders>
                    <w:top w:val="single" w:color="auto" w:sz="4" w:space="0"/>
                    <w:left w:val="single" w:color="auto" w:sz="4" w:space="0"/>
                    <w:bottom w:val="single" w:color="auto" w:sz="4" w:space="0"/>
                    <w:right w:val="single" w:color="auto" w:sz="4" w:space="0"/>
                  </w:tcBorders>
                  <w:vAlign w:val="center"/>
                </w:tcPr>
                <w:p w14:paraId="57AF4076">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hAnsiTheme="minorEastAsia" w:eastAsiaTheme="minorEastAsia"/>
                      <w:color w:val="auto"/>
                      <w:szCs w:val="21"/>
                      <w:highlight w:val="none"/>
                    </w:rPr>
                    <w:t>成品区</w:t>
                  </w:r>
                </w:p>
              </w:tc>
              <w:tc>
                <w:tcPr>
                  <w:tcW w:w="3296" w:type="pct"/>
                  <w:tcBorders>
                    <w:top w:val="single" w:color="auto" w:sz="4" w:space="0"/>
                    <w:left w:val="single" w:color="auto" w:sz="4" w:space="0"/>
                    <w:bottom w:val="single" w:color="auto" w:sz="4" w:space="0"/>
                    <w:right w:val="single" w:color="auto" w:sz="4" w:space="0"/>
                  </w:tcBorders>
                  <w:vAlign w:val="center"/>
                </w:tcPr>
                <w:p w14:paraId="7DDC4181">
                  <w:pPr>
                    <w:overflowPunct w:val="0"/>
                    <w:adjustRightInd w:val="0"/>
                    <w:snapToGrid w:val="0"/>
                    <w:spacing w:line="270" w:lineRule="exact"/>
                    <w:ind w:left="-53" w:leftChars="-25" w:right="-53" w:rightChars="-25"/>
                    <w:rPr>
                      <w:rFonts w:hint="eastAsia" w:hAnsiTheme="minorEastAsia" w:eastAsiaTheme="minorEastAsia"/>
                      <w:color w:val="auto"/>
                      <w:spacing w:val="-5"/>
                      <w:szCs w:val="21"/>
                      <w:highlight w:val="none"/>
                      <w:lang w:val="en-US" w:eastAsia="zh-CN"/>
                    </w:rPr>
                  </w:pPr>
                  <w:r>
                    <w:rPr>
                      <w:rFonts w:hint="eastAsia" w:hAnsiTheme="minorEastAsia" w:eastAsiaTheme="minorEastAsia"/>
                      <w:color w:val="auto"/>
                      <w:spacing w:val="-5"/>
                      <w:szCs w:val="21"/>
                      <w:highlight w:val="none"/>
                      <w:lang w:val="en-US" w:eastAsia="zh-CN"/>
                    </w:rPr>
                    <w:t>塑料包装袋加工厂房</w:t>
                  </w:r>
                  <w:r>
                    <w:rPr>
                      <w:rFonts w:hAnsiTheme="minorEastAsia" w:eastAsiaTheme="minorEastAsia"/>
                      <w:color w:val="auto"/>
                      <w:szCs w:val="21"/>
                      <w:highlight w:val="none"/>
                    </w:rPr>
                    <w:t>成品</w:t>
                  </w:r>
                  <w:r>
                    <w:rPr>
                      <w:rFonts w:hAnsiTheme="minorEastAsia" w:eastAsiaTheme="minorEastAsia"/>
                      <w:color w:val="auto"/>
                      <w:spacing w:val="-5"/>
                      <w:szCs w:val="21"/>
                      <w:highlight w:val="none"/>
                    </w:rPr>
                    <w:t>区</w:t>
                  </w:r>
                  <w:r>
                    <w:rPr>
                      <w:rFonts w:hint="eastAsia" w:hAnsiTheme="minorEastAsia" w:eastAsiaTheme="minorEastAsia"/>
                      <w:color w:val="auto"/>
                      <w:spacing w:val="-5"/>
                      <w:szCs w:val="21"/>
                      <w:highlight w:val="none"/>
                      <w:lang w:val="en-US" w:eastAsia="zh-CN"/>
                    </w:rPr>
                    <w:t>存放生产出的塑料包装袋；</w:t>
                  </w:r>
                </w:p>
                <w:p w14:paraId="6A6A97CE">
                  <w:pPr>
                    <w:overflowPunct w:val="0"/>
                    <w:adjustRightInd w:val="0"/>
                    <w:snapToGrid w:val="0"/>
                    <w:spacing w:line="270" w:lineRule="exact"/>
                    <w:ind w:left="-53" w:leftChars="-25" w:right="-53" w:rightChars="-25"/>
                    <w:rPr>
                      <w:rFonts w:eastAsiaTheme="minorEastAsia"/>
                      <w:color w:val="auto"/>
                      <w:szCs w:val="21"/>
                      <w:highlight w:val="none"/>
                    </w:rPr>
                  </w:pPr>
                  <w:r>
                    <w:rPr>
                      <w:rFonts w:hint="eastAsia" w:hAnsiTheme="minorEastAsia" w:eastAsiaTheme="minorEastAsia"/>
                      <w:color w:val="auto"/>
                      <w:spacing w:val="-5"/>
                      <w:szCs w:val="21"/>
                      <w:highlight w:val="none"/>
                      <w:lang w:val="en-US" w:eastAsia="zh-CN"/>
                    </w:rPr>
                    <w:t>塑料包装袋加工厂房</w:t>
                  </w:r>
                  <w:r>
                    <w:rPr>
                      <w:rFonts w:hAnsiTheme="minorEastAsia" w:eastAsiaTheme="minorEastAsia"/>
                      <w:color w:val="auto"/>
                      <w:szCs w:val="21"/>
                      <w:highlight w:val="none"/>
                    </w:rPr>
                    <w:t>成品</w:t>
                  </w:r>
                  <w:r>
                    <w:rPr>
                      <w:rFonts w:hAnsiTheme="minorEastAsia" w:eastAsiaTheme="minorEastAsia"/>
                      <w:color w:val="auto"/>
                      <w:spacing w:val="-5"/>
                      <w:szCs w:val="21"/>
                      <w:highlight w:val="none"/>
                    </w:rPr>
                    <w:t>区</w:t>
                  </w:r>
                  <w:r>
                    <w:rPr>
                      <w:rFonts w:hint="eastAsia" w:hAnsiTheme="minorEastAsia" w:eastAsiaTheme="minorEastAsia"/>
                      <w:color w:val="auto"/>
                      <w:spacing w:val="-5"/>
                      <w:szCs w:val="21"/>
                      <w:highlight w:val="none"/>
                      <w:lang w:val="en-US" w:eastAsia="zh-CN"/>
                    </w:rPr>
                    <w:t>存放生产出的农用贴片滴灌带</w:t>
                  </w:r>
                </w:p>
              </w:tc>
              <w:tc>
                <w:tcPr>
                  <w:tcW w:w="411" w:type="pct"/>
                  <w:tcBorders>
                    <w:top w:val="single" w:color="auto" w:sz="4" w:space="0"/>
                    <w:left w:val="single" w:color="auto" w:sz="4" w:space="0"/>
                    <w:bottom w:val="single" w:color="auto" w:sz="4" w:space="0"/>
                  </w:tcBorders>
                  <w:vAlign w:val="center"/>
                </w:tcPr>
                <w:p w14:paraId="42EB119E">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hint="eastAsia" w:hAnsiTheme="minorEastAsia" w:eastAsiaTheme="minorEastAsia"/>
                      <w:color w:val="auto"/>
                      <w:szCs w:val="21"/>
                      <w:highlight w:val="none"/>
                      <w:lang w:val="en-US" w:eastAsia="zh-CN"/>
                    </w:rPr>
                    <w:t>厂房租赁</w:t>
                  </w:r>
                </w:p>
              </w:tc>
            </w:tr>
            <w:tr w14:paraId="463F9F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0" w:type="pct"/>
                  <w:vMerge w:val="restart"/>
                  <w:tcBorders>
                    <w:top w:val="single" w:color="auto" w:sz="4" w:space="0"/>
                    <w:bottom w:val="single" w:color="auto" w:sz="4" w:space="0"/>
                    <w:right w:val="single" w:color="auto" w:sz="4" w:space="0"/>
                  </w:tcBorders>
                  <w:vAlign w:val="center"/>
                </w:tcPr>
                <w:p w14:paraId="3764016C">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eastAsiaTheme="minorEastAsia"/>
                      <w:color w:val="auto"/>
                      <w:szCs w:val="21"/>
                      <w:highlight w:val="none"/>
                    </w:rPr>
                    <w:t>3</w:t>
                  </w:r>
                </w:p>
              </w:tc>
              <w:tc>
                <w:tcPr>
                  <w:tcW w:w="405" w:type="pct"/>
                  <w:vMerge w:val="restart"/>
                  <w:tcBorders>
                    <w:top w:val="single" w:color="auto" w:sz="4" w:space="0"/>
                    <w:left w:val="single" w:color="auto" w:sz="4" w:space="0"/>
                    <w:bottom w:val="single" w:color="auto" w:sz="4" w:space="0"/>
                    <w:right w:val="single" w:color="auto" w:sz="4" w:space="0"/>
                  </w:tcBorders>
                  <w:vAlign w:val="center"/>
                </w:tcPr>
                <w:p w14:paraId="47D18168">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hAnsiTheme="minorEastAsia" w:eastAsiaTheme="minorEastAsia"/>
                      <w:color w:val="auto"/>
                      <w:szCs w:val="21"/>
                      <w:highlight w:val="none"/>
                    </w:rPr>
                    <w:t>公用工程</w:t>
                  </w:r>
                </w:p>
              </w:tc>
              <w:tc>
                <w:tcPr>
                  <w:tcW w:w="507" w:type="pct"/>
                  <w:tcBorders>
                    <w:top w:val="single" w:color="auto" w:sz="4" w:space="0"/>
                    <w:left w:val="single" w:color="auto" w:sz="4" w:space="0"/>
                    <w:bottom w:val="single" w:color="auto" w:sz="4" w:space="0"/>
                    <w:right w:val="single" w:color="auto" w:sz="4" w:space="0"/>
                  </w:tcBorders>
                  <w:vAlign w:val="center"/>
                </w:tcPr>
                <w:p w14:paraId="5140025A">
                  <w:pPr>
                    <w:pStyle w:val="220"/>
                    <w:adjustRightInd w:val="0"/>
                    <w:snapToGrid w:val="0"/>
                    <w:spacing w:line="270" w:lineRule="exact"/>
                    <w:ind w:left="-53" w:leftChars="-25" w:right="-53" w:rightChars="-25"/>
                    <w:rPr>
                      <w:rFonts w:ascii="Times New Roman" w:hAnsi="Times New Roman" w:cs="Times New Roman" w:eastAsiaTheme="minorEastAsia"/>
                      <w:color w:val="auto"/>
                      <w:sz w:val="21"/>
                      <w:szCs w:val="21"/>
                      <w:highlight w:val="none"/>
                      <w:lang w:val="zh-CN"/>
                    </w:rPr>
                  </w:pPr>
                  <w:r>
                    <w:rPr>
                      <w:rFonts w:ascii="Times New Roman" w:cs="Times New Roman" w:hAnsiTheme="minorEastAsia" w:eastAsiaTheme="minorEastAsia"/>
                      <w:color w:val="auto"/>
                      <w:sz w:val="21"/>
                      <w:szCs w:val="21"/>
                      <w:highlight w:val="none"/>
                      <w:lang w:val="zh-CN"/>
                    </w:rPr>
                    <w:t>供电</w:t>
                  </w:r>
                </w:p>
              </w:tc>
              <w:tc>
                <w:tcPr>
                  <w:tcW w:w="3296" w:type="pct"/>
                  <w:tcBorders>
                    <w:top w:val="single" w:color="auto" w:sz="4" w:space="0"/>
                    <w:left w:val="single" w:color="auto" w:sz="4" w:space="0"/>
                    <w:bottom w:val="single" w:color="auto" w:sz="4" w:space="0"/>
                    <w:right w:val="single" w:color="auto" w:sz="4" w:space="0"/>
                  </w:tcBorders>
                  <w:vAlign w:val="center"/>
                </w:tcPr>
                <w:p w14:paraId="1BA0FD06">
                  <w:pPr>
                    <w:pStyle w:val="220"/>
                    <w:adjustRightInd w:val="0"/>
                    <w:snapToGrid w:val="0"/>
                    <w:spacing w:line="270" w:lineRule="exact"/>
                    <w:ind w:left="-53" w:leftChars="-25" w:right="-53" w:rightChars="-25"/>
                    <w:jc w:val="left"/>
                    <w:rPr>
                      <w:rFonts w:ascii="Times New Roman" w:hAnsi="Times New Roman" w:cs="Times New Roman" w:eastAsiaTheme="minorEastAsia"/>
                      <w:color w:val="auto"/>
                      <w:sz w:val="21"/>
                      <w:szCs w:val="21"/>
                      <w:highlight w:val="none"/>
                      <w:lang w:val="zh-CN"/>
                    </w:rPr>
                  </w:pPr>
                  <w:r>
                    <w:rPr>
                      <w:rFonts w:ascii="Times New Roman" w:cs="Times New Roman" w:hAnsiTheme="minorEastAsia" w:eastAsiaTheme="minorEastAsia"/>
                      <w:color w:val="auto"/>
                      <w:sz w:val="21"/>
                      <w:szCs w:val="21"/>
                      <w:highlight w:val="none"/>
                      <w:lang w:val="zh-CN"/>
                    </w:rPr>
                    <w:t>用电由园区供电电网供应</w:t>
                  </w:r>
                </w:p>
              </w:tc>
              <w:tc>
                <w:tcPr>
                  <w:tcW w:w="411" w:type="pct"/>
                  <w:tcBorders>
                    <w:top w:val="single" w:color="auto" w:sz="4" w:space="0"/>
                    <w:left w:val="single" w:color="auto" w:sz="4" w:space="0"/>
                    <w:bottom w:val="single" w:color="auto" w:sz="4" w:space="0"/>
                  </w:tcBorders>
                  <w:vAlign w:val="center"/>
                </w:tcPr>
                <w:p w14:paraId="517CD5EA">
                  <w:pPr>
                    <w:pStyle w:val="220"/>
                    <w:adjustRightInd w:val="0"/>
                    <w:snapToGrid w:val="0"/>
                    <w:spacing w:line="270" w:lineRule="exact"/>
                    <w:ind w:left="-53" w:leftChars="-25" w:right="-53" w:rightChars="-25"/>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w:t>
                  </w:r>
                </w:p>
              </w:tc>
            </w:tr>
            <w:tr w14:paraId="0BC7377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0" w:type="pct"/>
                  <w:vMerge w:val="continue"/>
                  <w:tcBorders>
                    <w:top w:val="single" w:color="auto" w:sz="4" w:space="0"/>
                    <w:bottom w:val="single" w:color="auto" w:sz="4" w:space="0"/>
                    <w:right w:val="single" w:color="auto" w:sz="4" w:space="0"/>
                  </w:tcBorders>
                  <w:vAlign w:val="center"/>
                </w:tcPr>
                <w:p w14:paraId="657B5121">
                  <w:pPr>
                    <w:overflowPunct w:val="0"/>
                    <w:adjustRightInd w:val="0"/>
                    <w:snapToGrid w:val="0"/>
                    <w:spacing w:line="270" w:lineRule="exact"/>
                    <w:ind w:left="-53" w:leftChars="-25" w:right="-53" w:rightChars="-25"/>
                    <w:jc w:val="center"/>
                    <w:rPr>
                      <w:rFonts w:eastAsiaTheme="minorEastAsia"/>
                      <w:color w:val="auto"/>
                      <w:szCs w:val="21"/>
                      <w:highlight w:val="none"/>
                    </w:rPr>
                  </w:pPr>
                </w:p>
              </w:tc>
              <w:tc>
                <w:tcPr>
                  <w:tcW w:w="405" w:type="pct"/>
                  <w:vMerge w:val="continue"/>
                  <w:tcBorders>
                    <w:top w:val="single" w:color="auto" w:sz="4" w:space="0"/>
                    <w:left w:val="single" w:color="auto" w:sz="4" w:space="0"/>
                    <w:bottom w:val="single" w:color="auto" w:sz="4" w:space="0"/>
                    <w:right w:val="single" w:color="auto" w:sz="4" w:space="0"/>
                  </w:tcBorders>
                  <w:vAlign w:val="center"/>
                </w:tcPr>
                <w:p w14:paraId="651FAB54">
                  <w:pPr>
                    <w:overflowPunct w:val="0"/>
                    <w:adjustRightInd w:val="0"/>
                    <w:snapToGrid w:val="0"/>
                    <w:spacing w:line="270" w:lineRule="exact"/>
                    <w:ind w:left="-53" w:leftChars="-25" w:right="-53" w:rightChars="-25"/>
                    <w:jc w:val="center"/>
                    <w:rPr>
                      <w:rFonts w:eastAsiaTheme="minorEastAsia"/>
                      <w:color w:val="auto"/>
                      <w:szCs w:val="21"/>
                      <w:highlight w:val="none"/>
                    </w:rPr>
                  </w:pPr>
                </w:p>
              </w:tc>
              <w:tc>
                <w:tcPr>
                  <w:tcW w:w="507" w:type="pct"/>
                  <w:tcBorders>
                    <w:top w:val="single" w:color="auto" w:sz="4" w:space="0"/>
                    <w:left w:val="single" w:color="auto" w:sz="4" w:space="0"/>
                    <w:bottom w:val="single" w:color="auto" w:sz="4" w:space="0"/>
                    <w:right w:val="single" w:color="auto" w:sz="4" w:space="0"/>
                  </w:tcBorders>
                  <w:vAlign w:val="center"/>
                </w:tcPr>
                <w:p w14:paraId="6689EA1D">
                  <w:pPr>
                    <w:pStyle w:val="220"/>
                    <w:adjustRightInd w:val="0"/>
                    <w:snapToGrid w:val="0"/>
                    <w:spacing w:line="270" w:lineRule="exact"/>
                    <w:ind w:left="-53" w:leftChars="-25" w:right="-53" w:rightChars="-25"/>
                    <w:rPr>
                      <w:rFonts w:ascii="Times New Roman" w:hAnsi="Times New Roman" w:cs="Times New Roman" w:eastAsiaTheme="minorEastAsia"/>
                      <w:color w:val="auto"/>
                      <w:sz w:val="21"/>
                      <w:szCs w:val="21"/>
                      <w:highlight w:val="none"/>
                      <w:lang w:val="zh-CN"/>
                    </w:rPr>
                  </w:pPr>
                  <w:r>
                    <w:rPr>
                      <w:rFonts w:ascii="Times New Roman" w:cs="Times New Roman" w:hAnsiTheme="minorEastAsia" w:eastAsiaTheme="minorEastAsia"/>
                      <w:color w:val="auto"/>
                      <w:sz w:val="21"/>
                      <w:szCs w:val="21"/>
                      <w:highlight w:val="none"/>
                      <w:lang w:val="zh-CN"/>
                    </w:rPr>
                    <w:t>供水</w:t>
                  </w:r>
                </w:p>
              </w:tc>
              <w:tc>
                <w:tcPr>
                  <w:tcW w:w="3296" w:type="pct"/>
                  <w:tcBorders>
                    <w:top w:val="single" w:color="auto" w:sz="4" w:space="0"/>
                    <w:left w:val="single" w:color="auto" w:sz="4" w:space="0"/>
                    <w:bottom w:val="single" w:color="auto" w:sz="4" w:space="0"/>
                    <w:right w:val="single" w:color="auto" w:sz="4" w:space="0"/>
                  </w:tcBorders>
                  <w:vAlign w:val="center"/>
                </w:tcPr>
                <w:p w14:paraId="40750543">
                  <w:pPr>
                    <w:pStyle w:val="220"/>
                    <w:adjustRightInd w:val="0"/>
                    <w:snapToGrid w:val="0"/>
                    <w:spacing w:line="270" w:lineRule="exact"/>
                    <w:ind w:left="-53" w:leftChars="-25" w:right="-53" w:rightChars="-25"/>
                    <w:jc w:val="left"/>
                    <w:rPr>
                      <w:rFonts w:ascii="Times New Roman" w:hAnsi="Times New Roman" w:cs="Times New Roman" w:eastAsiaTheme="minorEastAsia"/>
                      <w:color w:val="auto"/>
                      <w:sz w:val="21"/>
                      <w:szCs w:val="21"/>
                      <w:highlight w:val="none"/>
                      <w:lang w:val="zh-CN"/>
                    </w:rPr>
                  </w:pPr>
                  <w:r>
                    <w:rPr>
                      <w:rFonts w:ascii="Times New Roman" w:cs="Times New Roman" w:hAnsiTheme="minorEastAsia" w:eastAsiaTheme="minorEastAsia"/>
                      <w:color w:val="auto"/>
                      <w:sz w:val="21"/>
                      <w:szCs w:val="21"/>
                      <w:highlight w:val="none"/>
                      <w:lang w:val="zh-CN"/>
                    </w:rPr>
                    <w:t>用水由园区供水管网供应</w:t>
                  </w:r>
                </w:p>
              </w:tc>
              <w:tc>
                <w:tcPr>
                  <w:tcW w:w="411" w:type="pct"/>
                  <w:tcBorders>
                    <w:top w:val="single" w:color="auto" w:sz="4" w:space="0"/>
                    <w:left w:val="single" w:color="auto" w:sz="4" w:space="0"/>
                    <w:bottom w:val="single" w:color="auto" w:sz="4" w:space="0"/>
                  </w:tcBorders>
                  <w:vAlign w:val="center"/>
                </w:tcPr>
                <w:p w14:paraId="46A26DC0">
                  <w:pPr>
                    <w:pStyle w:val="220"/>
                    <w:adjustRightInd w:val="0"/>
                    <w:snapToGrid w:val="0"/>
                    <w:spacing w:line="270" w:lineRule="exact"/>
                    <w:ind w:left="-53" w:leftChars="-25" w:right="-53" w:rightChars="-25"/>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w:t>
                  </w:r>
                </w:p>
              </w:tc>
            </w:tr>
            <w:tr w14:paraId="73BF2F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0" w:type="pct"/>
                  <w:vMerge w:val="continue"/>
                  <w:tcBorders>
                    <w:top w:val="single" w:color="auto" w:sz="4" w:space="0"/>
                    <w:bottom w:val="single" w:color="auto" w:sz="4" w:space="0"/>
                    <w:right w:val="single" w:color="auto" w:sz="4" w:space="0"/>
                  </w:tcBorders>
                  <w:vAlign w:val="center"/>
                </w:tcPr>
                <w:p w14:paraId="1285CAE3">
                  <w:pPr>
                    <w:overflowPunct w:val="0"/>
                    <w:adjustRightInd w:val="0"/>
                    <w:snapToGrid w:val="0"/>
                    <w:spacing w:line="270" w:lineRule="exact"/>
                    <w:ind w:left="-53" w:leftChars="-25" w:right="-53" w:rightChars="-25"/>
                    <w:jc w:val="center"/>
                    <w:rPr>
                      <w:rFonts w:eastAsiaTheme="minorEastAsia"/>
                      <w:color w:val="auto"/>
                      <w:szCs w:val="21"/>
                      <w:highlight w:val="none"/>
                    </w:rPr>
                  </w:pPr>
                </w:p>
              </w:tc>
              <w:tc>
                <w:tcPr>
                  <w:tcW w:w="405" w:type="pct"/>
                  <w:vMerge w:val="continue"/>
                  <w:tcBorders>
                    <w:top w:val="single" w:color="auto" w:sz="4" w:space="0"/>
                    <w:left w:val="single" w:color="auto" w:sz="4" w:space="0"/>
                    <w:bottom w:val="single" w:color="auto" w:sz="4" w:space="0"/>
                    <w:right w:val="single" w:color="auto" w:sz="4" w:space="0"/>
                  </w:tcBorders>
                  <w:vAlign w:val="center"/>
                </w:tcPr>
                <w:p w14:paraId="48D8AE82">
                  <w:pPr>
                    <w:overflowPunct w:val="0"/>
                    <w:adjustRightInd w:val="0"/>
                    <w:snapToGrid w:val="0"/>
                    <w:spacing w:line="270" w:lineRule="exact"/>
                    <w:ind w:left="-53" w:leftChars="-25" w:right="-53" w:rightChars="-25"/>
                    <w:jc w:val="center"/>
                    <w:rPr>
                      <w:rFonts w:eastAsiaTheme="minorEastAsia"/>
                      <w:color w:val="auto"/>
                      <w:szCs w:val="21"/>
                      <w:highlight w:val="none"/>
                    </w:rPr>
                  </w:pPr>
                </w:p>
              </w:tc>
              <w:tc>
                <w:tcPr>
                  <w:tcW w:w="507" w:type="pct"/>
                  <w:tcBorders>
                    <w:top w:val="single" w:color="auto" w:sz="4" w:space="0"/>
                    <w:left w:val="single" w:color="auto" w:sz="4" w:space="0"/>
                    <w:bottom w:val="single" w:color="auto" w:sz="4" w:space="0"/>
                    <w:right w:val="single" w:color="auto" w:sz="4" w:space="0"/>
                  </w:tcBorders>
                  <w:vAlign w:val="center"/>
                </w:tcPr>
                <w:p w14:paraId="5D278EB3">
                  <w:pPr>
                    <w:pStyle w:val="220"/>
                    <w:adjustRightInd w:val="0"/>
                    <w:snapToGrid w:val="0"/>
                    <w:spacing w:line="270" w:lineRule="exact"/>
                    <w:ind w:left="-53" w:leftChars="-25" w:right="-53" w:rightChars="-25"/>
                    <w:rPr>
                      <w:rFonts w:ascii="Times New Roman" w:hAnsi="Times New Roman" w:cs="Times New Roman" w:eastAsiaTheme="minorEastAsia"/>
                      <w:color w:val="auto"/>
                      <w:sz w:val="21"/>
                      <w:szCs w:val="21"/>
                      <w:highlight w:val="none"/>
                      <w:lang w:val="zh-CN"/>
                    </w:rPr>
                  </w:pPr>
                  <w:r>
                    <w:rPr>
                      <w:rFonts w:ascii="Times New Roman" w:cs="Times New Roman" w:hAnsiTheme="minorEastAsia" w:eastAsiaTheme="minorEastAsia"/>
                      <w:color w:val="auto"/>
                      <w:sz w:val="21"/>
                      <w:szCs w:val="21"/>
                      <w:highlight w:val="none"/>
                      <w:lang w:val="zh-CN"/>
                    </w:rPr>
                    <w:t>供热</w:t>
                  </w:r>
                </w:p>
              </w:tc>
              <w:tc>
                <w:tcPr>
                  <w:tcW w:w="3296" w:type="pct"/>
                  <w:tcBorders>
                    <w:top w:val="single" w:color="auto" w:sz="4" w:space="0"/>
                    <w:left w:val="single" w:color="auto" w:sz="4" w:space="0"/>
                    <w:bottom w:val="single" w:color="auto" w:sz="4" w:space="0"/>
                    <w:right w:val="single" w:color="auto" w:sz="4" w:space="0"/>
                  </w:tcBorders>
                  <w:vAlign w:val="center"/>
                </w:tcPr>
                <w:p w14:paraId="10A5FB32">
                  <w:pPr>
                    <w:pStyle w:val="220"/>
                    <w:adjustRightInd w:val="0"/>
                    <w:snapToGrid w:val="0"/>
                    <w:spacing w:line="270" w:lineRule="exact"/>
                    <w:ind w:left="-53" w:leftChars="-25" w:right="-53" w:rightChars="-25"/>
                    <w:jc w:val="both"/>
                    <w:rPr>
                      <w:rFonts w:ascii="Times New Roman" w:hAnsi="Times New Roman" w:cs="Times New Roman" w:eastAsiaTheme="minorEastAsia"/>
                      <w:color w:val="auto"/>
                      <w:sz w:val="21"/>
                      <w:szCs w:val="21"/>
                      <w:highlight w:val="none"/>
                      <w:lang w:val="zh-CN"/>
                    </w:rPr>
                  </w:pPr>
                  <w:r>
                    <w:rPr>
                      <w:rFonts w:ascii="Times New Roman" w:cs="Times New Roman" w:hAnsiTheme="minorEastAsia" w:eastAsiaTheme="minorEastAsia"/>
                      <w:color w:val="auto"/>
                      <w:sz w:val="21"/>
                      <w:szCs w:val="21"/>
                      <w:highlight w:val="none"/>
                      <w:lang w:val="zh-CN"/>
                    </w:rPr>
                    <w:t>采用电采暖</w:t>
                  </w:r>
                </w:p>
              </w:tc>
              <w:tc>
                <w:tcPr>
                  <w:tcW w:w="411" w:type="pct"/>
                  <w:tcBorders>
                    <w:top w:val="single" w:color="auto" w:sz="4" w:space="0"/>
                    <w:left w:val="single" w:color="auto" w:sz="4" w:space="0"/>
                    <w:bottom w:val="single" w:color="auto" w:sz="4" w:space="0"/>
                  </w:tcBorders>
                  <w:vAlign w:val="center"/>
                </w:tcPr>
                <w:p w14:paraId="23C90879">
                  <w:pPr>
                    <w:pStyle w:val="220"/>
                    <w:adjustRightInd w:val="0"/>
                    <w:snapToGrid w:val="0"/>
                    <w:spacing w:line="270" w:lineRule="exact"/>
                    <w:ind w:left="-53" w:leftChars="-25" w:right="-53" w:rightChars="-25"/>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w:t>
                  </w:r>
                </w:p>
              </w:tc>
            </w:tr>
            <w:tr w14:paraId="45F9B5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0" w:type="pct"/>
                  <w:vMerge w:val="continue"/>
                  <w:tcBorders>
                    <w:top w:val="single" w:color="auto" w:sz="4" w:space="0"/>
                    <w:bottom w:val="single" w:color="auto" w:sz="4" w:space="0"/>
                    <w:right w:val="single" w:color="auto" w:sz="4" w:space="0"/>
                  </w:tcBorders>
                  <w:vAlign w:val="center"/>
                </w:tcPr>
                <w:p w14:paraId="41A71435">
                  <w:pPr>
                    <w:overflowPunct w:val="0"/>
                    <w:adjustRightInd w:val="0"/>
                    <w:snapToGrid w:val="0"/>
                    <w:spacing w:line="270" w:lineRule="exact"/>
                    <w:ind w:left="-53" w:leftChars="-25" w:right="-53" w:rightChars="-25"/>
                    <w:jc w:val="center"/>
                    <w:rPr>
                      <w:rFonts w:eastAsiaTheme="minorEastAsia"/>
                      <w:color w:val="auto"/>
                      <w:szCs w:val="21"/>
                      <w:highlight w:val="none"/>
                    </w:rPr>
                  </w:pPr>
                </w:p>
              </w:tc>
              <w:tc>
                <w:tcPr>
                  <w:tcW w:w="405" w:type="pct"/>
                  <w:vMerge w:val="continue"/>
                  <w:tcBorders>
                    <w:top w:val="single" w:color="auto" w:sz="4" w:space="0"/>
                    <w:left w:val="single" w:color="auto" w:sz="4" w:space="0"/>
                    <w:bottom w:val="single" w:color="auto" w:sz="4" w:space="0"/>
                    <w:right w:val="single" w:color="auto" w:sz="4" w:space="0"/>
                  </w:tcBorders>
                  <w:vAlign w:val="center"/>
                </w:tcPr>
                <w:p w14:paraId="16ED0C8F">
                  <w:pPr>
                    <w:overflowPunct w:val="0"/>
                    <w:adjustRightInd w:val="0"/>
                    <w:snapToGrid w:val="0"/>
                    <w:spacing w:line="270" w:lineRule="exact"/>
                    <w:ind w:left="-53" w:leftChars="-25" w:right="-53" w:rightChars="-25"/>
                    <w:jc w:val="center"/>
                    <w:rPr>
                      <w:rFonts w:eastAsiaTheme="minorEastAsia"/>
                      <w:color w:val="auto"/>
                      <w:szCs w:val="21"/>
                      <w:highlight w:val="none"/>
                    </w:rPr>
                  </w:pPr>
                </w:p>
              </w:tc>
              <w:tc>
                <w:tcPr>
                  <w:tcW w:w="507" w:type="pct"/>
                  <w:tcBorders>
                    <w:top w:val="single" w:color="auto" w:sz="4" w:space="0"/>
                    <w:left w:val="single" w:color="auto" w:sz="4" w:space="0"/>
                    <w:bottom w:val="single" w:color="auto" w:sz="4" w:space="0"/>
                    <w:right w:val="single" w:color="auto" w:sz="4" w:space="0"/>
                  </w:tcBorders>
                  <w:vAlign w:val="center"/>
                </w:tcPr>
                <w:p w14:paraId="65B6D8EF">
                  <w:pPr>
                    <w:pStyle w:val="220"/>
                    <w:adjustRightInd w:val="0"/>
                    <w:snapToGrid w:val="0"/>
                    <w:spacing w:line="270" w:lineRule="exact"/>
                    <w:ind w:left="-53" w:leftChars="-25" w:right="-53" w:rightChars="-25"/>
                    <w:rPr>
                      <w:rFonts w:ascii="Times New Roman" w:hAnsi="Times New Roman" w:cs="Times New Roman" w:eastAsiaTheme="minorEastAsia"/>
                      <w:color w:val="auto"/>
                      <w:sz w:val="21"/>
                      <w:szCs w:val="21"/>
                      <w:highlight w:val="none"/>
                      <w:lang w:val="zh-CN"/>
                    </w:rPr>
                  </w:pPr>
                  <w:r>
                    <w:rPr>
                      <w:rFonts w:ascii="Times New Roman" w:cs="Times New Roman" w:hAnsiTheme="minorEastAsia" w:eastAsiaTheme="minorEastAsia"/>
                      <w:color w:val="auto"/>
                      <w:sz w:val="21"/>
                      <w:szCs w:val="21"/>
                      <w:highlight w:val="none"/>
                      <w:lang w:val="zh-CN"/>
                    </w:rPr>
                    <w:t>排水</w:t>
                  </w:r>
                </w:p>
              </w:tc>
              <w:tc>
                <w:tcPr>
                  <w:tcW w:w="3296" w:type="pct"/>
                  <w:tcBorders>
                    <w:top w:val="single" w:color="auto" w:sz="4" w:space="0"/>
                    <w:left w:val="single" w:color="auto" w:sz="4" w:space="0"/>
                    <w:bottom w:val="single" w:color="auto" w:sz="4" w:space="0"/>
                    <w:right w:val="single" w:color="auto" w:sz="4" w:space="0"/>
                  </w:tcBorders>
                  <w:vAlign w:val="center"/>
                </w:tcPr>
                <w:p w14:paraId="42B4838C">
                  <w:pPr>
                    <w:pStyle w:val="220"/>
                    <w:adjustRightInd w:val="0"/>
                    <w:snapToGrid w:val="0"/>
                    <w:spacing w:line="270" w:lineRule="exact"/>
                    <w:ind w:left="-53" w:leftChars="-25" w:right="-53" w:rightChars="-25"/>
                    <w:jc w:val="both"/>
                    <w:rPr>
                      <w:rFonts w:hint="eastAsia" w:ascii="Times New Roman" w:cs="Times New Roman" w:hAnsiTheme="minorEastAsia" w:eastAsiaTheme="minorEastAsia"/>
                      <w:color w:val="auto"/>
                      <w:sz w:val="21"/>
                      <w:szCs w:val="21"/>
                      <w:highlight w:val="none"/>
                    </w:rPr>
                  </w:pPr>
                  <w:r>
                    <w:rPr>
                      <w:rFonts w:hint="eastAsia" w:ascii="Times New Roman" w:cs="Times New Roman" w:hAnsiTheme="minorEastAsia" w:eastAsiaTheme="minorEastAsia"/>
                      <w:color w:val="auto"/>
                      <w:sz w:val="21"/>
                      <w:szCs w:val="21"/>
                      <w:highlight w:val="none"/>
                      <w:lang w:val="en-US" w:eastAsia="zh-CN"/>
                    </w:rPr>
                    <w:t>项目生产冷却用水循环使用不外排</w:t>
                  </w:r>
                  <w:r>
                    <w:rPr>
                      <w:rFonts w:hint="eastAsia" w:ascii="Times New Roman" w:cs="Times New Roman" w:hAnsiTheme="minorEastAsia" w:eastAsiaTheme="minorEastAsia"/>
                      <w:color w:val="auto"/>
                      <w:sz w:val="21"/>
                      <w:szCs w:val="21"/>
                      <w:highlight w:val="none"/>
                    </w:rPr>
                    <w:t>；</w:t>
                  </w:r>
                </w:p>
                <w:p w14:paraId="3A4F062E">
                  <w:pPr>
                    <w:pStyle w:val="220"/>
                    <w:adjustRightInd w:val="0"/>
                    <w:snapToGrid w:val="0"/>
                    <w:spacing w:line="270" w:lineRule="exact"/>
                    <w:ind w:left="-53" w:leftChars="-25" w:right="-53" w:rightChars="-25"/>
                    <w:jc w:val="both"/>
                    <w:rPr>
                      <w:rFonts w:ascii="Times New Roman" w:hAnsi="Times New Roman" w:cs="Times New Roman" w:eastAsiaTheme="minorEastAsia"/>
                      <w:color w:val="auto"/>
                      <w:sz w:val="21"/>
                      <w:szCs w:val="21"/>
                      <w:highlight w:val="none"/>
                      <w:lang w:val="zh-CN"/>
                    </w:rPr>
                  </w:pPr>
                  <w:r>
                    <w:rPr>
                      <w:rFonts w:ascii="Times New Roman" w:cs="Times New Roman" w:hAnsiTheme="minorEastAsia" w:eastAsiaTheme="minorEastAsia"/>
                      <w:color w:val="auto"/>
                      <w:sz w:val="21"/>
                      <w:szCs w:val="21"/>
                      <w:highlight w:val="none"/>
                    </w:rPr>
                    <w:t>生活污水经</w:t>
                  </w:r>
                  <w:r>
                    <w:rPr>
                      <w:rFonts w:hint="eastAsia" w:ascii="Times New Roman" w:cs="Times New Roman" w:hAnsiTheme="minorEastAsia" w:eastAsiaTheme="minorEastAsia"/>
                      <w:color w:val="auto"/>
                      <w:sz w:val="21"/>
                      <w:szCs w:val="21"/>
                      <w:highlight w:val="none"/>
                      <w:lang w:val="en-US" w:eastAsia="zh-CN"/>
                    </w:rPr>
                    <w:t>隔油池</w:t>
                  </w:r>
                  <w:r>
                    <w:rPr>
                      <w:rFonts w:ascii="Times New Roman" w:cs="Times New Roman" w:hAnsiTheme="minorEastAsia" w:eastAsiaTheme="minorEastAsia"/>
                      <w:color w:val="auto"/>
                      <w:sz w:val="21"/>
                      <w:szCs w:val="21"/>
                      <w:highlight w:val="none"/>
                    </w:rPr>
                    <w:t>处理后排入污水管网，最后进入</w:t>
                  </w:r>
                  <w:r>
                    <w:rPr>
                      <w:rFonts w:hint="eastAsia" w:ascii="Times New Roman" w:cs="Times New Roman" w:hAnsiTheme="minorEastAsia" w:eastAsiaTheme="minorEastAsia"/>
                      <w:color w:val="auto"/>
                      <w:sz w:val="21"/>
                      <w:szCs w:val="21"/>
                      <w:highlight w:val="none"/>
                      <w:lang w:val="en-US" w:eastAsia="zh-CN"/>
                    </w:rPr>
                    <w:t>和静县</w:t>
                  </w:r>
                  <w:r>
                    <w:rPr>
                      <w:rFonts w:hint="eastAsia" w:ascii="Times New Roman" w:cs="Times New Roman" w:hAnsiTheme="minorEastAsia" w:eastAsiaTheme="minorEastAsia"/>
                      <w:color w:val="auto"/>
                      <w:sz w:val="21"/>
                      <w:szCs w:val="21"/>
                      <w:highlight w:val="none"/>
                    </w:rPr>
                    <w:t>城</w:t>
                  </w:r>
                  <w:r>
                    <w:rPr>
                      <w:rFonts w:hint="eastAsia" w:ascii="Times New Roman" w:cs="Times New Roman" w:hAnsiTheme="minorEastAsia" w:eastAsiaTheme="minorEastAsia"/>
                      <w:color w:val="auto"/>
                      <w:sz w:val="21"/>
                      <w:szCs w:val="21"/>
                      <w:highlight w:val="none"/>
                      <w:lang w:val="en-US" w:eastAsia="zh-CN"/>
                    </w:rPr>
                    <w:t>镇</w:t>
                  </w:r>
                  <w:r>
                    <w:rPr>
                      <w:rFonts w:hint="eastAsia" w:ascii="Times New Roman" w:cs="Times New Roman" w:hAnsiTheme="minorEastAsia" w:eastAsiaTheme="minorEastAsia"/>
                      <w:color w:val="auto"/>
                      <w:sz w:val="21"/>
                      <w:szCs w:val="21"/>
                      <w:highlight w:val="none"/>
                    </w:rPr>
                    <w:t>污水处理厂</w:t>
                  </w:r>
                  <w:r>
                    <w:rPr>
                      <w:rFonts w:ascii="Times New Roman" w:cs="Times New Roman" w:hAnsiTheme="minorEastAsia" w:eastAsiaTheme="minorEastAsia"/>
                      <w:color w:val="auto"/>
                      <w:sz w:val="21"/>
                      <w:szCs w:val="21"/>
                      <w:highlight w:val="none"/>
                    </w:rPr>
                    <w:t>处理</w:t>
                  </w:r>
                </w:p>
              </w:tc>
              <w:tc>
                <w:tcPr>
                  <w:tcW w:w="411" w:type="pct"/>
                  <w:tcBorders>
                    <w:top w:val="single" w:color="auto" w:sz="4" w:space="0"/>
                    <w:left w:val="single" w:color="auto" w:sz="4" w:space="0"/>
                    <w:bottom w:val="single" w:color="auto" w:sz="4" w:space="0"/>
                  </w:tcBorders>
                  <w:vAlign w:val="center"/>
                </w:tcPr>
                <w:p w14:paraId="3FC75AAF">
                  <w:pPr>
                    <w:pStyle w:val="220"/>
                    <w:adjustRightInd w:val="0"/>
                    <w:snapToGrid w:val="0"/>
                    <w:spacing w:line="270" w:lineRule="exact"/>
                    <w:ind w:left="-53" w:leftChars="-25" w:right="-53" w:rightChars="-25"/>
                    <w:rPr>
                      <w:rFonts w:ascii="Times New Roman" w:hAnsi="Times New Roman" w:cs="Times New Roman" w:eastAsiaTheme="minorEastAsia"/>
                      <w:color w:val="auto"/>
                      <w:sz w:val="21"/>
                      <w:szCs w:val="21"/>
                      <w:highlight w:val="none"/>
                    </w:rPr>
                  </w:pPr>
                  <w:r>
                    <w:rPr>
                      <w:rFonts w:ascii="Times New Roman" w:hAnsi="Times New Roman" w:cs="Times New Roman" w:eastAsiaTheme="minorEastAsia"/>
                      <w:color w:val="auto"/>
                      <w:sz w:val="21"/>
                      <w:szCs w:val="21"/>
                      <w:highlight w:val="none"/>
                    </w:rPr>
                    <w:t>/</w:t>
                  </w:r>
                </w:p>
              </w:tc>
            </w:tr>
            <w:tr w14:paraId="0CBCD8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0" w:type="pct"/>
                  <w:vMerge w:val="restart"/>
                  <w:tcBorders>
                    <w:top w:val="single" w:color="auto" w:sz="4" w:space="0"/>
                    <w:bottom w:val="single" w:color="auto" w:sz="4" w:space="0"/>
                    <w:right w:val="single" w:color="auto" w:sz="4" w:space="0"/>
                  </w:tcBorders>
                  <w:vAlign w:val="center"/>
                </w:tcPr>
                <w:p w14:paraId="2C179FA9">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eastAsiaTheme="minorEastAsia"/>
                      <w:color w:val="auto"/>
                      <w:szCs w:val="21"/>
                      <w:highlight w:val="none"/>
                    </w:rPr>
                    <w:t>4</w:t>
                  </w:r>
                </w:p>
              </w:tc>
              <w:tc>
                <w:tcPr>
                  <w:tcW w:w="405" w:type="pct"/>
                  <w:vMerge w:val="restart"/>
                  <w:tcBorders>
                    <w:top w:val="single" w:color="auto" w:sz="4" w:space="0"/>
                    <w:left w:val="single" w:color="auto" w:sz="4" w:space="0"/>
                    <w:bottom w:val="single" w:color="auto" w:sz="4" w:space="0"/>
                    <w:right w:val="single" w:color="auto" w:sz="4" w:space="0"/>
                  </w:tcBorders>
                  <w:vAlign w:val="center"/>
                </w:tcPr>
                <w:p w14:paraId="393672F3">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hAnsiTheme="minorEastAsia" w:eastAsiaTheme="minorEastAsia"/>
                      <w:color w:val="auto"/>
                      <w:szCs w:val="21"/>
                      <w:highlight w:val="none"/>
                    </w:rPr>
                    <w:t>环保工程</w:t>
                  </w:r>
                </w:p>
              </w:tc>
              <w:tc>
                <w:tcPr>
                  <w:tcW w:w="507" w:type="pct"/>
                  <w:tcBorders>
                    <w:top w:val="single" w:color="auto" w:sz="4" w:space="0"/>
                    <w:left w:val="single" w:color="auto" w:sz="4" w:space="0"/>
                    <w:bottom w:val="single" w:color="auto" w:sz="4" w:space="0"/>
                    <w:right w:val="single" w:color="auto" w:sz="4" w:space="0"/>
                  </w:tcBorders>
                  <w:vAlign w:val="center"/>
                </w:tcPr>
                <w:p w14:paraId="34CB0B43">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hAnsiTheme="minorEastAsia" w:eastAsiaTheme="minorEastAsia"/>
                      <w:color w:val="auto"/>
                      <w:szCs w:val="21"/>
                      <w:highlight w:val="none"/>
                    </w:rPr>
                    <w:t>废气</w:t>
                  </w:r>
                </w:p>
              </w:tc>
              <w:tc>
                <w:tcPr>
                  <w:tcW w:w="3296" w:type="pct"/>
                  <w:tcBorders>
                    <w:top w:val="single" w:color="auto" w:sz="4" w:space="0"/>
                    <w:left w:val="single" w:color="auto" w:sz="4" w:space="0"/>
                    <w:bottom w:val="single" w:color="auto" w:sz="4" w:space="0"/>
                    <w:right w:val="single" w:color="auto" w:sz="4" w:space="0"/>
                  </w:tcBorders>
                  <w:vAlign w:val="center"/>
                </w:tcPr>
                <w:p w14:paraId="01068BA0">
                  <w:pPr>
                    <w:overflowPunct w:val="0"/>
                    <w:adjustRightInd w:val="0"/>
                    <w:snapToGrid w:val="0"/>
                    <w:spacing w:line="270" w:lineRule="exact"/>
                    <w:ind w:left="-53" w:leftChars="-25" w:right="-53" w:rightChars="-25"/>
                    <w:rPr>
                      <w:rFonts w:hint="eastAsia"/>
                      <w:color w:val="auto"/>
                      <w:sz w:val="21"/>
                      <w:szCs w:val="21"/>
                      <w:highlight w:val="none"/>
                      <w:lang w:eastAsia="zh-CN"/>
                    </w:rPr>
                  </w:pPr>
                  <w:r>
                    <w:rPr>
                      <w:rFonts w:hint="eastAsia" w:hAnsiTheme="minorEastAsia" w:eastAsiaTheme="minorEastAsia"/>
                      <w:color w:val="auto"/>
                      <w:spacing w:val="-5"/>
                      <w:szCs w:val="21"/>
                      <w:highlight w:val="none"/>
                      <w:lang w:val="en-US" w:eastAsia="zh-CN"/>
                    </w:rPr>
                    <w:t>塑料包装袋生产线在混料工序产生的粉尘和挤出熔融、吹胀工序产生的有机废气分别由集气罩收集后，经过布袋除尘器和活性炭-吸附-脱附+催化燃烧装置</w:t>
                  </w:r>
                  <w:r>
                    <w:rPr>
                      <w:rFonts w:hint="eastAsia"/>
                      <w:color w:val="auto"/>
                      <w:sz w:val="21"/>
                      <w:szCs w:val="21"/>
                      <w:highlight w:val="none"/>
                    </w:rPr>
                    <w:t>处理达标后经15m高排气筒</w:t>
                  </w:r>
                  <w:r>
                    <w:rPr>
                      <w:rFonts w:hint="eastAsia"/>
                      <w:color w:val="auto"/>
                      <w:sz w:val="21"/>
                      <w:szCs w:val="21"/>
                      <w:highlight w:val="none"/>
                      <w:lang w:val="en-US" w:eastAsia="zh-CN"/>
                    </w:rPr>
                    <w:t xml:space="preserve"> DA001</w:t>
                  </w:r>
                  <w:r>
                    <w:rPr>
                      <w:rFonts w:hint="eastAsia"/>
                      <w:color w:val="auto"/>
                      <w:sz w:val="21"/>
                      <w:szCs w:val="21"/>
                      <w:highlight w:val="none"/>
                    </w:rPr>
                    <w:t>排放</w:t>
                  </w:r>
                  <w:r>
                    <w:rPr>
                      <w:rFonts w:hint="eastAsia"/>
                      <w:color w:val="auto"/>
                      <w:sz w:val="21"/>
                      <w:szCs w:val="21"/>
                      <w:highlight w:val="none"/>
                      <w:lang w:eastAsia="zh-CN"/>
                    </w:rPr>
                    <w:t>；</w:t>
                  </w:r>
                </w:p>
                <w:p w14:paraId="4CB2B90E">
                  <w:pPr>
                    <w:overflowPunct w:val="0"/>
                    <w:adjustRightInd w:val="0"/>
                    <w:snapToGrid w:val="0"/>
                    <w:spacing w:line="270" w:lineRule="exact"/>
                    <w:ind w:left="-53" w:leftChars="-25" w:right="-53" w:rightChars="-25"/>
                    <w:rPr>
                      <w:rFonts w:hint="default" w:eastAsia="宋体"/>
                      <w:color w:val="auto"/>
                      <w:szCs w:val="21"/>
                      <w:highlight w:val="yellow"/>
                      <w:lang w:val="en-US" w:eastAsia="zh-CN"/>
                    </w:rPr>
                  </w:pPr>
                  <w:r>
                    <w:rPr>
                      <w:rFonts w:hint="eastAsia" w:hAnsiTheme="minorEastAsia" w:eastAsiaTheme="minorEastAsia"/>
                      <w:color w:val="auto"/>
                      <w:spacing w:val="-5"/>
                      <w:szCs w:val="21"/>
                      <w:highlight w:val="none"/>
                      <w:lang w:val="en-US" w:eastAsia="zh-CN"/>
                    </w:rPr>
                    <w:t>农用贴片滴灌带生产线在混料工序产生的粉尘和挤出成型工序产生的有机废气分别由集气罩收集后，经过布袋除尘器和活性炭-吸附-脱附+催化燃烧装置</w:t>
                  </w:r>
                  <w:r>
                    <w:rPr>
                      <w:rFonts w:hint="eastAsia"/>
                      <w:color w:val="auto"/>
                      <w:sz w:val="21"/>
                      <w:szCs w:val="21"/>
                      <w:highlight w:val="none"/>
                    </w:rPr>
                    <w:t>处理达标后经15m高排气筒</w:t>
                  </w:r>
                  <w:r>
                    <w:rPr>
                      <w:rFonts w:hint="eastAsia"/>
                      <w:color w:val="auto"/>
                      <w:sz w:val="21"/>
                      <w:szCs w:val="21"/>
                      <w:highlight w:val="none"/>
                      <w:lang w:val="en-US" w:eastAsia="zh-CN"/>
                    </w:rPr>
                    <w:t xml:space="preserve"> DA002</w:t>
                  </w:r>
                  <w:r>
                    <w:rPr>
                      <w:rFonts w:hint="eastAsia"/>
                      <w:color w:val="auto"/>
                      <w:sz w:val="21"/>
                      <w:szCs w:val="21"/>
                      <w:highlight w:val="none"/>
                    </w:rPr>
                    <w:t>排放</w:t>
                  </w:r>
                  <w:r>
                    <w:rPr>
                      <w:rFonts w:hint="eastAsia"/>
                      <w:color w:val="auto"/>
                      <w:sz w:val="21"/>
                      <w:szCs w:val="21"/>
                      <w:highlight w:val="none"/>
                      <w:lang w:val="en-US" w:eastAsia="zh-CN"/>
                    </w:rPr>
                    <w:t>。</w:t>
                  </w:r>
                </w:p>
              </w:tc>
              <w:tc>
                <w:tcPr>
                  <w:tcW w:w="411" w:type="pct"/>
                  <w:tcBorders>
                    <w:top w:val="single" w:color="auto" w:sz="4" w:space="0"/>
                    <w:left w:val="single" w:color="auto" w:sz="4" w:space="0"/>
                    <w:bottom w:val="single" w:color="auto" w:sz="4" w:space="0"/>
                  </w:tcBorders>
                  <w:vAlign w:val="center"/>
                </w:tcPr>
                <w:p w14:paraId="1E148DE5">
                  <w:pPr>
                    <w:overflowPunct w:val="0"/>
                    <w:adjustRightInd w:val="0"/>
                    <w:snapToGrid w:val="0"/>
                    <w:spacing w:line="270" w:lineRule="exact"/>
                    <w:ind w:left="-53" w:leftChars="-25" w:right="-53" w:rightChars="-25"/>
                    <w:jc w:val="center"/>
                    <w:rPr>
                      <w:rFonts w:hint="default" w:eastAsiaTheme="minorEastAsia"/>
                      <w:color w:val="auto"/>
                      <w:szCs w:val="21"/>
                      <w:highlight w:val="none"/>
                      <w:lang w:val="en-US" w:eastAsia="zh-CN"/>
                    </w:rPr>
                  </w:pPr>
                  <w:r>
                    <w:rPr>
                      <w:rFonts w:hint="eastAsia" w:eastAsiaTheme="minorEastAsia"/>
                      <w:color w:val="auto"/>
                      <w:szCs w:val="21"/>
                      <w:highlight w:val="none"/>
                      <w:lang w:val="en-US" w:eastAsia="zh-CN"/>
                    </w:rPr>
                    <w:t>/</w:t>
                  </w:r>
                </w:p>
              </w:tc>
            </w:tr>
            <w:tr w14:paraId="4D5ACE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0" w:type="pct"/>
                  <w:vMerge w:val="continue"/>
                  <w:tcBorders>
                    <w:top w:val="single" w:color="auto" w:sz="4" w:space="0"/>
                    <w:bottom w:val="single" w:color="auto" w:sz="4" w:space="0"/>
                    <w:right w:val="single" w:color="auto" w:sz="4" w:space="0"/>
                  </w:tcBorders>
                  <w:vAlign w:val="center"/>
                </w:tcPr>
                <w:p w14:paraId="1B513A93">
                  <w:pPr>
                    <w:overflowPunct w:val="0"/>
                    <w:adjustRightInd w:val="0"/>
                    <w:snapToGrid w:val="0"/>
                    <w:spacing w:line="270" w:lineRule="exact"/>
                    <w:ind w:left="-53" w:leftChars="-25" w:right="-53" w:rightChars="-25"/>
                    <w:jc w:val="center"/>
                    <w:rPr>
                      <w:rFonts w:eastAsiaTheme="minorEastAsia"/>
                      <w:color w:val="auto"/>
                      <w:szCs w:val="21"/>
                      <w:highlight w:val="none"/>
                    </w:rPr>
                  </w:pPr>
                </w:p>
              </w:tc>
              <w:tc>
                <w:tcPr>
                  <w:tcW w:w="405" w:type="pct"/>
                  <w:vMerge w:val="continue"/>
                  <w:tcBorders>
                    <w:top w:val="single" w:color="auto" w:sz="4" w:space="0"/>
                    <w:left w:val="single" w:color="auto" w:sz="4" w:space="0"/>
                    <w:bottom w:val="single" w:color="auto" w:sz="4" w:space="0"/>
                    <w:right w:val="single" w:color="auto" w:sz="4" w:space="0"/>
                  </w:tcBorders>
                  <w:vAlign w:val="center"/>
                </w:tcPr>
                <w:p w14:paraId="7FCE7D54">
                  <w:pPr>
                    <w:overflowPunct w:val="0"/>
                    <w:adjustRightInd w:val="0"/>
                    <w:snapToGrid w:val="0"/>
                    <w:spacing w:line="270" w:lineRule="exact"/>
                    <w:ind w:left="-53" w:leftChars="-25" w:right="-53" w:rightChars="-25"/>
                    <w:jc w:val="center"/>
                    <w:rPr>
                      <w:rFonts w:eastAsiaTheme="minorEastAsia"/>
                      <w:color w:val="auto"/>
                      <w:szCs w:val="21"/>
                      <w:highlight w:val="none"/>
                    </w:rPr>
                  </w:pPr>
                </w:p>
              </w:tc>
              <w:tc>
                <w:tcPr>
                  <w:tcW w:w="507" w:type="pct"/>
                  <w:tcBorders>
                    <w:top w:val="single" w:color="auto" w:sz="4" w:space="0"/>
                    <w:left w:val="single" w:color="auto" w:sz="4" w:space="0"/>
                    <w:bottom w:val="single" w:color="auto" w:sz="4" w:space="0"/>
                    <w:right w:val="single" w:color="auto" w:sz="4" w:space="0"/>
                  </w:tcBorders>
                  <w:vAlign w:val="center"/>
                </w:tcPr>
                <w:p w14:paraId="3B5C1E10">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hAnsiTheme="minorEastAsia" w:eastAsiaTheme="minorEastAsia"/>
                      <w:color w:val="auto"/>
                      <w:szCs w:val="21"/>
                      <w:highlight w:val="none"/>
                    </w:rPr>
                    <w:t>废水</w:t>
                  </w:r>
                </w:p>
              </w:tc>
              <w:tc>
                <w:tcPr>
                  <w:tcW w:w="3296" w:type="pct"/>
                  <w:tcBorders>
                    <w:top w:val="single" w:color="auto" w:sz="4" w:space="0"/>
                    <w:left w:val="single" w:color="auto" w:sz="4" w:space="0"/>
                    <w:bottom w:val="single" w:color="auto" w:sz="4" w:space="0"/>
                    <w:right w:val="single" w:color="auto" w:sz="4" w:space="0"/>
                  </w:tcBorders>
                  <w:vAlign w:val="center"/>
                </w:tcPr>
                <w:p w14:paraId="3FF80A95">
                  <w:pPr>
                    <w:pStyle w:val="220"/>
                    <w:adjustRightInd w:val="0"/>
                    <w:snapToGrid w:val="0"/>
                    <w:spacing w:line="270" w:lineRule="exact"/>
                    <w:ind w:left="-53" w:leftChars="-25" w:right="-53" w:rightChars="-25"/>
                    <w:jc w:val="both"/>
                    <w:rPr>
                      <w:rFonts w:hint="eastAsia" w:ascii="Times New Roman" w:cs="Times New Roman" w:hAnsiTheme="minorEastAsia" w:eastAsiaTheme="minorEastAsia"/>
                      <w:color w:val="auto"/>
                      <w:sz w:val="21"/>
                      <w:szCs w:val="21"/>
                      <w:highlight w:val="none"/>
                      <w:lang w:val="en-US" w:eastAsia="zh-CN"/>
                    </w:rPr>
                  </w:pPr>
                  <w:r>
                    <w:rPr>
                      <w:rFonts w:hint="eastAsia" w:ascii="Times New Roman" w:cs="Times New Roman" w:hAnsiTheme="minorEastAsia" w:eastAsiaTheme="minorEastAsia"/>
                      <w:color w:val="auto"/>
                      <w:sz w:val="21"/>
                      <w:szCs w:val="21"/>
                      <w:highlight w:val="none"/>
                      <w:lang w:val="en-US" w:eastAsia="zh-CN"/>
                    </w:rPr>
                    <w:t>本项目</w:t>
                  </w:r>
                  <w:r>
                    <w:rPr>
                      <w:rFonts w:hint="eastAsia" w:ascii="Times New Roman" w:hAnsi="Times New Roman" w:cs="Times New Roman"/>
                      <w:b w:val="0"/>
                      <w:color w:val="auto"/>
                      <w:sz w:val="21"/>
                      <w:szCs w:val="21"/>
                      <w:highlight w:val="none"/>
                      <w:lang w:val="en-US" w:eastAsia="zh-CN"/>
                    </w:rPr>
                    <w:t>用水主要生活用水和冷却用水，生产冷却用水循环使用，无废水外排</w:t>
                  </w:r>
                  <w:r>
                    <w:rPr>
                      <w:rFonts w:hint="eastAsia" w:ascii="Times New Roman" w:cs="Times New Roman" w:hAnsiTheme="minorEastAsia" w:eastAsiaTheme="minorEastAsia"/>
                      <w:color w:val="auto"/>
                      <w:sz w:val="21"/>
                      <w:szCs w:val="21"/>
                      <w:highlight w:val="none"/>
                      <w:lang w:val="en-US" w:eastAsia="zh-CN"/>
                    </w:rPr>
                    <w:t>；</w:t>
                  </w:r>
                </w:p>
                <w:p w14:paraId="574EDF15">
                  <w:pPr>
                    <w:pStyle w:val="220"/>
                    <w:adjustRightInd w:val="0"/>
                    <w:snapToGrid w:val="0"/>
                    <w:spacing w:line="270" w:lineRule="exact"/>
                    <w:ind w:left="-53" w:leftChars="-25" w:right="-53" w:rightChars="-25"/>
                    <w:jc w:val="both"/>
                    <w:rPr>
                      <w:rFonts w:ascii="Times New Roman" w:hAnsi="Times New Roman" w:cs="Times New Roman" w:eastAsiaTheme="minorEastAsia"/>
                      <w:color w:val="auto"/>
                      <w:sz w:val="21"/>
                      <w:szCs w:val="21"/>
                      <w:highlight w:val="none"/>
                    </w:rPr>
                  </w:pPr>
                  <w:r>
                    <w:rPr>
                      <w:rFonts w:ascii="Times New Roman" w:cs="Times New Roman" w:hAnsiTheme="minorEastAsia" w:eastAsiaTheme="minorEastAsia"/>
                      <w:color w:val="auto"/>
                      <w:sz w:val="21"/>
                      <w:szCs w:val="21"/>
                      <w:highlight w:val="none"/>
                    </w:rPr>
                    <w:t>生活污水经</w:t>
                  </w:r>
                  <w:r>
                    <w:rPr>
                      <w:rFonts w:hint="eastAsia" w:ascii="Times New Roman" w:cs="Times New Roman" w:hAnsiTheme="minorEastAsia" w:eastAsiaTheme="minorEastAsia"/>
                      <w:color w:val="auto"/>
                      <w:sz w:val="21"/>
                      <w:szCs w:val="21"/>
                      <w:highlight w:val="none"/>
                      <w:lang w:val="en-US" w:eastAsia="zh-CN"/>
                    </w:rPr>
                    <w:t>隔油池</w:t>
                  </w:r>
                  <w:r>
                    <w:rPr>
                      <w:rFonts w:ascii="Times New Roman" w:cs="Times New Roman" w:hAnsiTheme="minorEastAsia" w:eastAsiaTheme="minorEastAsia"/>
                      <w:color w:val="auto"/>
                      <w:sz w:val="21"/>
                      <w:szCs w:val="21"/>
                      <w:highlight w:val="none"/>
                    </w:rPr>
                    <w:t>处理后排入污水管网，最后进入</w:t>
                  </w:r>
                  <w:r>
                    <w:rPr>
                      <w:rFonts w:hint="eastAsia" w:ascii="Times New Roman" w:cs="Times New Roman" w:hAnsiTheme="minorEastAsia" w:eastAsiaTheme="minorEastAsia"/>
                      <w:color w:val="auto"/>
                      <w:sz w:val="21"/>
                      <w:szCs w:val="21"/>
                      <w:highlight w:val="none"/>
                      <w:lang w:val="en-US" w:eastAsia="zh-CN"/>
                    </w:rPr>
                    <w:t>和静</w:t>
                  </w:r>
                  <w:r>
                    <w:rPr>
                      <w:rFonts w:hint="eastAsia" w:ascii="Times New Roman" w:cs="Times New Roman" w:hAnsiTheme="minorEastAsia" w:eastAsiaTheme="minorEastAsia"/>
                      <w:color w:val="auto"/>
                      <w:sz w:val="21"/>
                      <w:szCs w:val="21"/>
                      <w:highlight w:val="none"/>
                    </w:rPr>
                    <w:t>县城</w:t>
                  </w:r>
                  <w:r>
                    <w:rPr>
                      <w:rFonts w:hint="eastAsia" w:ascii="Times New Roman" w:cs="Times New Roman" w:hAnsiTheme="minorEastAsia" w:eastAsiaTheme="minorEastAsia"/>
                      <w:color w:val="auto"/>
                      <w:sz w:val="21"/>
                      <w:szCs w:val="21"/>
                      <w:highlight w:val="none"/>
                      <w:lang w:val="en-US" w:eastAsia="zh-CN"/>
                    </w:rPr>
                    <w:t>镇</w:t>
                  </w:r>
                  <w:r>
                    <w:rPr>
                      <w:rFonts w:hint="eastAsia" w:ascii="Times New Roman" w:cs="Times New Roman" w:hAnsiTheme="minorEastAsia" w:eastAsiaTheme="minorEastAsia"/>
                      <w:color w:val="auto"/>
                      <w:sz w:val="21"/>
                      <w:szCs w:val="21"/>
                      <w:highlight w:val="none"/>
                    </w:rPr>
                    <w:t>污水处理厂</w:t>
                  </w:r>
                  <w:r>
                    <w:rPr>
                      <w:rFonts w:ascii="Times New Roman" w:cs="Times New Roman" w:hAnsiTheme="minorEastAsia" w:eastAsiaTheme="minorEastAsia"/>
                      <w:color w:val="auto"/>
                      <w:sz w:val="21"/>
                      <w:szCs w:val="21"/>
                      <w:highlight w:val="none"/>
                    </w:rPr>
                    <w:t>处理。</w:t>
                  </w:r>
                </w:p>
              </w:tc>
              <w:tc>
                <w:tcPr>
                  <w:tcW w:w="411" w:type="pct"/>
                  <w:tcBorders>
                    <w:top w:val="single" w:color="auto" w:sz="4" w:space="0"/>
                    <w:left w:val="single" w:color="auto" w:sz="4" w:space="0"/>
                    <w:bottom w:val="single" w:color="auto" w:sz="4" w:space="0"/>
                  </w:tcBorders>
                  <w:vAlign w:val="center"/>
                </w:tcPr>
                <w:p w14:paraId="54B50593">
                  <w:pPr>
                    <w:pStyle w:val="220"/>
                    <w:adjustRightInd w:val="0"/>
                    <w:snapToGrid w:val="0"/>
                    <w:spacing w:line="270" w:lineRule="exact"/>
                    <w:ind w:left="-53" w:leftChars="-25" w:right="-53" w:rightChars="-25"/>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w:t>
                  </w:r>
                </w:p>
              </w:tc>
            </w:tr>
            <w:tr w14:paraId="26F97E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0" w:type="pct"/>
                  <w:vMerge w:val="continue"/>
                  <w:tcBorders>
                    <w:top w:val="single" w:color="auto" w:sz="4" w:space="0"/>
                    <w:bottom w:val="single" w:color="auto" w:sz="4" w:space="0"/>
                    <w:right w:val="single" w:color="auto" w:sz="4" w:space="0"/>
                  </w:tcBorders>
                  <w:vAlign w:val="center"/>
                </w:tcPr>
                <w:p w14:paraId="33AACF61">
                  <w:pPr>
                    <w:overflowPunct w:val="0"/>
                    <w:adjustRightInd w:val="0"/>
                    <w:snapToGrid w:val="0"/>
                    <w:spacing w:line="270" w:lineRule="exact"/>
                    <w:ind w:left="-53" w:leftChars="-25" w:right="-53" w:rightChars="-25"/>
                    <w:jc w:val="center"/>
                    <w:rPr>
                      <w:rFonts w:eastAsiaTheme="minorEastAsia"/>
                      <w:color w:val="auto"/>
                      <w:szCs w:val="21"/>
                      <w:highlight w:val="none"/>
                    </w:rPr>
                  </w:pPr>
                </w:p>
              </w:tc>
              <w:tc>
                <w:tcPr>
                  <w:tcW w:w="405" w:type="pct"/>
                  <w:vMerge w:val="continue"/>
                  <w:tcBorders>
                    <w:top w:val="single" w:color="auto" w:sz="4" w:space="0"/>
                    <w:left w:val="single" w:color="auto" w:sz="4" w:space="0"/>
                    <w:bottom w:val="single" w:color="auto" w:sz="4" w:space="0"/>
                    <w:right w:val="single" w:color="auto" w:sz="4" w:space="0"/>
                  </w:tcBorders>
                  <w:vAlign w:val="center"/>
                </w:tcPr>
                <w:p w14:paraId="66BC7A00">
                  <w:pPr>
                    <w:overflowPunct w:val="0"/>
                    <w:adjustRightInd w:val="0"/>
                    <w:snapToGrid w:val="0"/>
                    <w:spacing w:line="270" w:lineRule="exact"/>
                    <w:ind w:left="-53" w:leftChars="-25" w:right="-53" w:rightChars="-25"/>
                    <w:jc w:val="center"/>
                    <w:rPr>
                      <w:rFonts w:eastAsiaTheme="minorEastAsia"/>
                      <w:color w:val="auto"/>
                      <w:szCs w:val="21"/>
                      <w:highlight w:val="none"/>
                    </w:rPr>
                  </w:pPr>
                </w:p>
              </w:tc>
              <w:tc>
                <w:tcPr>
                  <w:tcW w:w="507" w:type="pct"/>
                  <w:tcBorders>
                    <w:top w:val="single" w:color="auto" w:sz="4" w:space="0"/>
                    <w:left w:val="single" w:color="auto" w:sz="4" w:space="0"/>
                    <w:bottom w:val="single" w:color="auto" w:sz="4" w:space="0"/>
                    <w:right w:val="single" w:color="auto" w:sz="4" w:space="0"/>
                  </w:tcBorders>
                  <w:vAlign w:val="center"/>
                </w:tcPr>
                <w:p w14:paraId="7BEEAD94">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hAnsiTheme="minorEastAsia" w:eastAsiaTheme="minorEastAsia"/>
                      <w:color w:val="auto"/>
                      <w:szCs w:val="21"/>
                      <w:highlight w:val="none"/>
                    </w:rPr>
                    <w:t>噪声</w:t>
                  </w:r>
                </w:p>
              </w:tc>
              <w:tc>
                <w:tcPr>
                  <w:tcW w:w="3296" w:type="pct"/>
                  <w:tcBorders>
                    <w:top w:val="single" w:color="auto" w:sz="4" w:space="0"/>
                    <w:left w:val="single" w:color="auto" w:sz="4" w:space="0"/>
                    <w:bottom w:val="single" w:color="auto" w:sz="4" w:space="0"/>
                    <w:right w:val="single" w:color="auto" w:sz="4" w:space="0"/>
                  </w:tcBorders>
                  <w:vAlign w:val="center"/>
                </w:tcPr>
                <w:p w14:paraId="3F3FD0B3">
                  <w:pPr>
                    <w:overflowPunct w:val="0"/>
                    <w:adjustRightInd w:val="0"/>
                    <w:snapToGrid w:val="0"/>
                    <w:spacing w:line="270" w:lineRule="exact"/>
                    <w:ind w:left="-53" w:leftChars="-25" w:right="-53" w:rightChars="-25"/>
                    <w:rPr>
                      <w:rFonts w:eastAsiaTheme="minorEastAsia"/>
                      <w:color w:val="auto"/>
                      <w:szCs w:val="21"/>
                      <w:highlight w:val="none"/>
                    </w:rPr>
                  </w:pPr>
                  <w:r>
                    <w:rPr>
                      <w:rFonts w:hAnsiTheme="minorEastAsia" w:eastAsiaTheme="minorEastAsia"/>
                      <w:color w:val="auto"/>
                      <w:szCs w:val="21"/>
                      <w:highlight w:val="none"/>
                    </w:rPr>
                    <w:t>合理布局，选用低噪设备，基础减振等措施。</w:t>
                  </w:r>
                </w:p>
              </w:tc>
              <w:tc>
                <w:tcPr>
                  <w:tcW w:w="411" w:type="pct"/>
                  <w:tcBorders>
                    <w:top w:val="single" w:color="auto" w:sz="4" w:space="0"/>
                    <w:left w:val="single" w:color="auto" w:sz="4" w:space="0"/>
                    <w:bottom w:val="single" w:color="auto" w:sz="4" w:space="0"/>
                  </w:tcBorders>
                  <w:vAlign w:val="center"/>
                </w:tcPr>
                <w:p w14:paraId="65D60701">
                  <w:pPr>
                    <w:overflowPunct w:val="0"/>
                    <w:adjustRightInd w:val="0"/>
                    <w:snapToGrid w:val="0"/>
                    <w:spacing w:line="270" w:lineRule="exact"/>
                    <w:ind w:left="-53" w:leftChars="-25" w:right="-53" w:rightChars="-25"/>
                    <w:jc w:val="center"/>
                    <w:rPr>
                      <w:rFonts w:hint="eastAsia" w:eastAsiaTheme="minorEastAsia"/>
                      <w:color w:val="auto"/>
                      <w:szCs w:val="21"/>
                      <w:highlight w:val="none"/>
                      <w:lang w:eastAsia="zh-CN"/>
                    </w:rPr>
                  </w:pPr>
                  <w:r>
                    <w:rPr>
                      <w:rFonts w:hint="eastAsia" w:hAnsiTheme="minorEastAsia" w:eastAsiaTheme="minorEastAsia"/>
                      <w:color w:val="auto"/>
                      <w:szCs w:val="21"/>
                      <w:highlight w:val="none"/>
                      <w:lang w:val="en-US" w:eastAsia="zh-CN"/>
                    </w:rPr>
                    <w:t>/</w:t>
                  </w:r>
                </w:p>
              </w:tc>
            </w:tr>
            <w:tr w14:paraId="1BCC866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0" w:type="pct"/>
                  <w:vMerge w:val="continue"/>
                  <w:tcBorders>
                    <w:top w:val="single" w:color="auto" w:sz="4" w:space="0"/>
                    <w:bottom w:val="single" w:color="auto" w:sz="4" w:space="0"/>
                    <w:right w:val="single" w:color="auto" w:sz="4" w:space="0"/>
                  </w:tcBorders>
                  <w:vAlign w:val="center"/>
                </w:tcPr>
                <w:p w14:paraId="208385E2">
                  <w:pPr>
                    <w:overflowPunct w:val="0"/>
                    <w:adjustRightInd w:val="0"/>
                    <w:snapToGrid w:val="0"/>
                    <w:spacing w:line="270" w:lineRule="exact"/>
                    <w:ind w:left="-53" w:leftChars="-25" w:right="-53" w:rightChars="-25"/>
                    <w:jc w:val="center"/>
                    <w:rPr>
                      <w:rFonts w:eastAsiaTheme="minorEastAsia"/>
                      <w:color w:val="auto"/>
                      <w:szCs w:val="21"/>
                      <w:highlight w:val="none"/>
                    </w:rPr>
                  </w:pPr>
                </w:p>
              </w:tc>
              <w:tc>
                <w:tcPr>
                  <w:tcW w:w="405" w:type="pct"/>
                  <w:vMerge w:val="continue"/>
                  <w:tcBorders>
                    <w:top w:val="single" w:color="auto" w:sz="4" w:space="0"/>
                    <w:left w:val="single" w:color="auto" w:sz="4" w:space="0"/>
                    <w:bottom w:val="single" w:color="auto" w:sz="4" w:space="0"/>
                    <w:right w:val="single" w:color="auto" w:sz="4" w:space="0"/>
                  </w:tcBorders>
                  <w:vAlign w:val="center"/>
                </w:tcPr>
                <w:p w14:paraId="22FE5034">
                  <w:pPr>
                    <w:overflowPunct w:val="0"/>
                    <w:adjustRightInd w:val="0"/>
                    <w:snapToGrid w:val="0"/>
                    <w:spacing w:line="270" w:lineRule="exact"/>
                    <w:ind w:left="-53" w:leftChars="-25" w:right="-53" w:rightChars="-25"/>
                    <w:jc w:val="center"/>
                    <w:rPr>
                      <w:rFonts w:eastAsiaTheme="minorEastAsia"/>
                      <w:color w:val="auto"/>
                      <w:szCs w:val="21"/>
                      <w:highlight w:val="none"/>
                    </w:rPr>
                  </w:pPr>
                </w:p>
              </w:tc>
              <w:tc>
                <w:tcPr>
                  <w:tcW w:w="507" w:type="pct"/>
                  <w:vMerge w:val="restart"/>
                  <w:tcBorders>
                    <w:top w:val="single" w:color="auto" w:sz="4" w:space="0"/>
                    <w:left w:val="single" w:color="auto" w:sz="4" w:space="0"/>
                    <w:bottom w:val="single" w:color="auto" w:sz="4" w:space="0"/>
                    <w:right w:val="single" w:color="auto" w:sz="4" w:space="0"/>
                  </w:tcBorders>
                  <w:vAlign w:val="center"/>
                </w:tcPr>
                <w:p w14:paraId="081FEFE0">
                  <w:pPr>
                    <w:overflowPunct w:val="0"/>
                    <w:adjustRightInd w:val="0"/>
                    <w:snapToGrid w:val="0"/>
                    <w:spacing w:line="270" w:lineRule="exact"/>
                    <w:ind w:left="-53" w:leftChars="-25" w:right="-53" w:rightChars="-25"/>
                    <w:jc w:val="center"/>
                    <w:rPr>
                      <w:rFonts w:eastAsiaTheme="minorEastAsia"/>
                      <w:color w:val="auto"/>
                      <w:szCs w:val="21"/>
                      <w:highlight w:val="none"/>
                    </w:rPr>
                  </w:pPr>
                  <w:r>
                    <w:rPr>
                      <w:rFonts w:hAnsiTheme="minorEastAsia" w:eastAsiaTheme="minorEastAsia"/>
                      <w:color w:val="auto"/>
                      <w:szCs w:val="21"/>
                      <w:highlight w:val="none"/>
                    </w:rPr>
                    <w:t>固废</w:t>
                  </w:r>
                </w:p>
              </w:tc>
              <w:tc>
                <w:tcPr>
                  <w:tcW w:w="3296" w:type="pct"/>
                  <w:tcBorders>
                    <w:top w:val="single" w:color="auto" w:sz="4" w:space="0"/>
                    <w:left w:val="single" w:color="auto" w:sz="4" w:space="0"/>
                    <w:bottom w:val="single" w:color="auto" w:sz="4" w:space="0"/>
                    <w:right w:val="single" w:color="auto" w:sz="4" w:space="0"/>
                  </w:tcBorders>
                  <w:vAlign w:val="center"/>
                </w:tcPr>
                <w:p w14:paraId="6B680995">
                  <w:pPr>
                    <w:overflowPunct w:val="0"/>
                    <w:adjustRightInd w:val="0"/>
                    <w:snapToGrid w:val="0"/>
                    <w:spacing w:line="270" w:lineRule="exact"/>
                    <w:ind w:left="-53" w:leftChars="-25" w:right="-53" w:rightChars="-25"/>
                    <w:rPr>
                      <w:rFonts w:hAnsiTheme="minorEastAsia" w:eastAsiaTheme="minorEastAsia"/>
                      <w:color w:val="auto"/>
                      <w:kern w:val="44"/>
                      <w:szCs w:val="21"/>
                      <w:highlight w:val="none"/>
                    </w:rPr>
                  </w:pPr>
                  <w:r>
                    <w:rPr>
                      <w:rFonts w:hAnsiTheme="minorEastAsia" w:eastAsiaTheme="minorEastAsia"/>
                      <w:color w:val="auto"/>
                      <w:kern w:val="44"/>
                      <w:szCs w:val="21"/>
                      <w:highlight w:val="none"/>
                    </w:rPr>
                    <w:t>原料废包装</w:t>
                  </w:r>
                  <w:r>
                    <w:rPr>
                      <w:rFonts w:hint="eastAsia" w:hAnsiTheme="minorEastAsia" w:eastAsiaTheme="minorEastAsia"/>
                      <w:color w:val="auto"/>
                      <w:kern w:val="44"/>
                      <w:szCs w:val="21"/>
                      <w:highlight w:val="none"/>
                      <w:lang w:eastAsia="zh-CN"/>
                    </w:rPr>
                    <w:t>、</w:t>
                  </w:r>
                  <w:r>
                    <w:rPr>
                      <w:rFonts w:hint="eastAsia" w:hAnsiTheme="minorEastAsia" w:eastAsiaTheme="minorEastAsia"/>
                      <w:color w:val="auto"/>
                      <w:kern w:val="44"/>
                      <w:szCs w:val="21"/>
                      <w:highlight w:val="none"/>
                      <w:lang w:val="en-US" w:eastAsia="zh-CN"/>
                    </w:rPr>
                    <w:t>除尘灰</w:t>
                  </w:r>
                  <w:r>
                    <w:rPr>
                      <w:rFonts w:hAnsiTheme="minorEastAsia" w:eastAsiaTheme="minorEastAsia"/>
                      <w:color w:val="auto"/>
                      <w:kern w:val="44"/>
                      <w:szCs w:val="21"/>
                      <w:highlight w:val="none"/>
                    </w:rPr>
                    <w:t>外售；</w:t>
                  </w:r>
                </w:p>
                <w:p w14:paraId="2E4ED80F">
                  <w:pPr>
                    <w:overflowPunct w:val="0"/>
                    <w:adjustRightInd w:val="0"/>
                    <w:snapToGrid w:val="0"/>
                    <w:spacing w:line="270" w:lineRule="exact"/>
                    <w:ind w:left="-53" w:leftChars="-25" w:right="-53" w:rightChars="-25"/>
                    <w:rPr>
                      <w:rFonts w:hAnsiTheme="minorEastAsia" w:eastAsiaTheme="minorEastAsia"/>
                      <w:color w:val="auto"/>
                      <w:kern w:val="44"/>
                      <w:szCs w:val="21"/>
                      <w:highlight w:val="none"/>
                    </w:rPr>
                  </w:pPr>
                  <w:r>
                    <w:rPr>
                      <w:rFonts w:hAnsiTheme="minorEastAsia" w:eastAsiaTheme="minorEastAsia"/>
                      <w:color w:val="auto"/>
                      <w:kern w:val="44"/>
                      <w:szCs w:val="21"/>
                      <w:highlight w:val="none"/>
                    </w:rPr>
                    <w:t>边角料及残次品收集后回用于生产；</w:t>
                  </w:r>
                </w:p>
                <w:p w14:paraId="1C869ED1">
                  <w:pPr>
                    <w:overflowPunct w:val="0"/>
                    <w:adjustRightInd w:val="0"/>
                    <w:snapToGrid w:val="0"/>
                    <w:spacing w:line="270" w:lineRule="exact"/>
                    <w:ind w:left="-53" w:leftChars="-25" w:right="-53" w:rightChars="-25"/>
                    <w:rPr>
                      <w:rFonts w:eastAsiaTheme="minorEastAsia"/>
                      <w:color w:val="auto"/>
                      <w:szCs w:val="21"/>
                      <w:highlight w:val="none"/>
                    </w:rPr>
                  </w:pPr>
                  <w:r>
                    <w:rPr>
                      <w:rFonts w:hAnsiTheme="minorEastAsia" w:eastAsiaTheme="minorEastAsia"/>
                      <w:color w:val="auto"/>
                      <w:kern w:val="44"/>
                      <w:szCs w:val="21"/>
                      <w:highlight w:val="none"/>
                    </w:rPr>
                    <w:t>生活垃圾厂区内定</w:t>
                  </w:r>
                  <w:r>
                    <w:rPr>
                      <w:rFonts w:hint="eastAsia" w:hAnsiTheme="minorEastAsia" w:eastAsiaTheme="minorEastAsia"/>
                      <w:color w:val="auto"/>
                      <w:kern w:val="44"/>
                      <w:szCs w:val="21"/>
                      <w:highlight w:val="none"/>
                    </w:rPr>
                    <w:t>集中</w:t>
                  </w:r>
                  <w:r>
                    <w:rPr>
                      <w:rFonts w:hAnsiTheme="minorEastAsia" w:eastAsiaTheme="minorEastAsia"/>
                      <w:color w:val="auto"/>
                      <w:kern w:val="44"/>
                      <w:szCs w:val="21"/>
                      <w:highlight w:val="none"/>
                    </w:rPr>
                    <w:t>收集，交由环卫部门清运处置</w:t>
                  </w:r>
                  <w:r>
                    <w:rPr>
                      <w:rFonts w:hint="eastAsia" w:hAnsiTheme="minorEastAsia" w:eastAsiaTheme="minorEastAsia"/>
                      <w:color w:val="auto"/>
                      <w:kern w:val="44"/>
                      <w:szCs w:val="21"/>
                      <w:highlight w:val="none"/>
                    </w:rPr>
                    <w:t>。</w:t>
                  </w:r>
                </w:p>
              </w:tc>
              <w:tc>
                <w:tcPr>
                  <w:tcW w:w="411" w:type="pct"/>
                  <w:tcBorders>
                    <w:top w:val="single" w:color="auto" w:sz="4" w:space="0"/>
                    <w:left w:val="single" w:color="auto" w:sz="4" w:space="0"/>
                    <w:bottom w:val="single" w:color="auto" w:sz="4" w:space="0"/>
                  </w:tcBorders>
                  <w:vAlign w:val="center"/>
                </w:tcPr>
                <w:p w14:paraId="2B571CCD">
                  <w:pPr>
                    <w:overflowPunct w:val="0"/>
                    <w:adjustRightInd w:val="0"/>
                    <w:snapToGrid w:val="0"/>
                    <w:spacing w:line="270" w:lineRule="exact"/>
                    <w:ind w:left="-53" w:leftChars="-25" w:right="-53" w:rightChars="-25"/>
                    <w:jc w:val="center"/>
                    <w:rPr>
                      <w:rFonts w:hint="eastAsia" w:eastAsiaTheme="minorEastAsia"/>
                      <w:color w:val="auto"/>
                      <w:kern w:val="44"/>
                      <w:szCs w:val="21"/>
                      <w:highlight w:val="none"/>
                      <w:lang w:eastAsia="zh-CN"/>
                    </w:rPr>
                  </w:pPr>
                  <w:r>
                    <w:rPr>
                      <w:rFonts w:hint="eastAsia" w:hAnsiTheme="minorEastAsia" w:eastAsiaTheme="minorEastAsia"/>
                      <w:color w:val="auto"/>
                      <w:szCs w:val="21"/>
                      <w:highlight w:val="none"/>
                      <w:lang w:val="en-US" w:eastAsia="zh-CN"/>
                    </w:rPr>
                    <w:t>/</w:t>
                  </w:r>
                </w:p>
              </w:tc>
            </w:tr>
            <w:tr w14:paraId="3F9C82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0" w:type="pct"/>
                  <w:vMerge w:val="continue"/>
                  <w:tcBorders>
                    <w:top w:val="single" w:color="auto" w:sz="4" w:space="0"/>
                    <w:right w:val="single" w:color="auto" w:sz="4" w:space="0"/>
                  </w:tcBorders>
                  <w:vAlign w:val="center"/>
                </w:tcPr>
                <w:p w14:paraId="23E3D125">
                  <w:pPr>
                    <w:overflowPunct w:val="0"/>
                    <w:adjustRightInd w:val="0"/>
                    <w:snapToGrid w:val="0"/>
                    <w:spacing w:line="270" w:lineRule="exact"/>
                    <w:ind w:left="-53" w:leftChars="-25" w:right="-53" w:rightChars="-25"/>
                    <w:jc w:val="center"/>
                    <w:rPr>
                      <w:rFonts w:eastAsiaTheme="minorEastAsia"/>
                      <w:color w:val="auto"/>
                      <w:szCs w:val="21"/>
                      <w:highlight w:val="none"/>
                    </w:rPr>
                  </w:pPr>
                </w:p>
              </w:tc>
              <w:tc>
                <w:tcPr>
                  <w:tcW w:w="405" w:type="pct"/>
                  <w:vMerge w:val="continue"/>
                  <w:tcBorders>
                    <w:top w:val="single" w:color="auto" w:sz="4" w:space="0"/>
                    <w:left w:val="single" w:color="auto" w:sz="4" w:space="0"/>
                    <w:right w:val="single" w:color="auto" w:sz="4" w:space="0"/>
                  </w:tcBorders>
                  <w:vAlign w:val="center"/>
                </w:tcPr>
                <w:p w14:paraId="7A6439E3">
                  <w:pPr>
                    <w:overflowPunct w:val="0"/>
                    <w:adjustRightInd w:val="0"/>
                    <w:snapToGrid w:val="0"/>
                    <w:spacing w:line="270" w:lineRule="exact"/>
                    <w:ind w:left="-53" w:leftChars="-25" w:right="-53" w:rightChars="-25"/>
                    <w:jc w:val="center"/>
                    <w:rPr>
                      <w:rFonts w:eastAsiaTheme="minorEastAsia"/>
                      <w:color w:val="auto"/>
                      <w:szCs w:val="21"/>
                      <w:highlight w:val="none"/>
                    </w:rPr>
                  </w:pPr>
                </w:p>
              </w:tc>
              <w:tc>
                <w:tcPr>
                  <w:tcW w:w="507" w:type="pct"/>
                  <w:vMerge w:val="continue"/>
                  <w:tcBorders>
                    <w:top w:val="single" w:color="auto" w:sz="4" w:space="0"/>
                    <w:left w:val="single" w:color="auto" w:sz="4" w:space="0"/>
                    <w:right w:val="single" w:color="auto" w:sz="4" w:space="0"/>
                  </w:tcBorders>
                  <w:vAlign w:val="center"/>
                </w:tcPr>
                <w:p w14:paraId="62029F34">
                  <w:pPr>
                    <w:overflowPunct w:val="0"/>
                    <w:adjustRightInd w:val="0"/>
                    <w:snapToGrid w:val="0"/>
                    <w:spacing w:line="270" w:lineRule="exact"/>
                    <w:ind w:left="-53" w:leftChars="-25" w:right="-53" w:rightChars="-25"/>
                    <w:jc w:val="center"/>
                    <w:rPr>
                      <w:rFonts w:hAnsiTheme="minorEastAsia" w:eastAsiaTheme="minorEastAsia"/>
                      <w:color w:val="auto"/>
                      <w:szCs w:val="21"/>
                      <w:highlight w:val="none"/>
                    </w:rPr>
                  </w:pPr>
                </w:p>
              </w:tc>
              <w:tc>
                <w:tcPr>
                  <w:tcW w:w="3296" w:type="pct"/>
                  <w:tcBorders>
                    <w:top w:val="single" w:color="auto" w:sz="4" w:space="0"/>
                    <w:left w:val="single" w:color="auto" w:sz="4" w:space="0"/>
                    <w:right w:val="single" w:color="auto" w:sz="4" w:space="0"/>
                  </w:tcBorders>
                  <w:vAlign w:val="center"/>
                </w:tcPr>
                <w:p w14:paraId="55F9C599">
                  <w:pPr>
                    <w:overflowPunct w:val="0"/>
                    <w:adjustRightInd w:val="0"/>
                    <w:snapToGrid w:val="0"/>
                    <w:spacing w:line="270" w:lineRule="exact"/>
                    <w:ind w:left="-53" w:leftChars="-25" w:right="-53" w:rightChars="-25"/>
                    <w:rPr>
                      <w:rFonts w:hAnsiTheme="minorEastAsia" w:eastAsiaTheme="minorEastAsia"/>
                      <w:color w:val="auto"/>
                      <w:kern w:val="44"/>
                      <w:szCs w:val="21"/>
                      <w:highlight w:val="none"/>
                    </w:rPr>
                  </w:pPr>
                  <w:r>
                    <w:rPr>
                      <w:rFonts w:hAnsiTheme="minorEastAsia" w:eastAsiaTheme="minorEastAsia"/>
                      <w:color w:val="auto"/>
                      <w:kern w:val="44"/>
                      <w:szCs w:val="21"/>
                      <w:highlight w:val="none"/>
                    </w:rPr>
                    <w:t>废活性炭、</w:t>
                  </w:r>
                  <w:r>
                    <w:rPr>
                      <w:rFonts w:hint="eastAsia" w:hAnsiTheme="minorEastAsia" w:eastAsiaTheme="minorEastAsia"/>
                      <w:color w:val="auto"/>
                      <w:kern w:val="44"/>
                      <w:szCs w:val="21"/>
                      <w:highlight w:val="none"/>
                      <w:lang w:eastAsia="zh-CN"/>
                    </w:rPr>
                    <w:t>废催化剂</w:t>
                  </w:r>
                  <w:r>
                    <w:rPr>
                      <w:rFonts w:hAnsiTheme="minorEastAsia" w:eastAsiaTheme="minorEastAsia"/>
                      <w:color w:val="auto"/>
                      <w:kern w:val="44"/>
                      <w:szCs w:val="21"/>
                      <w:highlight w:val="none"/>
                    </w:rPr>
                    <w:t>、废机油分类分区暂存于危废贮存</w:t>
                  </w:r>
                  <w:r>
                    <w:rPr>
                      <w:rFonts w:hint="eastAsia" w:hAnsiTheme="minorEastAsia" w:eastAsiaTheme="minorEastAsia"/>
                      <w:color w:val="auto"/>
                      <w:kern w:val="44"/>
                      <w:szCs w:val="21"/>
                      <w:highlight w:val="none"/>
                      <w:lang w:val="en-US" w:eastAsia="zh-CN"/>
                    </w:rPr>
                    <w:t>库</w:t>
                  </w:r>
                  <w:r>
                    <w:rPr>
                      <w:rFonts w:hAnsiTheme="minorEastAsia" w:eastAsiaTheme="minorEastAsia"/>
                      <w:color w:val="auto"/>
                      <w:kern w:val="44"/>
                      <w:szCs w:val="21"/>
                      <w:highlight w:val="none"/>
                    </w:rPr>
                    <w:t>（</w:t>
                  </w:r>
                  <w:r>
                    <w:rPr>
                      <w:rFonts w:eastAsiaTheme="minorEastAsia"/>
                      <w:color w:val="auto"/>
                      <w:kern w:val="44"/>
                      <w:szCs w:val="21"/>
                      <w:highlight w:val="none"/>
                    </w:rPr>
                    <w:t>10m</w:t>
                  </w:r>
                  <w:r>
                    <w:rPr>
                      <w:rFonts w:eastAsiaTheme="minorEastAsia"/>
                      <w:color w:val="auto"/>
                      <w:kern w:val="44"/>
                      <w:szCs w:val="21"/>
                      <w:highlight w:val="none"/>
                      <w:vertAlign w:val="superscript"/>
                    </w:rPr>
                    <w:t>2</w:t>
                  </w:r>
                  <w:r>
                    <w:rPr>
                      <w:rFonts w:hAnsiTheme="minorEastAsia" w:eastAsiaTheme="minorEastAsia"/>
                      <w:color w:val="auto"/>
                      <w:kern w:val="44"/>
                      <w:szCs w:val="21"/>
                      <w:highlight w:val="none"/>
                    </w:rPr>
                    <w:t>），定期</w:t>
                  </w:r>
                  <w:r>
                    <w:rPr>
                      <w:rFonts w:hint="eastAsia" w:hAnsiTheme="minorEastAsia" w:eastAsiaTheme="minorEastAsia"/>
                      <w:color w:val="auto"/>
                      <w:kern w:val="44"/>
                      <w:szCs w:val="21"/>
                      <w:highlight w:val="none"/>
                      <w:lang w:eastAsia="zh-CN"/>
                    </w:rPr>
                    <w:t>交由</w:t>
                  </w:r>
                  <w:r>
                    <w:rPr>
                      <w:rFonts w:hAnsiTheme="minorEastAsia" w:eastAsiaTheme="minorEastAsia"/>
                      <w:color w:val="auto"/>
                      <w:kern w:val="44"/>
                      <w:szCs w:val="21"/>
                      <w:highlight w:val="none"/>
                    </w:rPr>
                    <w:t>资质单位处置。</w:t>
                  </w:r>
                </w:p>
              </w:tc>
              <w:tc>
                <w:tcPr>
                  <w:tcW w:w="411" w:type="pct"/>
                  <w:tcBorders>
                    <w:top w:val="single" w:color="auto" w:sz="4" w:space="0"/>
                    <w:left w:val="single" w:color="auto" w:sz="4" w:space="0"/>
                  </w:tcBorders>
                  <w:vAlign w:val="center"/>
                </w:tcPr>
                <w:p w14:paraId="391293A3">
                  <w:pPr>
                    <w:overflowPunct w:val="0"/>
                    <w:adjustRightInd w:val="0"/>
                    <w:snapToGrid w:val="0"/>
                    <w:spacing w:line="270" w:lineRule="exact"/>
                    <w:ind w:left="-53" w:leftChars="-25" w:right="-53" w:rightChars="-25"/>
                    <w:jc w:val="center"/>
                    <w:rPr>
                      <w:rFonts w:hint="eastAsia" w:hAnsiTheme="minorEastAsia" w:eastAsiaTheme="minorEastAsia"/>
                      <w:color w:val="auto"/>
                      <w:kern w:val="44"/>
                      <w:szCs w:val="21"/>
                      <w:highlight w:val="none"/>
                      <w:lang w:eastAsia="zh-CN"/>
                    </w:rPr>
                  </w:pPr>
                  <w:r>
                    <w:rPr>
                      <w:rFonts w:hint="eastAsia" w:hAnsiTheme="minorEastAsia" w:eastAsiaTheme="minorEastAsia"/>
                      <w:color w:val="auto"/>
                      <w:kern w:val="44"/>
                      <w:szCs w:val="21"/>
                      <w:highlight w:val="none"/>
                      <w:lang w:val="en-US" w:eastAsia="zh-CN"/>
                    </w:rPr>
                    <w:t>/</w:t>
                  </w:r>
                </w:p>
              </w:tc>
            </w:tr>
          </w:tbl>
          <w:p w14:paraId="27EC784D">
            <w:pPr>
              <w:topLinePunct/>
              <w:spacing w:line="500" w:lineRule="exact"/>
              <w:jc w:val="left"/>
              <w:textAlignment w:val="baseline"/>
              <w:rPr>
                <w:b/>
                <w:bCs/>
                <w:color w:val="auto"/>
                <w:sz w:val="24"/>
                <w:highlight w:val="none"/>
              </w:rPr>
            </w:pPr>
            <w:r>
              <w:rPr>
                <w:b/>
                <w:bCs/>
                <w:color w:val="auto"/>
                <w:sz w:val="24"/>
                <w:highlight w:val="none"/>
              </w:rPr>
              <w:t>4、生产规模及产品方案</w:t>
            </w:r>
          </w:p>
          <w:p w14:paraId="3E9231A4">
            <w:pPr>
              <w:spacing w:line="500" w:lineRule="exact"/>
              <w:ind w:firstLine="480" w:firstLineChars="200"/>
              <w:rPr>
                <w:color w:val="auto"/>
                <w:kern w:val="0"/>
                <w:sz w:val="24"/>
                <w:highlight w:val="none"/>
              </w:rPr>
            </w:pPr>
            <w:r>
              <w:rPr>
                <w:rFonts w:hint="eastAsia"/>
                <w:bCs/>
                <w:color w:val="auto"/>
                <w:sz w:val="24"/>
                <w:highlight w:val="none"/>
              </w:rPr>
              <w:t>本项目生产规模为：后年产1000t塑料包装袋、1000t农用贴片滴灌带。</w:t>
            </w:r>
            <w:r>
              <w:rPr>
                <w:color w:val="auto"/>
                <w:kern w:val="0"/>
                <w:sz w:val="24"/>
                <w:highlight w:val="none"/>
              </w:rPr>
              <w:t>产品方案见表</w:t>
            </w:r>
            <w:r>
              <w:rPr>
                <w:rFonts w:hint="eastAsia"/>
                <w:color w:val="auto"/>
                <w:kern w:val="0"/>
                <w:sz w:val="24"/>
                <w:highlight w:val="none"/>
                <w:lang w:val="en-US" w:eastAsia="zh-CN"/>
              </w:rPr>
              <w:t>2-2</w:t>
            </w:r>
            <w:r>
              <w:rPr>
                <w:color w:val="auto"/>
                <w:kern w:val="0"/>
                <w:sz w:val="24"/>
                <w:highlight w:val="none"/>
              </w:rPr>
              <w:t>。</w:t>
            </w:r>
          </w:p>
          <w:p w14:paraId="0B23B81A">
            <w:pPr>
              <w:topLinePunct/>
              <w:adjustRightInd w:val="0"/>
              <w:snapToGrid w:val="0"/>
              <w:spacing w:line="500" w:lineRule="exact"/>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b/>
                <w:snapToGrid w:val="0"/>
                <w:color w:val="auto"/>
                <w:kern w:val="0"/>
                <w:sz w:val="21"/>
                <w:szCs w:val="21"/>
                <w:highlight w:val="none"/>
              </w:rPr>
              <w:t>表</w:t>
            </w:r>
            <w:r>
              <w:rPr>
                <w:rFonts w:hint="default" w:ascii="Times New Roman" w:hAnsi="Times New Roman" w:eastAsia="宋体" w:cs="Times New Roman"/>
                <w:b/>
                <w:snapToGrid w:val="0"/>
                <w:color w:val="auto"/>
                <w:kern w:val="0"/>
                <w:sz w:val="21"/>
                <w:szCs w:val="21"/>
                <w:highlight w:val="none"/>
                <w:lang w:val="en-US" w:eastAsia="zh-CN"/>
              </w:rPr>
              <w:t>2-2</w:t>
            </w:r>
            <w:r>
              <w:rPr>
                <w:rFonts w:hint="default" w:ascii="Times New Roman" w:hAnsi="Times New Roman" w:eastAsia="宋体" w:cs="Times New Roman"/>
                <w:b/>
                <w:snapToGrid w:val="0"/>
                <w:color w:val="auto"/>
                <w:kern w:val="0"/>
                <w:sz w:val="21"/>
                <w:szCs w:val="21"/>
                <w:highlight w:val="none"/>
              </w:rPr>
              <w:t xml:space="preserve">        </w:t>
            </w:r>
            <w:r>
              <w:rPr>
                <w:rFonts w:hint="eastAsia" w:ascii="Times New Roman" w:hAnsi="Times New Roman" w:eastAsia="宋体" w:cs="Times New Roman"/>
                <w:b/>
                <w:snapToGrid w:val="0"/>
                <w:color w:val="auto"/>
                <w:kern w:val="0"/>
                <w:sz w:val="21"/>
                <w:szCs w:val="21"/>
                <w:highlight w:val="none"/>
                <w:lang w:val="en-US" w:eastAsia="zh-CN"/>
              </w:rPr>
              <w:t>项目的</w:t>
            </w:r>
            <w:r>
              <w:rPr>
                <w:rFonts w:hint="default" w:ascii="Times New Roman" w:hAnsi="Times New Roman" w:eastAsia="宋体" w:cs="Times New Roman"/>
                <w:b/>
                <w:snapToGrid w:val="0"/>
                <w:color w:val="auto"/>
                <w:kern w:val="0"/>
                <w:sz w:val="21"/>
                <w:szCs w:val="21"/>
                <w:highlight w:val="none"/>
              </w:rPr>
              <w:t>产品方案</w:t>
            </w:r>
          </w:p>
          <w:tbl>
            <w:tblPr>
              <w:tblStyle w:val="34"/>
              <w:tblW w:w="4998" w:type="pct"/>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432"/>
              <w:gridCol w:w="1523"/>
              <w:gridCol w:w="720"/>
              <w:gridCol w:w="920"/>
              <w:gridCol w:w="2096"/>
              <w:gridCol w:w="2702"/>
            </w:tblGrid>
            <w:tr w14:paraId="12F2C18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57" w:type="pct"/>
                  <w:tcBorders>
                    <w:top w:val="single" w:color="auto" w:sz="4" w:space="0"/>
                    <w:bottom w:val="single" w:color="auto" w:sz="4" w:space="0"/>
                    <w:right w:val="single" w:color="auto" w:sz="4" w:space="0"/>
                  </w:tcBorders>
                  <w:vAlign w:val="center"/>
                </w:tcPr>
                <w:p w14:paraId="73C70DE1">
                  <w:pPr>
                    <w:overflowPunct w:val="0"/>
                    <w:adjustRightInd w:val="0"/>
                    <w:snapToGrid w:val="0"/>
                    <w:jc w:val="center"/>
                    <w:rPr>
                      <w:rFonts w:hint="default" w:ascii="Times New Roman" w:hAnsi="Times New Roman" w:eastAsia="宋体" w:cs="Times New Roman"/>
                      <w:b w:val="0"/>
                      <w:bCs/>
                      <w:snapToGrid w:val="0"/>
                      <w:color w:val="auto"/>
                      <w:sz w:val="21"/>
                      <w:szCs w:val="21"/>
                      <w:highlight w:val="none"/>
                    </w:rPr>
                  </w:pPr>
                  <w:r>
                    <w:rPr>
                      <w:rFonts w:hint="default" w:ascii="Times New Roman" w:hAnsi="Times New Roman" w:eastAsia="宋体" w:cs="Times New Roman"/>
                      <w:b w:val="0"/>
                      <w:bCs/>
                      <w:snapToGrid w:val="0"/>
                      <w:color w:val="auto"/>
                      <w:sz w:val="21"/>
                      <w:szCs w:val="21"/>
                      <w:highlight w:val="none"/>
                    </w:rPr>
                    <w:t>序号</w:t>
                  </w:r>
                </w:p>
              </w:tc>
              <w:tc>
                <w:tcPr>
                  <w:tcW w:w="907" w:type="pct"/>
                  <w:tcBorders>
                    <w:top w:val="single" w:color="auto" w:sz="4" w:space="0"/>
                    <w:left w:val="single" w:color="auto" w:sz="4" w:space="0"/>
                    <w:bottom w:val="single" w:color="auto" w:sz="4" w:space="0"/>
                    <w:right w:val="single" w:color="auto" w:sz="4" w:space="0"/>
                  </w:tcBorders>
                  <w:vAlign w:val="center"/>
                </w:tcPr>
                <w:p w14:paraId="34A362A7">
                  <w:pPr>
                    <w:overflowPunct w:val="0"/>
                    <w:adjustRightInd w:val="0"/>
                    <w:snapToGrid w:val="0"/>
                    <w:jc w:val="center"/>
                    <w:rPr>
                      <w:rFonts w:hint="default" w:ascii="Times New Roman" w:hAnsi="Times New Roman" w:eastAsia="宋体" w:cs="Times New Roman"/>
                      <w:b w:val="0"/>
                      <w:bCs/>
                      <w:snapToGrid w:val="0"/>
                      <w:color w:val="auto"/>
                      <w:sz w:val="21"/>
                      <w:szCs w:val="21"/>
                      <w:highlight w:val="none"/>
                    </w:rPr>
                  </w:pPr>
                  <w:r>
                    <w:rPr>
                      <w:rFonts w:hint="default" w:ascii="Times New Roman" w:hAnsi="Times New Roman" w:eastAsia="宋体" w:cs="Times New Roman"/>
                      <w:b w:val="0"/>
                      <w:bCs/>
                      <w:snapToGrid w:val="0"/>
                      <w:color w:val="auto"/>
                      <w:sz w:val="21"/>
                      <w:szCs w:val="21"/>
                      <w:highlight w:val="none"/>
                    </w:rPr>
                    <w:t>名称</w:t>
                  </w:r>
                </w:p>
              </w:tc>
              <w:tc>
                <w:tcPr>
                  <w:tcW w:w="429" w:type="pct"/>
                  <w:tcBorders>
                    <w:top w:val="single" w:color="auto" w:sz="4" w:space="0"/>
                    <w:left w:val="single" w:color="auto" w:sz="4" w:space="0"/>
                    <w:bottom w:val="single" w:color="auto" w:sz="4" w:space="0"/>
                    <w:right w:val="single" w:color="auto" w:sz="4" w:space="0"/>
                  </w:tcBorders>
                  <w:vAlign w:val="center"/>
                </w:tcPr>
                <w:p w14:paraId="5555577E">
                  <w:pPr>
                    <w:overflowPunct w:val="0"/>
                    <w:adjustRightInd w:val="0"/>
                    <w:snapToGrid w:val="0"/>
                    <w:jc w:val="center"/>
                    <w:rPr>
                      <w:rFonts w:hint="default" w:ascii="Times New Roman" w:hAnsi="Times New Roman" w:eastAsia="宋体" w:cs="Times New Roman"/>
                      <w:b w:val="0"/>
                      <w:bCs/>
                      <w:snapToGrid w:val="0"/>
                      <w:color w:val="auto"/>
                      <w:sz w:val="21"/>
                      <w:szCs w:val="21"/>
                      <w:highlight w:val="none"/>
                    </w:rPr>
                  </w:pPr>
                  <w:r>
                    <w:rPr>
                      <w:rFonts w:hint="default" w:ascii="Times New Roman" w:hAnsi="Times New Roman" w:eastAsia="宋体" w:cs="Times New Roman"/>
                      <w:b w:val="0"/>
                      <w:bCs/>
                      <w:snapToGrid w:val="0"/>
                      <w:color w:val="auto"/>
                      <w:sz w:val="21"/>
                      <w:szCs w:val="21"/>
                      <w:highlight w:val="none"/>
                    </w:rPr>
                    <w:t>单位</w:t>
                  </w:r>
                </w:p>
              </w:tc>
              <w:tc>
                <w:tcPr>
                  <w:tcW w:w="548" w:type="pct"/>
                  <w:tcBorders>
                    <w:top w:val="single" w:color="auto" w:sz="4" w:space="0"/>
                    <w:left w:val="single" w:color="auto" w:sz="4" w:space="0"/>
                    <w:bottom w:val="single" w:color="auto" w:sz="4" w:space="0"/>
                    <w:right w:val="single" w:color="auto" w:sz="4" w:space="0"/>
                  </w:tcBorders>
                  <w:vAlign w:val="center"/>
                </w:tcPr>
                <w:p w14:paraId="01CFF60D">
                  <w:pPr>
                    <w:overflowPunct w:val="0"/>
                    <w:adjustRightInd w:val="0"/>
                    <w:snapToGrid w:val="0"/>
                    <w:jc w:val="center"/>
                    <w:rPr>
                      <w:rFonts w:hint="default" w:ascii="Times New Roman" w:hAnsi="Times New Roman" w:eastAsia="宋体" w:cs="Times New Roman"/>
                      <w:b w:val="0"/>
                      <w:bCs/>
                      <w:snapToGrid w:val="0"/>
                      <w:color w:val="auto"/>
                      <w:sz w:val="21"/>
                      <w:szCs w:val="21"/>
                      <w:highlight w:val="none"/>
                    </w:rPr>
                  </w:pPr>
                  <w:r>
                    <w:rPr>
                      <w:rFonts w:hint="default" w:ascii="Times New Roman" w:hAnsi="Times New Roman" w:eastAsia="宋体" w:cs="Times New Roman"/>
                      <w:b w:val="0"/>
                      <w:bCs/>
                      <w:snapToGrid w:val="0"/>
                      <w:color w:val="auto"/>
                      <w:sz w:val="21"/>
                      <w:szCs w:val="21"/>
                      <w:highlight w:val="none"/>
                    </w:rPr>
                    <w:t>项目生产规模</w:t>
                  </w:r>
                </w:p>
              </w:tc>
              <w:tc>
                <w:tcPr>
                  <w:tcW w:w="1248" w:type="pct"/>
                  <w:tcBorders>
                    <w:top w:val="single" w:color="auto" w:sz="4" w:space="0"/>
                    <w:left w:val="single" w:color="auto" w:sz="4" w:space="0"/>
                    <w:bottom w:val="single" w:color="auto" w:sz="4" w:space="0"/>
                    <w:right w:val="single" w:color="auto" w:sz="4" w:space="0"/>
                  </w:tcBorders>
                  <w:vAlign w:val="center"/>
                </w:tcPr>
                <w:p w14:paraId="5F787F90">
                  <w:pPr>
                    <w:overflowPunct w:val="0"/>
                    <w:adjustRightInd w:val="0"/>
                    <w:snapToGrid w:val="0"/>
                    <w:jc w:val="center"/>
                    <w:rPr>
                      <w:rFonts w:hint="default" w:ascii="Times New Roman" w:hAnsi="Times New Roman" w:eastAsia="宋体" w:cs="Times New Roman"/>
                      <w:b w:val="0"/>
                      <w:bCs/>
                      <w:snapToGrid w:val="0"/>
                      <w:color w:val="auto"/>
                      <w:sz w:val="21"/>
                      <w:szCs w:val="21"/>
                      <w:highlight w:val="none"/>
                      <w:lang w:val="en-US" w:eastAsia="zh-CN"/>
                    </w:rPr>
                  </w:pPr>
                  <w:r>
                    <w:rPr>
                      <w:rFonts w:hint="default" w:ascii="Times New Roman" w:hAnsi="Times New Roman" w:eastAsia="宋体" w:cs="Times New Roman"/>
                      <w:b w:val="0"/>
                      <w:bCs/>
                      <w:snapToGrid w:val="0"/>
                      <w:color w:val="auto"/>
                      <w:sz w:val="21"/>
                      <w:szCs w:val="21"/>
                      <w:highlight w:val="none"/>
                      <w:lang w:val="en-US" w:eastAsia="zh-CN"/>
                    </w:rPr>
                    <w:t>产品规格</w:t>
                  </w:r>
                </w:p>
              </w:tc>
              <w:tc>
                <w:tcPr>
                  <w:tcW w:w="1609" w:type="pct"/>
                  <w:tcBorders>
                    <w:top w:val="single" w:color="auto" w:sz="4" w:space="0"/>
                    <w:left w:val="single" w:color="auto" w:sz="4" w:space="0"/>
                    <w:bottom w:val="single" w:color="auto" w:sz="4" w:space="0"/>
                    <w:right w:val="single" w:color="auto" w:sz="4" w:space="0"/>
                  </w:tcBorders>
                  <w:vAlign w:val="center"/>
                </w:tcPr>
                <w:p w14:paraId="22E76BD0">
                  <w:pPr>
                    <w:overflowPunct w:val="0"/>
                    <w:adjustRightInd w:val="0"/>
                    <w:snapToGrid w:val="0"/>
                    <w:jc w:val="center"/>
                    <w:rPr>
                      <w:rFonts w:hint="default" w:ascii="Times New Roman" w:hAnsi="Times New Roman" w:eastAsia="宋体" w:cs="Times New Roman"/>
                      <w:b w:val="0"/>
                      <w:bCs/>
                      <w:snapToGrid w:val="0"/>
                      <w:color w:val="auto"/>
                      <w:sz w:val="21"/>
                      <w:szCs w:val="21"/>
                      <w:highlight w:val="none"/>
                      <w:lang w:val="en-US" w:eastAsia="zh-CN"/>
                    </w:rPr>
                  </w:pPr>
                  <w:r>
                    <w:rPr>
                      <w:rFonts w:hint="eastAsia" w:ascii="Times New Roman" w:hAnsi="Times New Roman" w:eastAsia="宋体" w:cs="Times New Roman"/>
                      <w:b w:val="0"/>
                      <w:bCs/>
                      <w:snapToGrid w:val="0"/>
                      <w:color w:val="auto"/>
                      <w:sz w:val="21"/>
                      <w:szCs w:val="21"/>
                      <w:highlight w:val="none"/>
                      <w:lang w:val="en-US" w:eastAsia="zh-CN"/>
                    </w:rPr>
                    <w:t>执行产品</w:t>
                  </w:r>
                  <w:r>
                    <w:rPr>
                      <w:rFonts w:hint="default" w:ascii="Times New Roman" w:hAnsi="Times New Roman" w:eastAsia="宋体" w:cs="Times New Roman"/>
                      <w:b w:val="0"/>
                      <w:bCs/>
                      <w:snapToGrid w:val="0"/>
                      <w:color w:val="auto"/>
                      <w:sz w:val="21"/>
                      <w:szCs w:val="21"/>
                      <w:highlight w:val="none"/>
                      <w:lang w:val="en-US" w:eastAsia="zh-CN"/>
                    </w:rPr>
                    <w:t>标准或技术指标</w:t>
                  </w:r>
                </w:p>
              </w:tc>
            </w:tr>
            <w:tr w14:paraId="12C580E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57" w:type="pct"/>
                  <w:tcBorders>
                    <w:top w:val="single" w:color="auto" w:sz="4" w:space="0"/>
                    <w:left w:val="single" w:color="auto" w:sz="4" w:space="0"/>
                    <w:bottom w:val="single" w:color="auto" w:sz="4" w:space="0"/>
                    <w:right w:val="single" w:color="auto" w:sz="4" w:space="0"/>
                  </w:tcBorders>
                  <w:vAlign w:val="center"/>
                </w:tcPr>
                <w:p w14:paraId="686B45C1">
                  <w:pPr>
                    <w:overflowPunct w:val="0"/>
                    <w:adjustRightInd w:val="0"/>
                    <w:snapToGrid w:val="0"/>
                    <w:jc w:val="center"/>
                    <w:rPr>
                      <w:rFonts w:hint="default" w:ascii="Times New Roman" w:hAnsi="Times New Roman" w:eastAsia="宋体" w:cs="Times New Roman"/>
                      <w:b w:val="0"/>
                      <w:bCs/>
                      <w:snapToGrid w:val="0"/>
                      <w:color w:val="auto"/>
                      <w:sz w:val="21"/>
                      <w:szCs w:val="21"/>
                      <w:highlight w:val="none"/>
                    </w:rPr>
                  </w:pPr>
                  <w:r>
                    <w:rPr>
                      <w:rFonts w:hint="default" w:ascii="Times New Roman" w:hAnsi="Times New Roman" w:eastAsia="宋体" w:cs="Times New Roman"/>
                      <w:b w:val="0"/>
                      <w:bCs/>
                      <w:snapToGrid w:val="0"/>
                      <w:color w:val="auto"/>
                      <w:sz w:val="21"/>
                      <w:szCs w:val="21"/>
                      <w:highlight w:val="none"/>
                    </w:rPr>
                    <w:t>1</w:t>
                  </w:r>
                </w:p>
              </w:tc>
              <w:tc>
                <w:tcPr>
                  <w:tcW w:w="907" w:type="pct"/>
                  <w:tcBorders>
                    <w:top w:val="single" w:color="auto" w:sz="4" w:space="0"/>
                    <w:left w:val="single" w:color="auto" w:sz="4" w:space="0"/>
                    <w:bottom w:val="single" w:color="auto" w:sz="4" w:space="0"/>
                    <w:right w:val="single" w:color="auto" w:sz="4" w:space="0"/>
                  </w:tcBorders>
                  <w:vAlign w:val="center"/>
                </w:tcPr>
                <w:p w14:paraId="170FDB8C">
                  <w:pPr>
                    <w:overflowPunct w:val="0"/>
                    <w:adjustRightInd w:val="0"/>
                    <w:snapToGrid w:val="0"/>
                    <w:jc w:val="center"/>
                    <w:rPr>
                      <w:rFonts w:hint="default" w:ascii="Times New Roman" w:hAnsi="Times New Roman" w:eastAsia="宋体" w:cs="Times New Roman"/>
                      <w:b w:val="0"/>
                      <w:bCs/>
                      <w:snapToGrid w:val="0"/>
                      <w:color w:val="auto"/>
                      <w:sz w:val="21"/>
                      <w:szCs w:val="21"/>
                      <w:highlight w:val="none"/>
                    </w:rPr>
                  </w:pPr>
                  <w:r>
                    <w:rPr>
                      <w:rFonts w:hint="default" w:ascii="Times New Roman" w:hAnsi="Times New Roman" w:eastAsia="宋体" w:cs="Times New Roman"/>
                      <w:b w:val="0"/>
                      <w:bCs/>
                      <w:snapToGrid w:val="0"/>
                      <w:color w:val="auto"/>
                      <w:sz w:val="21"/>
                      <w:szCs w:val="21"/>
                      <w:highlight w:val="none"/>
                    </w:rPr>
                    <w:t>农用贴片滴灌带</w:t>
                  </w:r>
                </w:p>
              </w:tc>
              <w:tc>
                <w:tcPr>
                  <w:tcW w:w="429" w:type="pct"/>
                  <w:tcBorders>
                    <w:top w:val="single" w:color="auto" w:sz="4" w:space="0"/>
                    <w:left w:val="single" w:color="auto" w:sz="4" w:space="0"/>
                    <w:bottom w:val="single" w:color="auto" w:sz="4" w:space="0"/>
                    <w:right w:val="single" w:color="auto" w:sz="4" w:space="0"/>
                  </w:tcBorders>
                  <w:vAlign w:val="center"/>
                </w:tcPr>
                <w:p w14:paraId="63E376E6">
                  <w:pPr>
                    <w:widowControl/>
                    <w:snapToGrid w:val="0"/>
                    <w:jc w:val="center"/>
                    <w:rPr>
                      <w:rFonts w:hint="default" w:ascii="Times New Roman" w:hAnsi="Times New Roman" w:eastAsia="宋体" w:cs="Times New Roman"/>
                      <w:b w:val="0"/>
                      <w:bCs/>
                      <w:snapToGrid w:val="0"/>
                      <w:color w:val="auto"/>
                      <w:sz w:val="21"/>
                      <w:szCs w:val="21"/>
                      <w:highlight w:val="none"/>
                      <w:lang w:val="en-US" w:eastAsia="zh-CN"/>
                    </w:rPr>
                  </w:pPr>
                  <w:r>
                    <w:rPr>
                      <w:rFonts w:hint="default" w:ascii="Times New Roman" w:hAnsi="Times New Roman" w:eastAsia="宋体" w:cs="Times New Roman"/>
                      <w:b w:val="0"/>
                      <w:bCs/>
                      <w:snapToGrid w:val="0"/>
                      <w:color w:val="auto"/>
                      <w:sz w:val="21"/>
                      <w:szCs w:val="21"/>
                      <w:highlight w:val="none"/>
                      <w:lang w:val="en-US" w:eastAsia="zh-CN"/>
                    </w:rPr>
                    <w:t>吨</w:t>
                  </w:r>
                </w:p>
              </w:tc>
              <w:tc>
                <w:tcPr>
                  <w:tcW w:w="548" w:type="pct"/>
                  <w:tcBorders>
                    <w:top w:val="single" w:color="auto" w:sz="4" w:space="0"/>
                    <w:left w:val="single" w:color="auto" w:sz="4" w:space="0"/>
                    <w:bottom w:val="single" w:color="auto" w:sz="4" w:space="0"/>
                    <w:right w:val="single" w:color="auto" w:sz="4" w:space="0"/>
                  </w:tcBorders>
                  <w:vAlign w:val="center"/>
                </w:tcPr>
                <w:p w14:paraId="061726FC">
                  <w:pPr>
                    <w:widowControl/>
                    <w:snapToGrid w:val="0"/>
                    <w:jc w:val="center"/>
                    <w:rPr>
                      <w:rFonts w:hint="default" w:ascii="Times New Roman" w:hAnsi="Times New Roman" w:eastAsia="宋体" w:cs="Times New Roman"/>
                      <w:b w:val="0"/>
                      <w:bCs/>
                      <w:snapToGrid w:val="0"/>
                      <w:color w:val="auto"/>
                      <w:sz w:val="21"/>
                      <w:szCs w:val="21"/>
                      <w:highlight w:val="none"/>
                    </w:rPr>
                  </w:pPr>
                  <w:r>
                    <w:rPr>
                      <w:rFonts w:hint="default" w:ascii="Times New Roman" w:hAnsi="Times New Roman" w:eastAsia="宋体" w:cs="Times New Roman"/>
                      <w:b w:val="0"/>
                      <w:bCs/>
                      <w:snapToGrid w:val="0"/>
                      <w:color w:val="auto"/>
                      <w:sz w:val="21"/>
                      <w:szCs w:val="21"/>
                      <w:highlight w:val="none"/>
                    </w:rPr>
                    <w:t>1000</w:t>
                  </w:r>
                </w:p>
              </w:tc>
              <w:tc>
                <w:tcPr>
                  <w:tcW w:w="1248" w:type="pct"/>
                  <w:tcBorders>
                    <w:top w:val="single" w:color="auto" w:sz="4" w:space="0"/>
                    <w:left w:val="single" w:color="auto" w:sz="4" w:space="0"/>
                    <w:bottom w:val="single" w:color="auto" w:sz="4" w:space="0"/>
                    <w:right w:val="single" w:color="auto" w:sz="4" w:space="0"/>
                  </w:tcBorders>
                  <w:vAlign w:val="center"/>
                </w:tcPr>
                <w:p w14:paraId="7A9A11CB">
                  <w:pPr>
                    <w:overflowPunct w:val="0"/>
                    <w:adjustRightInd w:val="0"/>
                    <w:snapToGrid w:val="0"/>
                    <w:jc w:val="center"/>
                    <w:rPr>
                      <w:rFonts w:hint="eastAsia" w:ascii="Times New Roman" w:hAnsi="Times New Roman" w:eastAsia="宋体" w:cs="Times New Roman"/>
                      <w:b w:val="0"/>
                      <w:bCs/>
                      <w:snapToGrid w:val="0"/>
                      <w:color w:val="auto"/>
                      <w:sz w:val="21"/>
                      <w:szCs w:val="21"/>
                      <w:highlight w:val="none"/>
                      <w:lang w:val="en-US" w:eastAsia="zh-CN"/>
                    </w:rPr>
                  </w:pPr>
                  <w:r>
                    <w:rPr>
                      <w:rFonts w:hint="eastAsia" w:cs="Times New Roman"/>
                      <w:b w:val="0"/>
                      <w:bCs/>
                      <w:snapToGrid w:val="0"/>
                      <w:color w:val="auto"/>
                      <w:sz w:val="21"/>
                      <w:szCs w:val="21"/>
                      <w:highlight w:val="none"/>
                      <w:lang w:val="en-US" w:eastAsia="zh-CN"/>
                    </w:rPr>
                    <w:t>内径16</w:t>
                  </w:r>
                  <w:r>
                    <w:rPr>
                      <w:rFonts w:hint="eastAsia" w:ascii="Times New Roman" w:hAnsi="Times New Roman" w:eastAsia="宋体" w:cs="Times New Roman"/>
                      <w:b w:val="0"/>
                      <w:bCs/>
                      <w:snapToGrid w:val="0"/>
                      <w:color w:val="auto"/>
                      <w:sz w:val="21"/>
                      <w:szCs w:val="21"/>
                      <w:highlight w:val="none"/>
                      <w:lang w:val="en-US" w:eastAsia="zh-CN"/>
                    </w:rPr>
                    <w:t>mm，</w:t>
                  </w:r>
                </w:p>
                <w:p w14:paraId="0785A897">
                  <w:pPr>
                    <w:overflowPunct w:val="0"/>
                    <w:adjustRightInd w:val="0"/>
                    <w:snapToGrid w:val="0"/>
                    <w:jc w:val="center"/>
                    <w:rPr>
                      <w:rFonts w:hint="default" w:ascii="Times New Roman" w:hAnsi="Times New Roman" w:eastAsia="宋体" w:cs="Times New Roman"/>
                      <w:b w:val="0"/>
                      <w:bCs/>
                      <w:snapToGrid w:val="0"/>
                      <w:color w:val="auto"/>
                      <w:sz w:val="21"/>
                      <w:szCs w:val="21"/>
                      <w:highlight w:val="none"/>
                      <w:lang w:val="en-US" w:eastAsia="zh-CN"/>
                    </w:rPr>
                  </w:pPr>
                  <w:r>
                    <w:rPr>
                      <w:rFonts w:hint="eastAsia" w:cs="Times New Roman"/>
                      <w:b w:val="0"/>
                      <w:bCs/>
                      <w:snapToGrid w:val="0"/>
                      <w:color w:val="auto"/>
                      <w:sz w:val="21"/>
                      <w:szCs w:val="21"/>
                      <w:highlight w:val="none"/>
                      <w:lang w:val="en-US" w:eastAsia="zh-CN"/>
                    </w:rPr>
                    <w:t>流量</w:t>
                  </w:r>
                  <w:r>
                    <w:rPr>
                      <w:rFonts w:hint="default" w:ascii="Times New Roman" w:hAnsi="Times New Roman" w:eastAsia="宋体" w:cs="Times New Roman"/>
                      <w:b w:val="0"/>
                      <w:bCs/>
                      <w:snapToGrid w:val="0"/>
                      <w:color w:val="auto"/>
                      <w:sz w:val="21"/>
                      <w:szCs w:val="21"/>
                      <w:highlight w:val="none"/>
                      <w:lang w:val="en-US" w:eastAsia="zh-CN"/>
                    </w:rPr>
                    <w:t>2.</w:t>
                  </w:r>
                  <w:r>
                    <w:rPr>
                      <w:rFonts w:hint="eastAsia" w:cs="Times New Roman"/>
                      <w:b w:val="0"/>
                      <w:bCs/>
                      <w:snapToGrid w:val="0"/>
                      <w:color w:val="auto"/>
                      <w:sz w:val="21"/>
                      <w:szCs w:val="21"/>
                      <w:highlight w:val="none"/>
                      <w:lang w:val="en-US" w:eastAsia="zh-CN"/>
                    </w:rPr>
                    <w:t>0</w:t>
                  </w:r>
                  <w:r>
                    <w:rPr>
                      <w:rFonts w:hint="default" w:ascii="Times New Roman" w:hAnsi="Times New Roman" w:eastAsia="宋体" w:cs="Times New Roman"/>
                      <w:b w:val="0"/>
                      <w:bCs/>
                      <w:snapToGrid w:val="0"/>
                      <w:color w:val="auto"/>
                      <w:sz w:val="21"/>
                      <w:szCs w:val="21"/>
                      <w:highlight w:val="none"/>
                      <w:lang w:val="en-US" w:eastAsia="zh-CN"/>
                    </w:rPr>
                    <w:t>L/h‌</w:t>
                  </w:r>
                  <w:r>
                    <w:rPr>
                      <w:rFonts w:hint="eastAsia" w:ascii="Times New Roman" w:hAnsi="Times New Roman" w:eastAsia="宋体" w:cs="Times New Roman"/>
                      <w:b w:val="0"/>
                      <w:bCs/>
                      <w:snapToGrid w:val="0"/>
                      <w:color w:val="auto"/>
                      <w:sz w:val="21"/>
                      <w:szCs w:val="21"/>
                      <w:highlight w:val="none"/>
                      <w:lang w:val="en-US" w:eastAsia="zh-CN"/>
                    </w:rPr>
                    <w:t>-2.9</w:t>
                  </w:r>
                  <w:r>
                    <w:rPr>
                      <w:rFonts w:hint="default" w:ascii="Times New Roman" w:hAnsi="Times New Roman" w:eastAsia="宋体" w:cs="Times New Roman"/>
                      <w:b w:val="0"/>
                      <w:bCs/>
                      <w:snapToGrid w:val="0"/>
                      <w:color w:val="auto"/>
                      <w:sz w:val="21"/>
                      <w:szCs w:val="21"/>
                      <w:highlight w:val="none"/>
                      <w:lang w:val="en-US" w:eastAsia="zh-CN"/>
                    </w:rPr>
                    <w:t>L/h</w:t>
                  </w:r>
                </w:p>
              </w:tc>
              <w:tc>
                <w:tcPr>
                  <w:tcW w:w="1609" w:type="pct"/>
                  <w:tcBorders>
                    <w:top w:val="single" w:color="auto" w:sz="4" w:space="0"/>
                    <w:left w:val="single" w:color="auto" w:sz="4" w:space="0"/>
                    <w:bottom w:val="single" w:color="auto" w:sz="4" w:space="0"/>
                    <w:right w:val="single" w:color="auto" w:sz="4" w:space="0"/>
                  </w:tcBorders>
                  <w:vAlign w:val="center"/>
                </w:tcPr>
                <w:p w14:paraId="267C8780">
                  <w:pPr>
                    <w:widowControl/>
                    <w:snapToGrid w:val="0"/>
                    <w:jc w:val="center"/>
                    <w:rPr>
                      <w:rFonts w:hint="eastAsia" w:ascii="Times New Roman" w:hAnsi="Times New Roman" w:eastAsia="宋体" w:cs="Times New Roman"/>
                      <w:b w:val="0"/>
                      <w:bCs/>
                      <w:snapToGrid w:val="0"/>
                      <w:color w:val="auto"/>
                      <w:sz w:val="21"/>
                      <w:szCs w:val="21"/>
                      <w:highlight w:val="none"/>
                      <w:lang w:eastAsia="zh-CN"/>
                    </w:rPr>
                  </w:pPr>
                  <w:r>
                    <w:rPr>
                      <w:rFonts w:hint="eastAsia" w:ascii="Times New Roman" w:hAnsi="Times New Roman" w:eastAsia="宋体" w:cs="Times New Roman"/>
                      <w:b w:val="0"/>
                      <w:bCs/>
                      <w:snapToGrid w:val="0"/>
                      <w:color w:val="auto"/>
                      <w:sz w:val="21"/>
                      <w:szCs w:val="21"/>
                      <w:highlight w:val="none"/>
                      <w:lang w:eastAsia="zh-CN"/>
                    </w:rPr>
                    <w:t>《塑料节水灌溉器材 第3部分：内镶式滴带管及滴灌带》（GB/T 19812.3-2017）</w:t>
                  </w:r>
                </w:p>
              </w:tc>
            </w:tr>
            <w:tr w14:paraId="3B9F6FA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57" w:type="pct"/>
                  <w:tcBorders>
                    <w:top w:val="single" w:color="auto" w:sz="4" w:space="0"/>
                    <w:left w:val="single" w:color="auto" w:sz="4" w:space="0"/>
                    <w:bottom w:val="single" w:color="auto" w:sz="4" w:space="0"/>
                    <w:right w:val="single" w:color="auto" w:sz="4" w:space="0"/>
                  </w:tcBorders>
                  <w:vAlign w:val="center"/>
                </w:tcPr>
                <w:p w14:paraId="01CA363C">
                  <w:pPr>
                    <w:overflowPunct w:val="0"/>
                    <w:adjustRightInd w:val="0"/>
                    <w:snapToGrid w:val="0"/>
                    <w:jc w:val="center"/>
                    <w:rPr>
                      <w:rFonts w:hint="default" w:ascii="Times New Roman" w:hAnsi="Times New Roman" w:eastAsia="宋体" w:cs="Times New Roman"/>
                      <w:b w:val="0"/>
                      <w:bCs/>
                      <w:snapToGrid w:val="0"/>
                      <w:color w:val="auto"/>
                      <w:sz w:val="21"/>
                      <w:szCs w:val="21"/>
                      <w:highlight w:val="none"/>
                    </w:rPr>
                  </w:pPr>
                  <w:r>
                    <w:rPr>
                      <w:rFonts w:hint="default" w:ascii="Times New Roman" w:hAnsi="Times New Roman" w:eastAsia="宋体" w:cs="Times New Roman"/>
                      <w:b w:val="0"/>
                      <w:bCs/>
                      <w:snapToGrid w:val="0"/>
                      <w:color w:val="auto"/>
                      <w:sz w:val="21"/>
                      <w:szCs w:val="21"/>
                      <w:highlight w:val="none"/>
                    </w:rPr>
                    <w:t>2</w:t>
                  </w:r>
                </w:p>
              </w:tc>
              <w:tc>
                <w:tcPr>
                  <w:tcW w:w="907" w:type="pct"/>
                  <w:tcBorders>
                    <w:top w:val="single" w:color="auto" w:sz="4" w:space="0"/>
                    <w:left w:val="single" w:color="auto" w:sz="4" w:space="0"/>
                    <w:bottom w:val="single" w:color="auto" w:sz="4" w:space="0"/>
                    <w:right w:val="single" w:color="auto" w:sz="4" w:space="0"/>
                  </w:tcBorders>
                  <w:vAlign w:val="center"/>
                </w:tcPr>
                <w:p w14:paraId="59503139">
                  <w:pPr>
                    <w:overflowPunct w:val="0"/>
                    <w:adjustRightInd w:val="0"/>
                    <w:snapToGrid w:val="0"/>
                    <w:jc w:val="center"/>
                    <w:rPr>
                      <w:rFonts w:hint="default" w:ascii="Times New Roman" w:hAnsi="Times New Roman" w:eastAsia="宋体" w:cs="Times New Roman"/>
                      <w:b w:val="0"/>
                      <w:bCs/>
                      <w:snapToGrid w:val="0"/>
                      <w:color w:val="auto"/>
                      <w:sz w:val="21"/>
                      <w:szCs w:val="21"/>
                      <w:highlight w:val="none"/>
                      <w:lang w:val="en-US" w:eastAsia="zh-CN"/>
                    </w:rPr>
                  </w:pPr>
                  <w:r>
                    <w:rPr>
                      <w:rFonts w:hint="default" w:ascii="Times New Roman" w:hAnsi="Times New Roman" w:eastAsia="宋体" w:cs="Times New Roman"/>
                      <w:b w:val="0"/>
                      <w:bCs/>
                      <w:snapToGrid w:val="0"/>
                      <w:color w:val="auto"/>
                      <w:sz w:val="21"/>
                      <w:szCs w:val="21"/>
                      <w:highlight w:val="none"/>
                      <w:lang w:val="en-US" w:eastAsia="zh-CN"/>
                    </w:rPr>
                    <w:t>塑料包装袋</w:t>
                  </w:r>
                </w:p>
              </w:tc>
              <w:tc>
                <w:tcPr>
                  <w:tcW w:w="429" w:type="pct"/>
                  <w:tcBorders>
                    <w:top w:val="single" w:color="auto" w:sz="4" w:space="0"/>
                    <w:left w:val="single" w:color="auto" w:sz="4" w:space="0"/>
                    <w:bottom w:val="single" w:color="auto" w:sz="4" w:space="0"/>
                    <w:right w:val="single" w:color="auto" w:sz="4" w:space="0"/>
                  </w:tcBorders>
                  <w:vAlign w:val="center"/>
                </w:tcPr>
                <w:p w14:paraId="4BC51FB8">
                  <w:pPr>
                    <w:overflowPunct w:val="0"/>
                    <w:adjustRightInd w:val="0"/>
                    <w:snapToGrid w:val="0"/>
                    <w:jc w:val="center"/>
                    <w:rPr>
                      <w:rFonts w:hint="default" w:ascii="Times New Roman" w:hAnsi="Times New Roman" w:eastAsia="宋体" w:cs="Times New Roman"/>
                      <w:b w:val="0"/>
                      <w:bCs/>
                      <w:snapToGrid w:val="0"/>
                      <w:color w:val="auto"/>
                      <w:sz w:val="21"/>
                      <w:szCs w:val="21"/>
                      <w:highlight w:val="none"/>
                      <w:lang w:val="en-US" w:eastAsia="zh-CN"/>
                    </w:rPr>
                  </w:pPr>
                  <w:r>
                    <w:rPr>
                      <w:rFonts w:hint="default" w:ascii="Times New Roman" w:hAnsi="Times New Roman" w:eastAsia="宋体" w:cs="Times New Roman"/>
                      <w:b w:val="0"/>
                      <w:bCs/>
                      <w:snapToGrid w:val="0"/>
                      <w:color w:val="auto"/>
                      <w:sz w:val="21"/>
                      <w:szCs w:val="21"/>
                      <w:highlight w:val="none"/>
                      <w:lang w:val="en-US" w:eastAsia="zh-CN"/>
                    </w:rPr>
                    <w:t>吨</w:t>
                  </w:r>
                </w:p>
              </w:tc>
              <w:tc>
                <w:tcPr>
                  <w:tcW w:w="548" w:type="pct"/>
                  <w:tcBorders>
                    <w:top w:val="single" w:color="auto" w:sz="4" w:space="0"/>
                    <w:left w:val="single" w:color="auto" w:sz="4" w:space="0"/>
                    <w:bottom w:val="single" w:color="auto" w:sz="4" w:space="0"/>
                    <w:right w:val="single" w:color="auto" w:sz="4" w:space="0"/>
                  </w:tcBorders>
                  <w:vAlign w:val="center"/>
                </w:tcPr>
                <w:p w14:paraId="0339D642">
                  <w:pPr>
                    <w:overflowPunct w:val="0"/>
                    <w:adjustRightInd w:val="0"/>
                    <w:snapToGrid w:val="0"/>
                    <w:jc w:val="center"/>
                    <w:rPr>
                      <w:rFonts w:hint="default" w:ascii="Times New Roman" w:hAnsi="Times New Roman" w:eastAsia="宋体" w:cs="Times New Roman"/>
                      <w:b w:val="0"/>
                      <w:bCs/>
                      <w:snapToGrid w:val="0"/>
                      <w:color w:val="auto"/>
                      <w:sz w:val="21"/>
                      <w:szCs w:val="21"/>
                      <w:highlight w:val="none"/>
                      <w:lang w:val="en-US" w:eastAsia="zh-CN"/>
                    </w:rPr>
                  </w:pPr>
                  <w:r>
                    <w:rPr>
                      <w:rFonts w:hint="default" w:ascii="Times New Roman" w:hAnsi="Times New Roman" w:eastAsia="宋体" w:cs="Times New Roman"/>
                      <w:b w:val="0"/>
                      <w:bCs/>
                      <w:snapToGrid w:val="0"/>
                      <w:color w:val="auto"/>
                      <w:sz w:val="21"/>
                      <w:szCs w:val="21"/>
                      <w:highlight w:val="none"/>
                      <w:lang w:val="en-US" w:eastAsia="zh-CN"/>
                    </w:rPr>
                    <w:t>1</w:t>
                  </w:r>
                  <w:r>
                    <w:rPr>
                      <w:rFonts w:hint="eastAsia" w:cs="Times New Roman"/>
                      <w:b w:val="0"/>
                      <w:bCs/>
                      <w:snapToGrid w:val="0"/>
                      <w:color w:val="auto"/>
                      <w:sz w:val="21"/>
                      <w:szCs w:val="21"/>
                      <w:highlight w:val="none"/>
                      <w:lang w:val="en-US" w:eastAsia="zh-CN"/>
                    </w:rPr>
                    <w:t>0</w:t>
                  </w:r>
                  <w:r>
                    <w:rPr>
                      <w:rFonts w:hint="default" w:ascii="Times New Roman" w:hAnsi="Times New Roman" w:eastAsia="宋体" w:cs="Times New Roman"/>
                      <w:b w:val="0"/>
                      <w:bCs/>
                      <w:snapToGrid w:val="0"/>
                      <w:color w:val="auto"/>
                      <w:sz w:val="21"/>
                      <w:szCs w:val="21"/>
                      <w:highlight w:val="none"/>
                      <w:lang w:val="en-US" w:eastAsia="zh-CN"/>
                    </w:rPr>
                    <w:t>00</w:t>
                  </w:r>
                </w:p>
              </w:tc>
              <w:tc>
                <w:tcPr>
                  <w:tcW w:w="1248" w:type="pct"/>
                  <w:tcBorders>
                    <w:top w:val="single" w:color="auto" w:sz="4" w:space="0"/>
                    <w:left w:val="single" w:color="auto" w:sz="4" w:space="0"/>
                    <w:bottom w:val="single" w:color="auto" w:sz="4" w:space="0"/>
                    <w:right w:val="single" w:color="auto" w:sz="4" w:space="0"/>
                  </w:tcBorders>
                  <w:vAlign w:val="center"/>
                </w:tcPr>
                <w:p w14:paraId="26F6081D">
                  <w:pPr>
                    <w:overflowPunct w:val="0"/>
                    <w:adjustRightInd w:val="0"/>
                    <w:snapToGrid w:val="0"/>
                    <w:jc w:val="center"/>
                    <w:rPr>
                      <w:rFonts w:hint="default" w:ascii="Times New Roman" w:hAnsi="Times New Roman" w:eastAsia="宋体" w:cs="Times New Roman"/>
                      <w:b w:val="0"/>
                      <w:bCs/>
                      <w:snapToGrid w:val="0"/>
                      <w:color w:val="auto"/>
                      <w:sz w:val="21"/>
                      <w:szCs w:val="21"/>
                      <w:highlight w:val="none"/>
                      <w:lang w:val="en-US" w:eastAsia="zh-CN"/>
                    </w:rPr>
                  </w:pPr>
                  <w:r>
                    <w:rPr>
                      <w:rFonts w:hint="default" w:ascii="Times New Roman" w:hAnsi="Times New Roman" w:eastAsia="宋体" w:cs="Times New Roman"/>
                      <w:b w:val="0"/>
                      <w:bCs/>
                      <w:snapToGrid w:val="0"/>
                      <w:color w:val="auto"/>
                      <w:sz w:val="21"/>
                      <w:szCs w:val="21"/>
                      <w:highlight w:val="none"/>
                      <w:lang w:val="en-US" w:eastAsia="zh-CN"/>
                    </w:rPr>
                    <w:t>厚度通常为0.015mm</w:t>
                  </w:r>
                  <w:r>
                    <w:rPr>
                      <w:rFonts w:hint="eastAsia" w:ascii="Times New Roman" w:hAnsi="Times New Roman" w:eastAsia="宋体" w:cs="Times New Roman"/>
                      <w:b w:val="0"/>
                      <w:bCs/>
                      <w:snapToGrid w:val="0"/>
                      <w:color w:val="auto"/>
                      <w:sz w:val="21"/>
                      <w:szCs w:val="21"/>
                      <w:highlight w:val="none"/>
                      <w:lang w:val="en-US" w:eastAsia="zh-CN"/>
                    </w:rPr>
                    <w:t>，宽度范围在80~300cm之间</w:t>
                  </w:r>
                </w:p>
              </w:tc>
              <w:tc>
                <w:tcPr>
                  <w:tcW w:w="1609" w:type="pct"/>
                  <w:tcBorders>
                    <w:top w:val="single" w:color="auto" w:sz="4" w:space="0"/>
                    <w:left w:val="single" w:color="auto" w:sz="4" w:space="0"/>
                    <w:bottom w:val="single" w:color="auto" w:sz="4" w:space="0"/>
                    <w:right w:val="single" w:color="auto" w:sz="4" w:space="0"/>
                  </w:tcBorders>
                  <w:vAlign w:val="center"/>
                </w:tcPr>
                <w:p w14:paraId="589EF23A">
                  <w:pPr>
                    <w:overflowPunct w:val="0"/>
                    <w:adjustRightInd w:val="0"/>
                    <w:snapToGrid w:val="0"/>
                    <w:jc w:val="center"/>
                    <w:rPr>
                      <w:rFonts w:hint="default" w:ascii="Times New Roman" w:hAnsi="Times New Roman" w:eastAsia="宋体" w:cs="Times New Roman"/>
                      <w:b w:val="0"/>
                      <w:bCs/>
                      <w:snapToGrid w:val="0"/>
                      <w:color w:val="auto"/>
                      <w:sz w:val="21"/>
                      <w:szCs w:val="21"/>
                      <w:highlight w:val="none"/>
                      <w:lang w:val="en-US" w:eastAsia="zh-CN"/>
                    </w:rPr>
                  </w:pPr>
                  <w:r>
                    <w:rPr>
                      <w:rFonts w:hint="default" w:ascii="Times New Roman" w:hAnsi="Times New Roman" w:eastAsia="宋体" w:cs="Times New Roman"/>
                      <w:b w:val="0"/>
                      <w:bCs/>
                      <w:snapToGrid w:val="0"/>
                      <w:color w:val="auto"/>
                      <w:sz w:val="21"/>
                      <w:szCs w:val="21"/>
                      <w:highlight w:val="none"/>
                      <w:lang w:val="en-US" w:eastAsia="zh-CN"/>
                    </w:rPr>
                    <w:t>《聚乙烯吹塑农用地面覆盖薄膜》GB13735-2017</w:t>
                  </w:r>
                </w:p>
              </w:tc>
            </w:tr>
          </w:tbl>
          <w:p w14:paraId="172C278C">
            <w:pPr>
              <w:topLinePunct/>
              <w:spacing w:line="500" w:lineRule="exact"/>
              <w:jc w:val="left"/>
              <w:textAlignment w:val="baseline"/>
              <w:rPr>
                <w:b/>
                <w:bCs/>
                <w:color w:val="auto"/>
                <w:sz w:val="24"/>
                <w:highlight w:val="none"/>
              </w:rPr>
            </w:pPr>
            <w:r>
              <w:rPr>
                <w:b/>
                <w:bCs/>
                <w:color w:val="auto"/>
                <w:sz w:val="24"/>
                <w:highlight w:val="none"/>
              </w:rPr>
              <w:t>5、设备清单</w:t>
            </w:r>
          </w:p>
          <w:p w14:paraId="28136D13">
            <w:pPr>
              <w:spacing w:line="500" w:lineRule="exact"/>
              <w:ind w:firstLine="480" w:firstLineChars="200"/>
              <w:jc w:val="left"/>
              <w:rPr>
                <w:color w:val="auto"/>
                <w:kern w:val="0"/>
                <w:sz w:val="24"/>
                <w:highlight w:val="none"/>
              </w:rPr>
            </w:pPr>
            <w:r>
              <w:rPr>
                <w:color w:val="auto"/>
                <w:kern w:val="0"/>
                <w:sz w:val="24"/>
                <w:highlight w:val="none"/>
              </w:rPr>
              <w:t>项目主要设备见表</w:t>
            </w:r>
            <w:r>
              <w:rPr>
                <w:rFonts w:hint="eastAsia"/>
                <w:color w:val="auto"/>
                <w:kern w:val="0"/>
                <w:sz w:val="24"/>
                <w:highlight w:val="none"/>
                <w:lang w:val="en-US" w:eastAsia="zh-CN"/>
              </w:rPr>
              <w:t>2-3</w:t>
            </w:r>
            <w:r>
              <w:rPr>
                <w:color w:val="auto"/>
                <w:kern w:val="0"/>
                <w:sz w:val="24"/>
                <w:highlight w:val="none"/>
              </w:rPr>
              <w:t>。</w:t>
            </w:r>
          </w:p>
          <w:p w14:paraId="647BF1EF">
            <w:pPr>
              <w:jc w:val="center"/>
              <w:rPr>
                <w:b/>
                <w:color w:val="auto"/>
                <w:kern w:val="0"/>
                <w:szCs w:val="21"/>
                <w:highlight w:val="none"/>
              </w:rPr>
            </w:pPr>
            <w:r>
              <w:rPr>
                <w:b/>
                <w:color w:val="auto"/>
                <w:kern w:val="0"/>
                <w:szCs w:val="21"/>
                <w:highlight w:val="none"/>
              </w:rPr>
              <w:t>表</w:t>
            </w:r>
            <w:r>
              <w:rPr>
                <w:rFonts w:hint="eastAsia"/>
                <w:b/>
                <w:color w:val="auto"/>
                <w:kern w:val="0"/>
                <w:szCs w:val="21"/>
                <w:highlight w:val="none"/>
                <w:lang w:val="en-US" w:eastAsia="zh-CN"/>
              </w:rPr>
              <w:t>2-3</w:t>
            </w:r>
            <w:r>
              <w:rPr>
                <w:b/>
                <w:color w:val="auto"/>
                <w:kern w:val="0"/>
                <w:szCs w:val="21"/>
                <w:highlight w:val="none"/>
              </w:rPr>
              <w:t xml:space="preserve">        主要设备清单</w:t>
            </w:r>
          </w:p>
          <w:tbl>
            <w:tblPr>
              <w:tblStyle w:val="3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3892"/>
              <w:gridCol w:w="2088"/>
              <w:gridCol w:w="806"/>
              <w:gridCol w:w="806"/>
            </w:tblGrid>
            <w:tr w14:paraId="2F07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77" w:type="pct"/>
                  <w:vAlign w:val="center"/>
                </w:tcPr>
                <w:p w14:paraId="6D799C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i w:val="0"/>
                      <w:iCs w:val="0"/>
                      <w:caps w:val="0"/>
                      <w:color w:val="auto"/>
                      <w:spacing w:val="0"/>
                      <w:kern w:val="21"/>
                      <w:sz w:val="21"/>
                      <w:szCs w:val="21"/>
                      <w:lang w:val="en-US" w:eastAsia="zh-CN" w:bidi="ar"/>
                    </w:rPr>
                    <w:t>序号</w:t>
                  </w:r>
                </w:p>
              </w:tc>
              <w:tc>
                <w:tcPr>
                  <w:tcW w:w="2318" w:type="pct"/>
                  <w:vAlign w:val="center"/>
                </w:tcPr>
                <w:p w14:paraId="0B4541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i w:val="0"/>
                      <w:iCs w:val="0"/>
                      <w:caps w:val="0"/>
                      <w:color w:val="auto"/>
                      <w:spacing w:val="0"/>
                      <w:kern w:val="21"/>
                      <w:sz w:val="21"/>
                      <w:szCs w:val="21"/>
                      <w:lang w:val="en-US" w:eastAsia="zh-CN" w:bidi="ar"/>
                    </w:rPr>
                    <w:t>设备名称</w:t>
                  </w:r>
                </w:p>
              </w:tc>
              <w:tc>
                <w:tcPr>
                  <w:tcW w:w="1243" w:type="pct"/>
                  <w:vAlign w:val="center"/>
                </w:tcPr>
                <w:p w14:paraId="599032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i w:val="0"/>
                      <w:iCs w:val="0"/>
                      <w:caps w:val="0"/>
                      <w:color w:val="auto"/>
                      <w:spacing w:val="0"/>
                      <w:kern w:val="21"/>
                      <w:sz w:val="21"/>
                      <w:szCs w:val="21"/>
                      <w:lang w:val="en-US" w:eastAsia="zh-CN" w:bidi="ar"/>
                    </w:rPr>
                    <w:t>型号</w:t>
                  </w:r>
                </w:p>
              </w:tc>
              <w:tc>
                <w:tcPr>
                  <w:tcW w:w="480" w:type="pct"/>
                  <w:vAlign w:val="center"/>
                </w:tcPr>
                <w:p w14:paraId="19DA3F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i w:val="0"/>
                      <w:iCs w:val="0"/>
                      <w:caps w:val="0"/>
                      <w:color w:val="auto"/>
                      <w:spacing w:val="0"/>
                      <w:kern w:val="21"/>
                      <w:sz w:val="21"/>
                      <w:szCs w:val="21"/>
                      <w:lang w:val="en-US" w:eastAsia="zh-CN" w:bidi="ar"/>
                    </w:rPr>
                    <w:t>单位</w:t>
                  </w:r>
                </w:p>
              </w:tc>
              <w:tc>
                <w:tcPr>
                  <w:tcW w:w="480" w:type="pct"/>
                  <w:vAlign w:val="center"/>
                </w:tcPr>
                <w:p w14:paraId="3A0EEA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i w:val="0"/>
                      <w:iCs w:val="0"/>
                      <w:caps w:val="0"/>
                      <w:color w:val="auto"/>
                      <w:spacing w:val="0"/>
                      <w:kern w:val="21"/>
                      <w:sz w:val="21"/>
                      <w:szCs w:val="21"/>
                      <w:lang w:val="en-US" w:eastAsia="zh-CN" w:bidi="ar"/>
                    </w:rPr>
                    <w:t>数量</w:t>
                  </w:r>
                </w:p>
              </w:tc>
            </w:tr>
            <w:tr w14:paraId="6A7A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vAlign w:val="center"/>
                </w:tcPr>
                <w:p w14:paraId="400B68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cs="Times New Roman"/>
                      <w:i w:val="0"/>
                      <w:iCs w:val="0"/>
                      <w:caps w:val="0"/>
                      <w:color w:val="auto"/>
                      <w:spacing w:val="0"/>
                      <w:kern w:val="21"/>
                      <w:sz w:val="21"/>
                      <w:szCs w:val="21"/>
                      <w:lang w:val="en-US" w:eastAsia="zh-CN" w:bidi="ar"/>
                    </w:rPr>
                  </w:pPr>
                  <w:r>
                    <w:rPr>
                      <w:rFonts w:hint="default" w:ascii="Times New Roman" w:hAnsi="Times New Roman" w:eastAsia="宋体" w:cs="Times New Roman"/>
                      <w:b w:val="0"/>
                      <w:bCs/>
                      <w:snapToGrid w:val="0"/>
                      <w:color w:val="auto"/>
                      <w:sz w:val="21"/>
                      <w:szCs w:val="21"/>
                      <w:highlight w:val="none"/>
                      <w:lang w:val="en-US" w:eastAsia="zh-CN"/>
                    </w:rPr>
                    <w:t>塑料包装袋</w:t>
                  </w:r>
                  <w:r>
                    <w:rPr>
                      <w:rFonts w:hint="eastAsia" w:cs="Times New Roman"/>
                      <w:b w:val="0"/>
                      <w:bCs/>
                      <w:snapToGrid w:val="0"/>
                      <w:color w:val="auto"/>
                      <w:sz w:val="21"/>
                      <w:szCs w:val="21"/>
                      <w:highlight w:val="none"/>
                      <w:lang w:val="en-US" w:eastAsia="zh-CN"/>
                    </w:rPr>
                    <w:t>生产线</w:t>
                  </w:r>
                </w:p>
              </w:tc>
            </w:tr>
            <w:tr w14:paraId="44D17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477" w:type="pct"/>
                  <w:vAlign w:val="center"/>
                </w:tcPr>
                <w:p w14:paraId="4407CA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i w:val="0"/>
                      <w:iCs w:val="0"/>
                      <w:caps w:val="0"/>
                      <w:color w:val="auto"/>
                      <w:spacing w:val="0"/>
                      <w:kern w:val="21"/>
                      <w:sz w:val="21"/>
                      <w:szCs w:val="21"/>
                      <w:lang w:val="en-US" w:eastAsia="zh-CN" w:bidi="ar"/>
                    </w:rPr>
                    <w:t>1</w:t>
                  </w:r>
                </w:p>
              </w:tc>
              <w:tc>
                <w:tcPr>
                  <w:tcW w:w="2318" w:type="pct"/>
                  <w:vAlign w:val="center"/>
                </w:tcPr>
                <w:p w14:paraId="1A61C8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color w:val="auto"/>
                      <w:kern w:val="21"/>
                      <w:sz w:val="21"/>
                      <w:szCs w:val="21"/>
                      <w:vertAlign w:val="baseline"/>
                    </w:rPr>
                    <w:t>55 型 ABA 共挤吹膜机</w:t>
                  </w:r>
                </w:p>
              </w:tc>
              <w:tc>
                <w:tcPr>
                  <w:tcW w:w="1243" w:type="pct"/>
                  <w:vAlign w:val="center"/>
                </w:tcPr>
                <w:p w14:paraId="4471F7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color w:val="auto"/>
                      <w:kern w:val="21"/>
                      <w:sz w:val="21"/>
                      <w:szCs w:val="21"/>
                      <w:vertAlign w:val="baseline"/>
                    </w:rPr>
                    <w:t>ABA55*2-110</w:t>
                  </w:r>
                </w:p>
              </w:tc>
              <w:tc>
                <w:tcPr>
                  <w:tcW w:w="480" w:type="pct"/>
                  <w:vAlign w:val="center"/>
                </w:tcPr>
                <w:p w14:paraId="258360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vAlign w:val="center"/>
                </w:tcPr>
                <w:p w14:paraId="30ED60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eastAsia" w:cs="Times New Roman"/>
                      <w:i w:val="0"/>
                      <w:iCs w:val="0"/>
                      <w:caps w:val="0"/>
                      <w:color w:val="auto"/>
                      <w:spacing w:val="0"/>
                      <w:kern w:val="21"/>
                      <w:sz w:val="21"/>
                      <w:szCs w:val="21"/>
                      <w:lang w:val="en-US" w:eastAsia="zh-CN" w:bidi="ar"/>
                    </w:rPr>
                    <w:t>6</w:t>
                  </w:r>
                </w:p>
              </w:tc>
            </w:tr>
            <w:tr w14:paraId="1F27D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12256F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2</w:t>
                  </w:r>
                </w:p>
              </w:tc>
              <w:tc>
                <w:tcPr>
                  <w:tcW w:w="2318" w:type="pct"/>
                  <w:vAlign w:val="center"/>
                </w:tcPr>
                <w:p w14:paraId="46A92D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color w:val="auto"/>
                      <w:kern w:val="21"/>
                      <w:sz w:val="21"/>
                      <w:szCs w:val="21"/>
                      <w:vertAlign w:val="baseline"/>
                    </w:rPr>
                    <w:t>拌料机</w:t>
                  </w:r>
                </w:p>
              </w:tc>
              <w:tc>
                <w:tcPr>
                  <w:tcW w:w="1243" w:type="pct"/>
                  <w:vAlign w:val="center"/>
                </w:tcPr>
                <w:p w14:paraId="4C3CA0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color w:val="auto"/>
                      <w:kern w:val="21"/>
                      <w:sz w:val="21"/>
                      <w:szCs w:val="21"/>
                      <w:vertAlign w:val="baseline"/>
                    </w:rPr>
                    <w:t>500</w:t>
                  </w:r>
                  <w:r>
                    <w:rPr>
                      <w:rFonts w:hint="eastAsia" w:cs="Times New Roman"/>
                      <w:color w:val="auto"/>
                      <w:kern w:val="21"/>
                      <w:sz w:val="21"/>
                      <w:szCs w:val="21"/>
                      <w:vertAlign w:val="baseline"/>
                      <w:lang w:val="en-US" w:eastAsia="zh-CN"/>
                    </w:rPr>
                    <w:t>k</w:t>
                  </w:r>
                  <w:r>
                    <w:rPr>
                      <w:rFonts w:hint="default" w:ascii="Times New Roman" w:hAnsi="Times New Roman" w:eastAsia="宋体" w:cs="Times New Roman"/>
                      <w:color w:val="auto"/>
                      <w:kern w:val="21"/>
                      <w:sz w:val="21"/>
                      <w:szCs w:val="21"/>
                      <w:vertAlign w:val="baseline"/>
                    </w:rPr>
                    <w:t>g</w:t>
                  </w:r>
                </w:p>
              </w:tc>
              <w:tc>
                <w:tcPr>
                  <w:tcW w:w="480" w:type="pct"/>
                  <w:vAlign w:val="center"/>
                </w:tcPr>
                <w:p w14:paraId="05D286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vAlign w:val="center"/>
                </w:tcPr>
                <w:p w14:paraId="7226D9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rPr>
                  </w:pPr>
                  <w:r>
                    <w:rPr>
                      <w:rFonts w:hint="eastAsia" w:cs="Times New Roman"/>
                      <w:i w:val="0"/>
                      <w:iCs w:val="0"/>
                      <w:caps w:val="0"/>
                      <w:color w:val="auto"/>
                      <w:spacing w:val="0"/>
                      <w:kern w:val="21"/>
                      <w:sz w:val="21"/>
                      <w:szCs w:val="21"/>
                      <w:lang w:val="en-US" w:eastAsia="zh-CN" w:bidi="ar"/>
                    </w:rPr>
                    <w:t>3</w:t>
                  </w:r>
                </w:p>
              </w:tc>
            </w:tr>
            <w:tr w14:paraId="5AB8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5787A0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3</w:t>
                  </w:r>
                </w:p>
              </w:tc>
              <w:tc>
                <w:tcPr>
                  <w:tcW w:w="2318" w:type="pct"/>
                  <w:vAlign w:val="center"/>
                </w:tcPr>
                <w:p w14:paraId="5111E3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color w:val="auto"/>
                      <w:kern w:val="21"/>
                      <w:sz w:val="21"/>
                      <w:szCs w:val="21"/>
                      <w:vertAlign w:val="baseline"/>
                    </w:rPr>
                    <w:t>单通道背心袋制袋机</w:t>
                  </w:r>
                </w:p>
              </w:tc>
              <w:tc>
                <w:tcPr>
                  <w:tcW w:w="1243" w:type="pct"/>
                  <w:vAlign w:val="center"/>
                </w:tcPr>
                <w:p w14:paraId="594CEB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color w:val="auto"/>
                      <w:kern w:val="21"/>
                      <w:sz w:val="21"/>
                      <w:szCs w:val="21"/>
                      <w:vertAlign w:val="baseline"/>
                    </w:rPr>
                    <w:t>BXZD-700</w:t>
                  </w:r>
                </w:p>
              </w:tc>
              <w:tc>
                <w:tcPr>
                  <w:tcW w:w="480" w:type="pct"/>
                  <w:vAlign w:val="center"/>
                </w:tcPr>
                <w:p w14:paraId="71294E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vAlign w:val="center"/>
                </w:tcPr>
                <w:p w14:paraId="5E7514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eastAsia" w:cs="Times New Roman"/>
                      <w:i w:val="0"/>
                      <w:iCs w:val="0"/>
                      <w:caps w:val="0"/>
                      <w:color w:val="auto"/>
                      <w:spacing w:val="0"/>
                      <w:kern w:val="21"/>
                      <w:sz w:val="21"/>
                      <w:szCs w:val="21"/>
                      <w:lang w:val="en-US" w:eastAsia="zh-CN" w:bidi="ar"/>
                    </w:rPr>
                    <w:t>3</w:t>
                  </w:r>
                </w:p>
              </w:tc>
            </w:tr>
            <w:tr w14:paraId="4D39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7F901D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4</w:t>
                  </w:r>
                </w:p>
              </w:tc>
              <w:tc>
                <w:tcPr>
                  <w:tcW w:w="2318" w:type="pct"/>
                  <w:vAlign w:val="center"/>
                </w:tcPr>
                <w:p w14:paraId="185B2C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color w:val="auto"/>
                      <w:kern w:val="21"/>
                      <w:sz w:val="21"/>
                      <w:szCs w:val="21"/>
                      <w:vertAlign w:val="baseline"/>
                    </w:rPr>
                    <w:t>双通道背心袋制袋机</w:t>
                  </w:r>
                </w:p>
              </w:tc>
              <w:tc>
                <w:tcPr>
                  <w:tcW w:w="1243" w:type="pct"/>
                  <w:vAlign w:val="center"/>
                </w:tcPr>
                <w:p w14:paraId="4C7534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color w:val="auto"/>
                      <w:kern w:val="21"/>
                      <w:sz w:val="21"/>
                      <w:szCs w:val="21"/>
                      <w:vertAlign w:val="baseline"/>
                    </w:rPr>
                    <w:t>BXZD-500*2</w:t>
                  </w:r>
                </w:p>
              </w:tc>
              <w:tc>
                <w:tcPr>
                  <w:tcW w:w="480" w:type="pct"/>
                  <w:vAlign w:val="center"/>
                </w:tcPr>
                <w:p w14:paraId="4A6A8A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vAlign w:val="center"/>
                </w:tcPr>
                <w:p w14:paraId="132841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eastAsia" w:cs="Times New Roman"/>
                      <w:i w:val="0"/>
                      <w:iCs w:val="0"/>
                      <w:caps w:val="0"/>
                      <w:color w:val="auto"/>
                      <w:spacing w:val="0"/>
                      <w:kern w:val="21"/>
                      <w:sz w:val="21"/>
                      <w:szCs w:val="21"/>
                      <w:lang w:val="en-US" w:eastAsia="zh-CN" w:bidi="ar"/>
                    </w:rPr>
                    <w:t>6</w:t>
                  </w:r>
                </w:p>
              </w:tc>
            </w:tr>
            <w:tr w14:paraId="458C3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2FDA5D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5</w:t>
                  </w:r>
                </w:p>
              </w:tc>
              <w:tc>
                <w:tcPr>
                  <w:tcW w:w="2318" w:type="pct"/>
                  <w:vAlign w:val="center"/>
                </w:tcPr>
                <w:p w14:paraId="1C9495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color w:val="auto"/>
                      <w:kern w:val="21"/>
                      <w:sz w:val="21"/>
                      <w:szCs w:val="21"/>
                      <w:vertAlign w:val="baseline"/>
                    </w:rPr>
                    <w:t>双电机变频器调速打包机</w:t>
                  </w:r>
                </w:p>
              </w:tc>
              <w:tc>
                <w:tcPr>
                  <w:tcW w:w="1243" w:type="pct"/>
                  <w:vAlign w:val="center"/>
                </w:tcPr>
                <w:p w14:paraId="4992A5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i w:val="0"/>
                      <w:iCs w:val="0"/>
                      <w:caps w:val="0"/>
                      <w:color w:val="auto"/>
                      <w:spacing w:val="0"/>
                      <w:kern w:val="21"/>
                      <w:sz w:val="21"/>
                      <w:szCs w:val="21"/>
                      <w:lang w:val="en-US" w:eastAsia="zh-CN" w:bidi="ar"/>
                    </w:rPr>
                    <w:t>/</w:t>
                  </w:r>
                </w:p>
              </w:tc>
              <w:tc>
                <w:tcPr>
                  <w:tcW w:w="480" w:type="pct"/>
                  <w:vAlign w:val="center"/>
                </w:tcPr>
                <w:p w14:paraId="43000F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vAlign w:val="center"/>
                </w:tcPr>
                <w:p w14:paraId="742D60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rPr>
                  </w:pPr>
                  <w:r>
                    <w:rPr>
                      <w:rFonts w:hint="eastAsia" w:cs="Times New Roman"/>
                      <w:i w:val="0"/>
                      <w:iCs w:val="0"/>
                      <w:caps w:val="0"/>
                      <w:color w:val="auto"/>
                      <w:spacing w:val="0"/>
                      <w:kern w:val="21"/>
                      <w:sz w:val="21"/>
                      <w:szCs w:val="21"/>
                      <w:lang w:val="en-US" w:eastAsia="zh-CN" w:bidi="ar"/>
                    </w:rPr>
                    <w:t>6</w:t>
                  </w:r>
                </w:p>
              </w:tc>
            </w:tr>
            <w:tr w14:paraId="586B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26DA9D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6</w:t>
                  </w:r>
                </w:p>
              </w:tc>
              <w:tc>
                <w:tcPr>
                  <w:tcW w:w="2318" w:type="pct"/>
                  <w:shd w:val="clear" w:color="auto" w:fill="auto"/>
                  <w:vAlign w:val="center"/>
                </w:tcPr>
                <w:p w14:paraId="6D5B15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color w:val="auto"/>
                      <w:kern w:val="21"/>
                      <w:sz w:val="21"/>
                      <w:szCs w:val="21"/>
                      <w:vertAlign w:val="baseline"/>
                    </w:rPr>
                    <w:t>螺杆变频空压机</w:t>
                  </w:r>
                </w:p>
              </w:tc>
              <w:tc>
                <w:tcPr>
                  <w:tcW w:w="1243" w:type="pct"/>
                  <w:shd w:val="clear" w:color="auto" w:fill="auto"/>
                  <w:vAlign w:val="center"/>
                </w:tcPr>
                <w:p w14:paraId="737DC9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3.5T</w:t>
                  </w:r>
                </w:p>
              </w:tc>
              <w:tc>
                <w:tcPr>
                  <w:tcW w:w="480" w:type="pct"/>
                  <w:shd w:val="clear" w:color="auto" w:fill="auto"/>
                  <w:vAlign w:val="center"/>
                </w:tcPr>
                <w:p w14:paraId="1D70F7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shd w:val="clear" w:color="auto" w:fill="auto"/>
                  <w:vAlign w:val="center"/>
                </w:tcPr>
                <w:p w14:paraId="37A4C3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eastAsia" w:cs="Times New Roman"/>
                      <w:i w:val="0"/>
                      <w:iCs w:val="0"/>
                      <w:caps w:val="0"/>
                      <w:color w:val="auto"/>
                      <w:spacing w:val="0"/>
                      <w:kern w:val="21"/>
                      <w:sz w:val="21"/>
                      <w:szCs w:val="21"/>
                      <w:lang w:val="en-US" w:eastAsia="zh-CN" w:bidi="ar"/>
                    </w:rPr>
                    <w:t>2</w:t>
                  </w:r>
                </w:p>
              </w:tc>
            </w:tr>
            <w:tr w14:paraId="31801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1B1E67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7</w:t>
                  </w:r>
                </w:p>
              </w:tc>
              <w:tc>
                <w:tcPr>
                  <w:tcW w:w="2318" w:type="pct"/>
                  <w:shd w:val="clear" w:color="auto" w:fill="auto"/>
                  <w:vAlign w:val="center"/>
                </w:tcPr>
                <w:p w14:paraId="0946E7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冷冻式干燥机</w:t>
                  </w:r>
                </w:p>
              </w:tc>
              <w:tc>
                <w:tcPr>
                  <w:tcW w:w="1243" w:type="pct"/>
                  <w:shd w:val="clear" w:color="auto" w:fill="auto"/>
                  <w:vAlign w:val="center"/>
                </w:tcPr>
                <w:p w14:paraId="0EEE36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w:t>
                  </w:r>
                </w:p>
              </w:tc>
              <w:tc>
                <w:tcPr>
                  <w:tcW w:w="480" w:type="pct"/>
                  <w:shd w:val="clear" w:color="auto" w:fill="auto"/>
                  <w:vAlign w:val="center"/>
                </w:tcPr>
                <w:p w14:paraId="5D9A92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shd w:val="clear" w:color="auto" w:fill="auto"/>
                  <w:vAlign w:val="center"/>
                </w:tcPr>
                <w:p w14:paraId="2732A5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color w:val="auto"/>
                      <w:kern w:val="21"/>
                      <w:sz w:val="21"/>
                      <w:szCs w:val="21"/>
                      <w:vertAlign w:val="baseline"/>
                      <w:lang w:val="en-US" w:eastAsia="zh-CN" w:bidi="ar-SA"/>
                    </w:rPr>
                  </w:pPr>
                  <w:r>
                    <w:rPr>
                      <w:rFonts w:hint="eastAsia" w:cs="Times New Roman"/>
                      <w:i w:val="0"/>
                      <w:iCs w:val="0"/>
                      <w:caps w:val="0"/>
                      <w:color w:val="auto"/>
                      <w:spacing w:val="0"/>
                      <w:kern w:val="21"/>
                      <w:sz w:val="21"/>
                      <w:szCs w:val="21"/>
                      <w:lang w:val="en-US" w:eastAsia="zh-CN" w:bidi="ar"/>
                    </w:rPr>
                    <w:t>1</w:t>
                  </w:r>
                </w:p>
              </w:tc>
            </w:tr>
            <w:tr w14:paraId="2462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5C370D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8</w:t>
                  </w:r>
                </w:p>
              </w:tc>
              <w:tc>
                <w:tcPr>
                  <w:tcW w:w="2318" w:type="pct"/>
                  <w:shd w:val="clear" w:color="auto" w:fill="auto"/>
                  <w:vAlign w:val="center"/>
                </w:tcPr>
                <w:p w14:paraId="5783A1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储气罐</w:t>
                  </w:r>
                </w:p>
              </w:tc>
              <w:tc>
                <w:tcPr>
                  <w:tcW w:w="1243" w:type="pct"/>
                  <w:shd w:val="clear" w:color="auto" w:fill="auto"/>
                  <w:vAlign w:val="center"/>
                </w:tcPr>
                <w:p w14:paraId="439BB8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1m</w:t>
                  </w:r>
                  <w:r>
                    <w:rPr>
                      <w:rFonts w:hint="default" w:ascii="Times New Roman" w:hAnsi="Times New Roman" w:eastAsia="宋体" w:cs="Times New Roman"/>
                      <w:i w:val="0"/>
                      <w:iCs w:val="0"/>
                      <w:caps w:val="0"/>
                      <w:color w:val="auto"/>
                      <w:spacing w:val="0"/>
                      <w:kern w:val="21"/>
                      <w:sz w:val="21"/>
                      <w:szCs w:val="21"/>
                      <w:vertAlign w:val="superscript"/>
                      <w:lang w:val="en-US" w:eastAsia="zh-CN" w:bidi="ar"/>
                    </w:rPr>
                    <w:t>3</w:t>
                  </w:r>
                </w:p>
              </w:tc>
              <w:tc>
                <w:tcPr>
                  <w:tcW w:w="480" w:type="pct"/>
                  <w:shd w:val="clear" w:color="auto" w:fill="auto"/>
                  <w:vAlign w:val="center"/>
                </w:tcPr>
                <w:p w14:paraId="3D5725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shd w:val="clear" w:color="auto" w:fill="auto"/>
                  <w:vAlign w:val="center"/>
                </w:tcPr>
                <w:p w14:paraId="0D65DA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color w:val="auto"/>
                      <w:kern w:val="21"/>
                      <w:sz w:val="21"/>
                      <w:szCs w:val="21"/>
                      <w:vertAlign w:val="baseline"/>
                      <w:lang w:val="en-US" w:eastAsia="zh-CN" w:bidi="ar-SA"/>
                    </w:rPr>
                  </w:pPr>
                  <w:r>
                    <w:rPr>
                      <w:rFonts w:hint="eastAsia" w:cs="Times New Roman"/>
                      <w:i w:val="0"/>
                      <w:iCs w:val="0"/>
                      <w:caps w:val="0"/>
                      <w:color w:val="auto"/>
                      <w:spacing w:val="0"/>
                      <w:kern w:val="21"/>
                      <w:sz w:val="21"/>
                      <w:szCs w:val="21"/>
                      <w:lang w:val="en-US" w:eastAsia="zh-CN" w:bidi="ar"/>
                    </w:rPr>
                    <w:t>1</w:t>
                  </w:r>
                </w:p>
              </w:tc>
            </w:tr>
            <w:tr w14:paraId="47C22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7EFCE4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9</w:t>
                  </w:r>
                </w:p>
              </w:tc>
              <w:tc>
                <w:tcPr>
                  <w:tcW w:w="2318" w:type="pct"/>
                  <w:shd w:val="clear" w:color="auto" w:fill="auto"/>
                  <w:vAlign w:val="center"/>
                </w:tcPr>
                <w:p w14:paraId="366734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印刷机组</w:t>
                  </w:r>
                </w:p>
              </w:tc>
              <w:tc>
                <w:tcPr>
                  <w:tcW w:w="1243" w:type="pct"/>
                  <w:shd w:val="clear" w:color="auto" w:fill="auto"/>
                  <w:vAlign w:val="center"/>
                </w:tcPr>
                <w:p w14:paraId="70C47B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w:t>
                  </w:r>
                </w:p>
              </w:tc>
              <w:tc>
                <w:tcPr>
                  <w:tcW w:w="480" w:type="pct"/>
                  <w:shd w:val="clear" w:color="auto" w:fill="auto"/>
                  <w:vAlign w:val="center"/>
                </w:tcPr>
                <w:p w14:paraId="72F036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套</w:t>
                  </w:r>
                </w:p>
              </w:tc>
              <w:tc>
                <w:tcPr>
                  <w:tcW w:w="480" w:type="pct"/>
                  <w:shd w:val="clear" w:color="auto" w:fill="auto"/>
                  <w:vAlign w:val="center"/>
                </w:tcPr>
                <w:p w14:paraId="6E0811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6</w:t>
                  </w:r>
                </w:p>
              </w:tc>
            </w:tr>
            <w:tr w14:paraId="67095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4E6D91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10</w:t>
                  </w:r>
                </w:p>
              </w:tc>
              <w:tc>
                <w:tcPr>
                  <w:tcW w:w="2318" w:type="pct"/>
                  <w:shd w:val="clear" w:color="auto" w:fill="auto"/>
                  <w:vAlign w:val="center"/>
                </w:tcPr>
                <w:p w14:paraId="07089D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水罐带支架</w:t>
                  </w:r>
                </w:p>
              </w:tc>
              <w:tc>
                <w:tcPr>
                  <w:tcW w:w="1243" w:type="pct"/>
                  <w:shd w:val="clear" w:color="auto" w:fill="auto"/>
                  <w:vAlign w:val="center"/>
                </w:tcPr>
                <w:p w14:paraId="404718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1m</w:t>
                  </w:r>
                  <w:r>
                    <w:rPr>
                      <w:rFonts w:hint="default" w:ascii="Times New Roman" w:hAnsi="Times New Roman" w:eastAsia="宋体" w:cs="Times New Roman"/>
                      <w:i w:val="0"/>
                      <w:iCs w:val="0"/>
                      <w:caps w:val="0"/>
                      <w:color w:val="auto"/>
                      <w:spacing w:val="0"/>
                      <w:kern w:val="21"/>
                      <w:sz w:val="21"/>
                      <w:szCs w:val="21"/>
                      <w:vertAlign w:val="superscript"/>
                      <w:lang w:val="en-US" w:eastAsia="zh-CN" w:bidi="ar"/>
                    </w:rPr>
                    <w:t>3</w:t>
                  </w:r>
                </w:p>
              </w:tc>
              <w:tc>
                <w:tcPr>
                  <w:tcW w:w="480" w:type="pct"/>
                  <w:shd w:val="clear" w:color="auto" w:fill="auto"/>
                  <w:vAlign w:val="center"/>
                </w:tcPr>
                <w:p w14:paraId="13FF8A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shd w:val="clear" w:color="auto" w:fill="auto"/>
                  <w:vAlign w:val="center"/>
                </w:tcPr>
                <w:p w14:paraId="4A0F54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w:t>
                  </w:r>
                </w:p>
              </w:tc>
            </w:tr>
            <w:tr w14:paraId="7C73A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163051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11</w:t>
                  </w:r>
                </w:p>
              </w:tc>
              <w:tc>
                <w:tcPr>
                  <w:tcW w:w="2318" w:type="pct"/>
                  <w:shd w:val="clear" w:color="auto" w:fill="auto"/>
                  <w:vAlign w:val="center"/>
                </w:tcPr>
                <w:p w14:paraId="1D8178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过滤罐</w:t>
                  </w:r>
                </w:p>
              </w:tc>
              <w:tc>
                <w:tcPr>
                  <w:tcW w:w="1243" w:type="pct"/>
                  <w:shd w:val="clear" w:color="auto" w:fill="auto"/>
                  <w:vAlign w:val="center"/>
                </w:tcPr>
                <w:p w14:paraId="2F22EA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500L</w:t>
                  </w:r>
                </w:p>
              </w:tc>
              <w:tc>
                <w:tcPr>
                  <w:tcW w:w="480" w:type="pct"/>
                  <w:shd w:val="clear" w:color="auto" w:fill="auto"/>
                  <w:vAlign w:val="center"/>
                </w:tcPr>
                <w:p w14:paraId="0A1664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shd w:val="clear" w:color="auto" w:fill="auto"/>
                  <w:vAlign w:val="center"/>
                </w:tcPr>
                <w:p w14:paraId="6D835D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w:t>
                  </w:r>
                </w:p>
              </w:tc>
            </w:tr>
            <w:tr w14:paraId="4E894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37F454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12</w:t>
                  </w:r>
                </w:p>
              </w:tc>
              <w:tc>
                <w:tcPr>
                  <w:tcW w:w="2318" w:type="pct"/>
                  <w:shd w:val="clear" w:color="auto" w:fill="auto"/>
                  <w:vAlign w:val="center"/>
                </w:tcPr>
                <w:p w14:paraId="74153D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冷却塔</w:t>
                  </w:r>
                </w:p>
              </w:tc>
              <w:tc>
                <w:tcPr>
                  <w:tcW w:w="1243" w:type="pct"/>
                  <w:shd w:val="clear" w:color="auto" w:fill="auto"/>
                  <w:vAlign w:val="center"/>
                </w:tcPr>
                <w:p w14:paraId="2F0D45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50t/h</w:t>
                  </w:r>
                </w:p>
              </w:tc>
              <w:tc>
                <w:tcPr>
                  <w:tcW w:w="480" w:type="pct"/>
                  <w:shd w:val="clear" w:color="auto" w:fill="auto"/>
                  <w:vAlign w:val="center"/>
                </w:tcPr>
                <w:p w14:paraId="70609A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台</w:t>
                  </w:r>
                </w:p>
              </w:tc>
              <w:tc>
                <w:tcPr>
                  <w:tcW w:w="480" w:type="pct"/>
                  <w:shd w:val="clear" w:color="auto" w:fill="auto"/>
                  <w:vAlign w:val="center"/>
                </w:tcPr>
                <w:p w14:paraId="040E8B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w:t>
                  </w:r>
                </w:p>
              </w:tc>
            </w:tr>
            <w:tr w14:paraId="7CDC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vAlign w:val="center"/>
                </w:tcPr>
                <w:p w14:paraId="0F4E5F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b w:val="0"/>
                      <w:bCs/>
                      <w:snapToGrid w:val="0"/>
                      <w:color w:val="auto"/>
                      <w:sz w:val="21"/>
                      <w:szCs w:val="21"/>
                      <w:highlight w:val="none"/>
                    </w:rPr>
                    <w:t>农用贴片滴灌带</w:t>
                  </w:r>
                  <w:r>
                    <w:rPr>
                      <w:rFonts w:hint="eastAsia" w:cs="Times New Roman"/>
                      <w:b w:val="0"/>
                      <w:bCs/>
                      <w:snapToGrid w:val="0"/>
                      <w:color w:val="auto"/>
                      <w:sz w:val="21"/>
                      <w:szCs w:val="21"/>
                      <w:highlight w:val="none"/>
                      <w:lang w:val="en-US" w:eastAsia="zh-CN"/>
                    </w:rPr>
                    <w:t>生产线</w:t>
                  </w:r>
                </w:p>
              </w:tc>
            </w:tr>
            <w:tr w14:paraId="011CE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318E23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13</w:t>
                  </w:r>
                </w:p>
              </w:tc>
              <w:tc>
                <w:tcPr>
                  <w:tcW w:w="2318" w:type="pct"/>
                  <w:shd w:val="clear" w:color="auto" w:fill="auto"/>
                  <w:vAlign w:val="center"/>
                </w:tcPr>
                <w:p w14:paraId="12D34D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贴片式滴灌带生产线</w:t>
                  </w:r>
                </w:p>
              </w:tc>
              <w:tc>
                <w:tcPr>
                  <w:tcW w:w="1243" w:type="pct"/>
                  <w:vAlign w:val="center"/>
                </w:tcPr>
                <w:p w14:paraId="7D417F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w:t>
                  </w:r>
                </w:p>
              </w:tc>
              <w:tc>
                <w:tcPr>
                  <w:tcW w:w="480" w:type="pct"/>
                  <w:shd w:val="clear" w:color="auto" w:fill="auto"/>
                  <w:vAlign w:val="center"/>
                </w:tcPr>
                <w:p w14:paraId="56E51B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eastAsia" w:cs="Times New Roman"/>
                      <w:color w:val="auto"/>
                      <w:kern w:val="21"/>
                      <w:sz w:val="21"/>
                      <w:szCs w:val="21"/>
                      <w:vertAlign w:val="baseline"/>
                      <w:lang w:val="en-US" w:eastAsia="zh-CN" w:bidi="ar-SA"/>
                    </w:rPr>
                    <w:t>台</w:t>
                  </w:r>
                </w:p>
              </w:tc>
              <w:tc>
                <w:tcPr>
                  <w:tcW w:w="480" w:type="pct"/>
                  <w:shd w:val="clear" w:color="auto" w:fill="auto"/>
                  <w:vAlign w:val="center"/>
                </w:tcPr>
                <w:p w14:paraId="5753E6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eastAsia" w:cs="Times New Roman"/>
                      <w:color w:val="auto"/>
                      <w:kern w:val="21"/>
                      <w:sz w:val="21"/>
                      <w:szCs w:val="21"/>
                      <w:vertAlign w:val="baseline"/>
                      <w:lang w:val="en-US" w:eastAsia="zh-CN" w:bidi="ar-SA"/>
                    </w:rPr>
                    <w:t>4</w:t>
                  </w:r>
                </w:p>
              </w:tc>
            </w:tr>
            <w:tr w14:paraId="6F273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02ED17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14</w:t>
                  </w:r>
                </w:p>
              </w:tc>
              <w:tc>
                <w:tcPr>
                  <w:tcW w:w="2318" w:type="pct"/>
                  <w:shd w:val="clear" w:color="auto" w:fill="auto"/>
                  <w:vAlign w:val="center"/>
                </w:tcPr>
                <w:p w14:paraId="0337AE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color w:val="auto"/>
                      <w:kern w:val="21"/>
                      <w:sz w:val="21"/>
                      <w:szCs w:val="21"/>
                      <w:vertAlign w:val="baseline"/>
                    </w:rPr>
                    <w:t>拌料机</w:t>
                  </w:r>
                </w:p>
              </w:tc>
              <w:tc>
                <w:tcPr>
                  <w:tcW w:w="1243" w:type="pct"/>
                  <w:shd w:val="clear" w:color="auto" w:fill="auto"/>
                  <w:vAlign w:val="center"/>
                </w:tcPr>
                <w:p w14:paraId="2EE4A4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color w:val="auto"/>
                      <w:kern w:val="21"/>
                      <w:sz w:val="21"/>
                      <w:szCs w:val="21"/>
                      <w:vertAlign w:val="baseline"/>
                    </w:rPr>
                    <w:t>500</w:t>
                  </w:r>
                  <w:r>
                    <w:rPr>
                      <w:rFonts w:hint="eastAsia" w:cs="Times New Roman"/>
                      <w:color w:val="auto"/>
                      <w:kern w:val="21"/>
                      <w:sz w:val="21"/>
                      <w:szCs w:val="21"/>
                      <w:vertAlign w:val="baseline"/>
                      <w:lang w:val="en-US" w:eastAsia="zh-CN"/>
                    </w:rPr>
                    <w:t>k</w:t>
                  </w:r>
                  <w:r>
                    <w:rPr>
                      <w:rFonts w:hint="default" w:ascii="Times New Roman" w:hAnsi="Times New Roman" w:eastAsia="宋体" w:cs="Times New Roman"/>
                      <w:color w:val="auto"/>
                      <w:kern w:val="21"/>
                      <w:sz w:val="21"/>
                      <w:szCs w:val="21"/>
                      <w:vertAlign w:val="baseline"/>
                    </w:rPr>
                    <w:t>g</w:t>
                  </w:r>
                </w:p>
              </w:tc>
              <w:tc>
                <w:tcPr>
                  <w:tcW w:w="480" w:type="pct"/>
                  <w:shd w:val="clear" w:color="auto" w:fill="auto"/>
                  <w:vAlign w:val="center"/>
                </w:tcPr>
                <w:p w14:paraId="0AC860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vAlign w:val="center"/>
                </w:tcPr>
                <w:p w14:paraId="09D5A5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2</w:t>
                  </w:r>
                </w:p>
              </w:tc>
            </w:tr>
            <w:tr w14:paraId="31C0F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3C04FA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15</w:t>
                  </w:r>
                </w:p>
              </w:tc>
              <w:tc>
                <w:tcPr>
                  <w:tcW w:w="2318" w:type="pct"/>
                  <w:shd w:val="clear" w:color="auto" w:fill="auto"/>
                  <w:vAlign w:val="center"/>
                </w:tcPr>
                <w:p w14:paraId="1470BB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螺杆变频空压机</w:t>
                  </w:r>
                </w:p>
              </w:tc>
              <w:tc>
                <w:tcPr>
                  <w:tcW w:w="1243" w:type="pct"/>
                  <w:shd w:val="clear" w:color="auto" w:fill="auto"/>
                  <w:vAlign w:val="center"/>
                </w:tcPr>
                <w:p w14:paraId="2C6959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3.5T</w:t>
                  </w:r>
                </w:p>
              </w:tc>
              <w:tc>
                <w:tcPr>
                  <w:tcW w:w="480" w:type="pct"/>
                  <w:shd w:val="clear" w:color="auto" w:fill="auto"/>
                  <w:vAlign w:val="center"/>
                </w:tcPr>
                <w:p w14:paraId="4573DC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shd w:val="clear" w:color="auto" w:fill="auto"/>
                  <w:vAlign w:val="center"/>
                </w:tcPr>
                <w:p w14:paraId="310B0E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eastAsia" w:cs="Times New Roman"/>
                      <w:i w:val="0"/>
                      <w:iCs w:val="0"/>
                      <w:caps w:val="0"/>
                      <w:color w:val="auto"/>
                      <w:spacing w:val="0"/>
                      <w:kern w:val="21"/>
                      <w:sz w:val="21"/>
                      <w:szCs w:val="21"/>
                      <w:lang w:val="en-US" w:eastAsia="zh-CN" w:bidi="ar"/>
                    </w:rPr>
                    <w:t>2</w:t>
                  </w:r>
                </w:p>
              </w:tc>
            </w:tr>
            <w:tr w14:paraId="7B643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02B31A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16</w:t>
                  </w:r>
                </w:p>
              </w:tc>
              <w:tc>
                <w:tcPr>
                  <w:tcW w:w="2318" w:type="pct"/>
                  <w:shd w:val="clear" w:color="auto" w:fill="auto"/>
                  <w:vAlign w:val="center"/>
                </w:tcPr>
                <w:p w14:paraId="42C5C7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冷冻式干燥机</w:t>
                  </w:r>
                </w:p>
              </w:tc>
              <w:tc>
                <w:tcPr>
                  <w:tcW w:w="1243" w:type="pct"/>
                  <w:shd w:val="clear" w:color="auto" w:fill="auto"/>
                  <w:vAlign w:val="center"/>
                </w:tcPr>
                <w:p w14:paraId="08FE12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w:t>
                  </w:r>
                </w:p>
              </w:tc>
              <w:tc>
                <w:tcPr>
                  <w:tcW w:w="480" w:type="pct"/>
                  <w:shd w:val="clear" w:color="auto" w:fill="auto"/>
                  <w:vAlign w:val="center"/>
                </w:tcPr>
                <w:p w14:paraId="4D77D5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shd w:val="clear" w:color="auto" w:fill="auto"/>
                  <w:vAlign w:val="center"/>
                </w:tcPr>
                <w:p w14:paraId="3E72DE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color w:val="auto"/>
                      <w:kern w:val="21"/>
                      <w:sz w:val="21"/>
                      <w:szCs w:val="21"/>
                      <w:vertAlign w:val="baseline"/>
                      <w:lang w:val="en-US" w:eastAsia="zh-CN" w:bidi="ar-SA"/>
                    </w:rPr>
                  </w:pPr>
                  <w:r>
                    <w:rPr>
                      <w:rFonts w:hint="eastAsia" w:cs="Times New Roman"/>
                      <w:i w:val="0"/>
                      <w:iCs w:val="0"/>
                      <w:caps w:val="0"/>
                      <w:color w:val="auto"/>
                      <w:spacing w:val="0"/>
                      <w:kern w:val="21"/>
                      <w:sz w:val="21"/>
                      <w:szCs w:val="21"/>
                      <w:lang w:val="en-US" w:eastAsia="zh-CN" w:bidi="ar"/>
                    </w:rPr>
                    <w:t>1</w:t>
                  </w:r>
                </w:p>
              </w:tc>
            </w:tr>
            <w:tr w14:paraId="2D9B2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2CB8A0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17</w:t>
                  </w:r>
                </w:p>
              </w:tc>
              <w:tc>
                <w:tcPr>
                  <w:tcW w:w="2318" w:type="pct"/>
                  <w:shd w:val="clear" w:color="auto" w:fill="auto"/>
                  <w:vAlign w:val="center"/>
                </w:tcPr>
                <w:p w14:paraId="421341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水罐带支架</w:t>
                  </w:r>
                </w:p>
              </w:tc>
              <w:tc>
                <w:tcPr>
                  <w:tcW w:w="1243" w:type="pct"/>
                  <w:shd w:val="clear" w:color="auto" w:fill="auto"/>
                  <w:vAlign w:val="center"/>
                </w:tcPr>
                <w:p w14:paraId="6581EC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1m</w:t>
                  </w:r>
                  <w:r>
                    <w:rPr>
                      <w:rFonts w:hint="default" w:ascii="Times New Roman" w:hAnsi="Times New Roman" w:eastAsia="宋体" w:cs="Times New Roman"/>
                      <w:i w:val="0"/>
                      <w:iCs w:val="0"/>
                      <w:caps w:val="0"/>
                      <w:color w:val="auto"/>
                      <w:spacing w:val="0"/>
                      <w:kern w:val="21"/>
                      <w:sz w:val="21"/>
                      <w:szCs w:val="21"/>
                      <w:vertAlign w:val="superscript"/>
                      <w:lang w:val="en-US" w:eastAsia="zh-CN" w:bidi="ar"/>
                    </w:rPr>
                    <w:t>3</w:t>
                  </w:r>
                </w:p>
              </w:tc>
              <w:tc>
                <w:tcPr>
                  <w:tcW w:w="480" w:type="pct"/>
                  <w:shd w:val="clear" w:color="auto" w:fill="auto"/>
                  <w:vAlign w:val="center"/>
                </w:tcPr>
                <w:p w14:paraId="113355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shd w:val="clear" w:color="auto" w:fill="auto"/>
                  <w:vAlign w:val="center"/>
                </w:tcPr>
                <w:p w14:paraId="3AAEB8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w:t>
                  </w:r>
                </w:p>
              </w:tc>
            </w:tr>
            <w:tr w14:paraId="7C54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651C5D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18</w:t>
                  </w:r>
                </w:p>
              </w:tc>
              <w:tc>
                <w:tcPr>
                  <w:tcW w:w="2318" w:type="pct"/>
                  <w:shd w:val="clear" w:color="auto" w:fill="auto"/>
                  <w:vAlign w:val="center"/>
                </w:tcPr>
                <w:p w14:paraId="4821A6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打压试水槽《带水泵》</w:t>
                  </w:r>
                </w:p>
              </w:tc>
              <w:tc>
                <w:tcPr>
                  <w:tcW w:w="1243" w:type="pct"/>
                  <w:shd w:val="clear" w:color="auto" w:fill="auto"/>
                  <w:vAlign w:val="center"/>
                </w:tcPr>
                <w:p w14:paraId="23D3A9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1m</w:t>
                  </w:r>
                  <w:r>
                    <w:rPr>
                      <w:rFonts w:hint="default" w:ascii="Times New Roman" w:hAnsi="Times New Roman" w:eastAsia="宋体" w:cs="Times New Roman"/>
                      <w:i w:val="0"/>
                      <w:iCs w:val="0"/>
                      <w:caps w:val="0"/>
                      <w:color w:val="auto"/>
                      <w:spacing w:val="0"/>
                      <w:kern w:val="21"/>
                      <w:sz w:val="21"/>
                      <w:szCs w:val="21"/>
                      <w:vertAlign w:val="superscript"/>
                      <w:lang w:val="en-US" w:eastAsia="zh-CN" w:bidi="ar"/>
                    </w:rPr>
                    <w:t>3</w:t>
                  </w:r>
                </w:p>
              </w:tc>
              <w:tc>
                <w:tcPr>
                  <w:tcW w:w="480" w:type="pct"/>
                  <w:shd w:val="clear" w:color="auto" w:fill="auto"/>
                  <w:vAlign w:val="center"/>
                </w:tcPr>
                <w:p w14:paraId="0DF283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shd w:val="clear" w:color="auto" w:fill="auto"/>
                  <w:vAlign w:val="center"/>
                </w:tcPr>
                <w:p w14:paraId="7203C6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w:t>
                  </w:r>
                </w:p>
              </w:tc>
            </w:tr>
            <w:tr w14:paraId="4BDF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115CB5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19</w:t>
                  </w:r>
                </w:p>
              </w:tc>
              <w:tc>
                <w:tcPr>
                  <w:tcW w:w="2318" w:type="pct"/>
                  <w:shd w:val="clear" w:color="auto" w:fill="auto"/>
                  <w:vAlign w:val="center"/>
                </w:tcPr>
                <w:p w14:paraId="3D5E8A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过滤罐</w:t>
                  </w:r>
                </w:p>
              </w:tc>
              <w:tc>
                <w:tcPr>
                  <w:tcW w:w="1243" w:type="pct"/>
                  <w:shd w:val="clear" w:color="auto" w:fill="auto"/>
                  <w:vAlign w:val="center"/>
                </w:tcPr>
                <w:p w14:paraId="2198B8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500L</w:t>
                  </w:r>
                </w:p>
              </w:tc>
              <w:tc>
                <w:tcPr>
                  <w:tcW w:w="480" w:type="pct"/>
                  <w:shd w:val="clear" w:color="auto" w:fill="auto"/>
                  <w:vAlign w:val="center"/>
                </w:tcPr>
                <w:p w14:paraId="3D93E7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shd w:val="clear" w:color="auto" w:fill="auto"/>
                  <w:vAlign w:val="center"/>
                </w:tcPr>
                <w:p w14:paraId="1EFAF6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w:t>
                  </w:r>
                </w:p>
              </w:tc>
            </w:tr>
            <w:tr w14:paraId="5E91A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57B28C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20</w:t>
                  </w:r>
                </w:p>
              </w:tc>
              <w:tc>
                <w:tcPr>
                  <w:tcW w:w="2318" w:type="pct"/>
                  <w:shd w:val="clear" w:color="auto" w:fill="auto"/>
                  <w:vAlign w:val="center"/>
                </w:tcPr>
                <w:p w14:paraId="7695C9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储气罐</w:t>
                  </w:r>
                </w:p>
              </w:tc>
              <w:tc>
                <w:tcPr>
                  <w:tcW w:w="1243" w:type="pct"/>
                  <w:shd w:val="clear" w:color="auto" w:fill="auto"/>
                  <w:vAlign w:val="center"/>
                </w:tcPr>
                <w:p w14:paraId="458C12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0.3</w:t>
                  </w:r>
                  <w:r>
                    <w:rPr>
                      <w:rFonts w:hint="default" w:ascii="Times New Roman" w:hAnsi="Times New Roman" w:eastAsia="宋体" w:cs="Times New Roman"/>
                      <w:i w:val="0"/>
                      <w:iCs w:val="0"/>
                      <w:caps w:val="0"/>
                      <w:color w:val="auto"/>
                      <w:spacing w:val="0"/>
                      <w:kern w:val="21"/>
                      <w:sz w:val="21"/>
                      <w:szCs w:val="21"/>
                      <w:lang w:val="en-US" w:eastAsia="zh-CN" w:bidi="ar"/>
                    </w:rPr>
                    <w:t>m</w:t>
                  </w:r>
                  <w:r>
                    <w:rPr>
                      <w:rFonts w:hint="default" w:ascii="Times New Roman" w:hAnsi="Times New Roman" w:eastAsia="宋体" w:cs="Times New Roman"/>
                      <w:i w:val="0"/>
                      <w:iCs w:val="0"/>
                      <w:caps w:val="0"/>
                      <w:color w:val="auto"/>
                      <w:spacing w:val="0"/>
                      <w:kern w:val="21"/>
                      <w:sz w:val="21"/>
                      <w:szCs w:val="21"/>
                      <w:vertAlign w:val="superscript"/>
                      <w:lang w:val="en-US" w:eastAsia="zh-CN" w:bidi="ar"/>
                    </w:rPr>
                    <w:t>3</w:t>
                  </w:r>
                </w:p>
              </w:tc>
              <w:tc>
                <w:tcPr>
                  <w:tcW w:w="480" w:type="pct"/>
                  <w:shd w:val="clear" w:color="auto" w:fill="auto"/>
                  <w:vAlign w:val="center"/>
                </w:tcPr>
                <w:p w14:paraId="674EB4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default" w:ascii="Times New Roman" w:hAnsi="Times New Roman" w:eastAsia="宋体" w:cs="Times New Roman"/>
                      <w:i w:val="0"/>
                      <w:iCs w:val="0"/>
                      <w:caps w:val="0"/>
                      <w:color w:val="auto"/>
                      <w:spacing w:val="0"/>
                      <w:kern w:val="21"/>
                      <w:sz w:val="21"/>
                      <w:szCs w:val="21"/>
                      <w:lang w:val="en-US" w:eastAsia="zh-CN" w:bidi="ar"/>
                    </w:rPr>
                    <w:t>台</w:t>
                  </w:r>
                </w:p>
              </w:tc>
              <w:tc>
                <w:tcPr>
                  <w:tcW w:w="480" w:type="pct"/>
                  <w:shd w:val="clear" w:color="auto" w:fill="auto"/>
                  <w:vAlign w:val="center"/>
                </w:tcPr>
                <w:p w14:paraId="2E1036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w:t>
                  </w:r>
                </w:p>
              </w:tc>
            </w:tr>
            <w:tr w14:paraId="2DC0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pct"/>
                  <w:shd w:val="clear" w:color="auto" w:fill="auto"/>
                  <w:vAlign w:val="center"/>
                </w:tcPr>
                <w:p w14:paraId="02A23D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21</w:t>
                  </w:r>
                </w:p>
              </w:tc>
              <w:tc>
                <w:tcPr>
                  <w:tcW w:w="2318" w:type="pct"/>
                  <w:shd w:val="clear" w:color="auto" w:fill="auto"/>
                  <w:vAlign w:val="center"/>
                </w:tcPr>
                <w:p w14:paraId="40CCF8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冷却塔</w:t>
                  </w:r>
                </w:p>
              </w:tc>
              <w:tc>
                <w:tcPr>
                  <w:tcW w:w="1243" w:type="pct"/>
                  <w:shd w:val="clear" w:color="auto" w:fill="auto"/>
                  <w:vAlign w:val="center"/>
                </w:tcPr>
                <w:p w14:paraId="6A6A63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30t/h</w:t>
                  </w:r>
                </w:p>
              </w:tc>
              <w:tc>
                <w:tcPr>
                  <w:tcW w:w="480" w:type="pct"/>
                  <w:shd w:val="clear" w:color="auto" w:fill="auto"/>
                  <w:vAlign w:val="center"/>
                </w:tcPr>
                <w:p w14:paraId="67919B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台</w:t>
                  </w:r>
                </w:p>
              </w:tc>
              <w:tc>
                <w:tcPr>
                  <w:tcW w:w="480" w:type="pct"/>
                  <w:shd w:val="clear" w:color="auto" w:fill="auto"/>
                  <w:vAlign w:val="center"/>
                </w:tcPr>
                <w:p w14:paraId="2A8525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aps w:val="0"/>
                      <w:color w:val="auto"/>
                      <w:spacing w:val="0"/>
                      <w:kern w:val="21"/>
                      <w:sz w:val="21"/>
                      <w:szCs w:val="21"/>
                      <w:lang w:val="en-US" w:eastAsia="zh-CN" w:bidi="ar"/>
                    </w:rPr>
                  </w:pPr>
                  <w:r>
                    <w:rPr>
                      <w:rFonts w:hint="eastAsia" w:cs="Times New Roman"/>
                      <w:i w:val="0"/>
                      <w:iCs w:val="0"/>
                      <w:caps w:val="0"/>
                      <w:color w:val="auto"/>
                      <w:spacing w:val="0"/>
                      <w:kern w:val="21"/>
                      <w:sz w:val="21"/>
                      <w:szCs w:val="21"/>
                      <w:lang w:val="en-US" w:eastAsia="zh-CN" w:bidi="ar"/>
                    </w:rPr>
                    <w:t>1</w:t>
                  </w:r>
                </w:p>
              </w:tc>
            </w:tr>
          </w:tbl>
          <w:p w14:paraId="25215222">
            <w:pPr>
              <w:topLinePunct/>
              <w:spacing w:line="500" w:lineRule="exact"/>
              <w:jc w:val="left"/>
              <w:textAlignment w:val="baseline"/>
              <w:rPr>
                <w:b/>
                <w:bCs/>
                <w:color w:val="auto"/>
                <w:sz w:val="24"/>
                <w:highlight w:val="none"/>
              </w:rPr>
            </w:pPr>
            <w:r>
              <w:rPr>
                <w:b/>
                <w:bCs/>
                <w:color w:val="auto"/>
                <w:sz w:val="24"/>
                <w:highlight w:val="none"/>
              </w:rPr>
              <w:t>6、主要原辅材料</w:t>
            </w:r>
          </w:p>
          <w:p w14:paraId="06F8790C">
            <w:pPr>
              <w:overflowPunct w:val="0"/>
              <w:adjustRightInd w:val="0"/>
              <w:snapToGrid w:val="0"/>
              <w:spacing w:line="500" w:lineRule="exact"/>
              <w:ind w:firstLine="480" w:firstLineChars="200"/>
              <w:rPr>
                <w:rFonts w:hint="default" w:eastAsia="宋体"/>
                <w:color w:val="auto"/>
                <w:sz w:val="24"/>
                <w:highlight w:val="none"/>
                <w:lang w:val="en-US" w:eastAsia="zh-CN"/>
              </w:rPr>
            </w:pPr>
            <w:r>
              <w:rPr>
                <w:color w:val="auto"/>
                <w:sz w:val="24"/>
                <w:highlight w:val="none"/>
              </w:rPr>
              <w:t>本项目主要原辅材料用量及来源见表</w:t>
            </w:r>
            <w:r>
              <w:rPr>
                <w:rFonts w:hint="eastAsia"/>
                <w:color w:val="auto"/>
                <w:sz w:val="24"/>
                <w:highlight w:val="none"/>
                <w:lang w:val="en-US" w:eastAsia="zh-CN"/>
              </w:rPr>
              <w:t>2-4，理化性质见表2-5</w:t>
            </w:r>
            <w:r>
              <w:rPr>
                <w:color w:val="auto"/>
                <w:sz w:val="24"/>
                <w:highlight w:val="none"/>
              </w:rPr>
              <w:t>。</w:t>
            </w:r>
            <w:r>
              <w:rPr>
                <w:rFonts w:hint="eastAsia"/>
                <w:color w:val="auto"/>
                <w:sz w:val="24"/>
                <w:highlight w:val="none"/>
                <w:lang w:val="en-US" w:eastAsia="zh-CN"/>
              </w:rPr>
              <w:t>物料平衡表，见2-6。</w:t>
            </w:r>
          </w:p>
          <w:p w14:paraId="182EE4EC">
            <w:pPr>
              <w:overflowPunct w:val="0"/>
              <w:adjustRightInd w:val="0"/>
              <w:snapToGrid w:val="0"/>
              <w:spacing w:line="500" w:lineRule="exact"/>
              <w:ind w:firstLine="422" w:firstLineChars="200"/>
              <w:jc w:val="center"/>
              <w:rPr>
                <w:b/>
                <w:color w:val="auto"/>
                <w:szCs w:val="21"/>
                <w:highlight w:val="none"/>
              </w:rPr>
            </w:pPr>
            <w:r>
              <w:rPr>
                <w:b/>
                <w:color w:val="auto"/>
                <w:szCs w:val="21"/>
                <w:highlight w:val="none"/>
              </w:rPr>
              <w:t>表</w:t>
            </w:r>
            <w:r>
              <w:rPr>
                <w:rFonts w:hint="eastAsia"/>
                <w:b/>
                <w:color w:val="auto"/>
                <w:szCs w:val="21"/>
                <w:highlight w:val="none"/>
                <w:lang w:val="en-US" w:eastAsia="zh-CN"/>
              </w:rPr>
              <w:t>2-4</w:t>
            </w:r>
            <w:r>
              <w:rPr>
                <w:b/>
                <w:bCs/>
                <w:color w:val="auto"/>
                <w:szCs w:val="21"/>
                <w:highlight w:val="none"/>
              </w:rPr>
              <w:t xml:space="preserve">       </w:t>
            </w:r>
            <w:r>
              <w:rPr>
                <w:b/>
                <w:color w:val="auto"/>
                <w:szCs w:val="21"/>
                <w:highlight w:val="none"/>
              </w:rPr>
              <w:t>主要原辅材料一览表</w:t>
            </w:r>
          </w:p>
          <w:tbl>
            <w:tblPr>
              <w:tblStyle w:val="34"/>
              <w:tblW w:w="49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2012"/>
              <w:gridCol w:w="885"/>
              <w:gridCol w:w="2565"/>
              <w:gridCol w:w="712"/>
              <w:gridCol w:w="1508"/>
            </w:tblGrid>
            <w:tr w14:paraId="4CAF9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vAlign w:val="center"/>
                </w:tcPr>
                <w:p w14:paraId="43AC4ADC">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序号</w:t>
                  </w:r>
                </w:p>
              </w:tc>
              <w:tc>
                <w:tcPr>
                  <w:tcW w:w="1201" w:type="pct"/>
                  <w:vAlign w:val="center"/>
                </w:tcPr>
                <w:p w14:paraId="102BC97D">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名称</w:t>
                  </w:r>
                </w:p>
              </w:tc>
              <w:tc>
                <w:tcPr>
                  <w:tcW w:w="528" w:type="pct"/>
                  <w:vAlign w:val="center"/>
                </w:tcPr>
                <w:p w14:paraId="43FBEF24">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年用量</w:t>
                  </w:r>
                </w:p>
              </w:tc>
              <w:tc>
                <w:tcPr>
                  <w:tcW w:w="1531" w:type="pct"/>
                  <w:vAlign w:val="center"/>
                </w:tcPr>
                <w:p w14:paraId="269B3998">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储存方式</w:t>
                  </w:r>
                </w:p>
              </w:tc>
              <w:tc>
                <w:tcPr>
                  <w:tcW w:w="425" w:type="pct"/>
                  <w:vAlign w:val="center"/>
                </w:tcPr>
                <w:p w14:paraId="4DDC8DFE">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性状</w:t>
                  </w:r>
                </w:p>
              </w:tc>
              <w:tc>
                <w:tcPr>
                  <w:tcW w:w="900" w:type="pct"/>
                  <w:vAlign w:val="center"/>
                </w:tcPr>
                <w:p w14:paraId="2F582A88">
                  <w:pPr>
                    <w:keepNext w:val="0"/>
                    <w:keepLines w:val="0"/>
                    <w:pageBreakBefore w:val="0"/>
                    <w:kinsoku/>
                    <w:wordWrap/>
                    <w:overflowPunct w:val="0"/>
                    <w:topLinePunct w:val="0"/>
                    <w:autoSpaceDE/>
                    <w:autoSpaceDN/>
                    <w:bidi w:val="0"/>
                    <w:adjustRightInd/>
                    <w:snapToGrid/>
                    <w:jc w:val="center"/>
                    <w:textAlignment w:val="auto"/>
                    <w:rPr>
                      <w:rFonts w:hint="eastAsia" w:ascii="Times New Roman" w:hAnsi="Times New Roman" w:eastAsia="宋体" w:cs="Times New Roman"/>
                      <w:b/>
                      <w:bCs/>
                      <w:snapToGrid w:val="0"/>
                      <w:color w:val="auto"/>
                      <w:kern w:val="0"/>
                      <w:sz w:val="21"/>
                      <w:szCs w:val="21"/>
                      <w:highlight w:val="none"/>
                      <w:lang w:val="en-US" w:eastAsia="zh-CN"/>
                    </w:rPr>
                  </w:pPr>
                  <w:r>
                    <w:rPr>
                      <w:rFonts w:hint="eastAsia" w:cs="Times New Roman"/>
                      <w:b/>
                      <w:bCs/>
                      <w:snapToGrid w:val="0"/>
                      <w:color w:val="auto"/>
                      <w:kern w:val="0"/>
                      <w:sz w:val="21"/>
                      <w:szCs w:val="21"/>
                      <w:highlight w:val="none"/>
                      <w:lang w:val="en-US" w:eastAsia="zh-CN"/>
                    </w:rPr>
                    <w:t>来源</w:t>
                  </w:r>
                </w:p>
              </w:tc>
            </w:tr>
            <w:tr w14:paraId="499EE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vAlign w:val="center"/>
                </w:tcPr>
                <w:p w14:paraId="7E64E80B">
                  <w:pPr>
                    <w:keepNext w:val="0"/>
                    <w:keepLines w:val="0"/>
                    <w:pageBreakBefore w:val="0"/>
                    <w:kinsoku/>
                    <w:wordWrap/>
                    <w:overflowPunct w:val="0"/>
                    <w:topLinePunct w:val="0"/>
                    <w:autoSpaceDE/>
                    <w:autoSpaceDN/>
                    <w:bidi w:val="0"/>
                    <w:adjustRightInd/>
                    <w:snapToGrid/>
                    <w:jc w:val="center"/>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塑料包装袋</w:t>
                  </w:r>
                </w:p>
              </w:tc>
            </w:tr>
            <w:tr w14:paraId="09C3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vAlign w:val="center"/>
                </w:tcPr>
                <w:p w14:paraId="2C7A0588">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1</w:t>
                  </w:r>
                </w:p>
              </w:tc>
              <w:tc>
                <w:tcPr>
                  <w:tcW w:w="1201" w:type="pct"/>
                  <w:vAlign w:val="center"/>
                </w:tcPr>
                <w:p w14:paraId="658DF439">
                  <w:pPr>
                    <w:keepNext w:val="0"/>
                    <w:keepLines w:val="0"/>
                    <w:pageBreakBefore w:val="0"/>
                    <w:widowControl/>
                    <w:suppressLineNumbers w:val="0"/>
                    <w:kinsoku/>
                    <w:wordWrap/>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LDPE（吹膜级）</w:t>
                  </w:r>
                </w:p>
              </w:tc>
              <w:tc>
                <w:tcPr>
                  <w:tcW w:w="528" w:type="pct"/>
                  <w:vAlign w:val="center"/>
                </w:tcPr>
                <w:p w14:paraId="7DEAC701">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lang w:val="en-US"/>
                    </w:rPr>
                  </w:pPr>
                  <w:r>
                    <w:rPr>
                      <w:rFonts w:hint="eastAsia" w:cs="Times New Roman"/>
                      <w:bCs/>
                      <w:color w:val="auto"/>
                      <w:sz w:val="21"/>
                      <w:szCs w:val="21"/>
                      <w:highlight w:val="none"/>
                      <w:shd w:val="clear" w:color="auto" w:fill="FFFFFF"/>
                      <w:lang w:val="en-US" w:eastAsia="zh-CN"/>
                    </w:rPr>
                    <w:t>824t</w:t>
                  </w:r>
                </w:p>
              </w:tc>
              <w:tc>
                <w:tcPr>
                  <w:tcW w:w="1531" w:type="pct"/>
                  <w:vAlign w:val="center"/>
                </w:tcPr>
                <w:p w14:paraId="2A1BC224">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50kg/袋，</w:t>
                  </w:r>
                  <w:r>
                    <w:rPr>
                      <w:rFonts w:hint="eastAsia" w:cs="Times New Roman"/>
                      <w:snapToGrid w:val="0"/>
                      <w:color w:val="auto"/>
                      <w:kern w:val="0"/>
                      <w:sz w:val="21"/>
                      <w:szCs w:val="21"/>
                      <w:highlight w:val="none"/>
                      <w:lang w:val="en-US" w:eastAsia="zh-CN"/>
                    </w:rPr>
                    <w:t>车间</w:t>
                  </w:r>
                  <w:r>
                    <w:rPr>
                      <w:rFonts w:hint="default" w:ascii="Times New Roman" w:hAnsi="Times New Roman" w:eastAsia="宋体" w:cs="Times New Roman"/>
                      <w:snapToGrid w:val="0"/>
                      <w:color w:val="auto"/>
                      <w:kern w:val="0"/>
                      <w:sz w:val="21"/>
                      <w:szCs w:val="21"/>
                      <w:highlight w:val="none"/>
                    </w:rPr>
                    <w:t>原料</w:t>
                  </w:r>
                  <w:r>
                    <w:rPr>
                      <w:rFonts w:hint="eastAsia" w:cs="Times New Roman"/>
                      <w:snapToGrid w:val="0"/>
                      <w:color w:val="auto"/>
                      <w:kern w:val="0"/>
                      <w:sz w:val="21"/>
                      <w:szCs w:val="21"/>
                      <w:highlight w:val="none"/>
                      <w:lang w:val="en-US" w:eastAsia="zh-CN"/>
                    </w:rPr>
                    <w:t>区</w:t>
                  </w:r>
                  <w:r>
                    <w:rPr>
                      <w:rFonts w:hint="default" w:ascii="Times New Roman" w:hAnsi="Times New Roman" w:eastAsia="宋体" w:cs="Times New Roman"/>
                      <w:snapToGrid w:val="0"/>
                      <w:color w:val="auto"/>
                      <w:kern w:val="0"/>
                      <w:sz w:val="21"/>
                      <w:szCs w:val="21"/>
                      <w:highlight w:val="none"/>
                    </w:rPr>
                    <w:t>储存</w:t>
                  </w:r>
                </w:p>
              </w:tc>
              <w:tc>
                <w:tcPr>
                  <w:tcW w:w="425" w:type="pct"/>
                  <w:vAlign w:val="center"/>
                </w:tcPr>
                <w:p w14:paraId="5A57AFD0">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固</w:t>
                  </w:r>
                </w:p>
              </w:tc>
              <w:tc>
                <w:tcPr>
                  <w:tcW w:w="900" w:type="pct"/>
                  <w:vAlign w:val="center"/>
                </w:tcPr>
                <w:p w14:paraId="239467DB">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当地市场外购</w:t>
                  </w:r>
                </w:p>
              </w:tc>
            </w:tr>
            <w:tr w14:paraId="235DE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vAlign w:val="center"/>
                </w:tcPr>
                <w:p w14:paraId="1ED9D240">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2</w:t>
                  </w:r>
                </w:p>
              </w:tc>
              <w:tc>
                <w:tcPr>
                  <w:tcW w:w="1201" w:type="pct"/>
                  <w:vAlign w:val="center"/>
                </w:tcPr>
                <w:p w14:paraId="6C9C6068">
                  <w:pPr>
                    <w:keepNext w:val="0"/>
                    <w:keepLines w:val="0"/>
                    <w:pageBreakBefore w:val="0"/>
                    <w:widowControl/>
                    <w:suppressLineNumbers w:val="0"/>
                    <w:kinsoku/>
                    <w:wordWrap/>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LLDPE（吹膜级）</w:t>
                  </w:r>
                </w:p>
              </w:tc>
              <w:tc>
                <w:tcPr>
                  <w:tcW w:w="528" w:type="pct"/>
                  <w:vAlign w:val="center"/>
                </w:tcPr>
                <w:p w14:paraId="0E4F218D">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175</w:t>
                  </w:r>
                  <w:r>
                    <w:rPr>
                      <w:rFonts w:hint="default" w:ascii="Times New Roman" w:hAnsi="Times New Roman" w:eastAsia="宋体" w:cs="Times New Roman"/>
                      <w:color w:val="auto"/>
                      <w:sz w:val="21"/>
                      <w:szCs w:val="21"/>
                      <w:highlight w:val="none"/>
                    </w:rPr>
                    <w:t>t</w:t>
                  </w:r>
                </w:p>
              </w:tc>
              <w:tc>
                <w:tcPr>
                  <w:tcW w:w="1531" w:type="pct"/>
                  <w:vAlign w:val="center"/>
                </w:tcPr>
                <w:p w14:paraId="1C82C421">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50kg/袋，</w:t>
                  </w:r>
                  <w:r>
                    <w:rPr>
                      <w:rFonts w:hint="eastAsia" w:cs="Times New Roman"/>
                      <w:snapToGrid w:val="0"/>
                      <w:color w:val="auto"/>
                      <w:kern w:val="0"/>
                      <w:sz w:val="21"/>
                      <w:szCs w:val="21"/>
                      <w:highlight w:val="none"/>
                      <w:lang w:val="en-US" w:eastAsia="zh-CN"/>
                    </w:rPr>
                    <w:t>车间</w:t>
                  </w:r>
                  <w:r>
                    <w:rPr>
                      <w:rFonts w:hint="default" w:ascii="Times New Roman" w:hAnsi="Times New Roman" w:eastAsia="宋体" w:cs="Times New Roman"/>
                      <w:snapToGrid w:val="0"/>
                      <w:color w:val="auto"/>
                      <w:kern w:val="0"/>
                      <w:sz w:val="21"/>
                      <w:szCs w:val="21"/>
                      <w:highlight w:val="none"/>
                    </w:rPr>
                    <w:t>原料</w:t>
                  </w:r>
                  <w:r>
                    <w:rPr>
                      <w:rFonts w:hint="eastAsia" w:cs="Times New Roman"/>
                      <w:snapToGrid w:val="0"/>
                      <w:color w:val="auto"/>
                      <w:kern w:val="0"/>
                      <w:sz w:val="21"/>
                      <w:szCs w:val="21"/>
                      <w:highlight w:val="none"/>
                      <w:lang w:val="en-US" w:eastAsia="zh-CN"/>
                    </w:rPr>
                    <w:t>区</w:t>
                  </w:r>
                  <w:r>
                    <w:rPr>
                      <w:rFonts w:hint="default" w:ascii="Times New Roman" w:hAnsi="Times New Roman" w:eastAsia="宋体" w:cs="Times New Roman"/>
                      <w:snapToGrid w:val="0"/>
                      <w:color w:val="auto"/>
                      <w:kern w:val="0"/>
                      <w:sz w:val="21"/>
                      <w:szCs w:val="21"/>
                      <w:highlight w:val="none"/>
                    </w:rPr>
                    <w:t>储存</w:t>
                  </w:r>
                </w:p>
              </w:tc>
              <w:tc>
                <w:tcPr>
                  <w:tcW w:w="425" w:type="pct"/>
                  <w:vAlign w:val="center"/>
                </w:tcPr>
                <w:p w14:paraId="61BF17D5">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固</w:t>
                  </w:r>
                </w:p>
              </w:tc>
              <w:tc>
                <w:tcPr>
                  <w:tcW w:w="900" w:type="pct"/>
                  <w:vAlign w:val="center"/>
                </w:tcPr>
                <w:p w14:paraId="314910FC">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rPr>
                  </w:pPr>
                  <w:r>
                    <w:rPr>
                      <w:rFonts w:hint="eastAsia" w:cs="Times New Roman"/>
                      <w:snapToGrid w:val="0"/>
                      <w:color w:val="auto"/>
                      <w:kern w:val="0"/>
                      <w:sz w:val="21"/>
                      <w:szCs w:val="21"/>
                      <w:highlight w:val="none"/>
                      <w:lang w:val="en-US" w:eastAsia="zh-CN"/>
                    </w:rPr>
                    <w:t>当地市场外购</w:t>
                  </w:r>
                </w:p>
              </w:tc>
            </w:tr>
            <w:tr w14:paraId="20C3E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vAlign w:val="center"/>
                </w:tcPr>
                <w:p w14:paraId="6351F2FA">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3</w:t>
                  </w:r>
                </w:p>
              </w:tc>
              <w:tc>
                <w:tcPr>
                  <w:tcW w:w="1201" w:type="pct"/>
                  <w:vAlign w:val="center"/>
                </w:tcPr>
                <w:p w14:paraId="2483DB46">
                  <w:pPr>
                    <w:keepNext w:val="0"/>
                    <w:keepLines w:val="0"/>
                    <w:pageBreakBefore w:val="0"/>
                    <w:widowControl/>
                    <w:suppressLineNumbers w:val="0"/>
                    <w:kinsoku/>
                    <w:wordWrap/>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开口爽滑母粒</w:t>
                  </w:r>
                </w:p>
              </w:tc>
              <w:tc>
                <w:tcPr>
                  <w:tcW w:w="528" w:type="pct"/>
                  <w:vAlign w:val="center"/>
                </w:tcPr>
                <w:p w14:paraId="61D328B3">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bCs/>
                      <w:color w:val="auto"/>
                      <w:sz w:val="21"/>
                      <w:szCs w:val="21"/>
                      <w:highlight w:val="none"/>
                      <w:shd w:val="clear" w:color="auto" w:fill="FFFFFF"/>
                      <w:lang w:val="en-US" w:eastAsia="zh-CN"/>
                    </w:rPr>
                    <w:t>12</w:t>
                  </w:r>
                  <w:r>
                    <w:rPr>
                      <w:rFonts w:hint="default" w:ascii="Times New Roman" w:hAnsi="Times New Roman" w:eastAsia="宋体" w:cs="Times New Roman"/>
                      <w:bCs/>
                      <w:color w:val="auto"/>
                      <w:sz w:val="21"/>
                      <w:szCs w:val="21"/>
                      <w:highlight w:val="none"/>
                      <w:shd w:val="clear" w:color="auto" w:fill="FFFFFF"/>
                    </w:rPr>
                    <w:t>t</w:t>
                  </w:r>
                </w:p>
              </w:tc>
              <w:tc>
                <w:tcPr>
                  <w:tcW w:w="1531" w:type="pct"/>
                  <w:vAlign w:val="center"/>
                </w:tcPr>
                <w:p w14:paraId="0C8A6137">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rPr>
                    <w:t>50kg/袋，</w:t>
                  </w:r>
                  <w:r>
                    <w:rPr>
                      <w:rFonts w:hint="eastAsia" w:cs="Times New Roman"/>
                      <w:snapToGrid w:val="0"/>
                      <w:color w:val="auto"/>
                      <w:kern w:val="0"/>
                      <w:sz w:val="21"/>
                      <w:szCs w:val="21"/>
                      <w:highlight w:val="none"/>
                      <w:lang w:val="en-US" w:eastAsia="zh-CN"/>
                    </w:rPr>
                    <w:t>车间</w:t>
                  </w:r>
                  <w:r>
                    <w:rPr>
                      <w:rFonts w:hint="default" w:ascii="Times New Roman" w:hAnsi="Times New Roman" w:eastAsia="宋体" w:cs="Times New Roman"/>
                      <w:snapToGrid w:val="0"/>
                      <w:color w:val="auto"/>
                      <w:kern w:val="0"/>
                      <w:sz w:val="21"/>
                      <w:szCs w:val="21"/>
                      <w:highlight w:val="none"/>
                    </w:rPr>
                    <w:t>原料</w:t>
                  </w:r>
                  <w:r>
                    <w:rPr>
                      <w:rFonts w:hint="eastAsia" w:cs="Times New Roman"/>
                      <w:snapToGrid w:val="0"/>
                      <w:color w:val="auto"/>
                      <w:kern w:val="0"/>
                      <w:sz w:val="21"/>
                      <w:szCs w:val="21"/>
                      <w:highlight w:val="none"/>
                      <w:lang w:val="en-US" w:eastAsia="zh-CN"/>
                    </w:rPr>
                    <w:t>区</w:t>
                  </w:r>
                  <w:r>
                    <w:rPr>
                      <w:rFonts w:hint="default" w:ascii="Times New Roman" w:hAnsi="Times New Roman" w:eastAsia="宋体" w:cs="Times New Roman"/>
                      <w:snapToGrid w:val="0"/>
                      <w:color w:val="auto"/>
                      <w:kern w:val="0"/>
                      <w:sz w:val="21"/>
                      <w:szCs w:val="21"/>
                      <w:highlight w:val="none"/>
                    </w:rPr>
                    <w:t>储存</w:t>
                  </w:r>
                </w:p>
              </w:tc>
              <w:tc>
                <w:tcPr>
                  <w:tcW w:w="425" w:type="pct"/>
                  <w:vAlign w:val="center"/>
                </w:tcPr>
                <w:p w14:paraId="58624805">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rPr>
                    <w:t>固</w:t>
                  </w:r>
                </w:p>
              </w:tc>
              <w:tc>
                <w:tcPr>
                  <w:tcW w:w="900" w:type="pct"/>
                  <w:vAlign w:val="center"/>
                </w:tcPr>
                <w:p w14:paraId="7B27445B">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rPr>
                  </w:pPr>
                  <w:r>
                    <w:rPr>
                      <w:rFonts w:hint="eastAsia" w:cs="Times New Roman"/>
                      <w:snapToGrid w:val="0"/>
                      <w:color w:val="auto"/>
                      <w:kern w:val="0"/>
                      <w:sz w:val="21"/>
                      <w:szCs w:val="21"/>
                      <w:highlight w:val="none"/>
                      <w:lang w:val="en-US" w:eastAsia="zh-CN"/>
                    </w:rPr>
                    <w:t>当地市场外购</w:t>
                  </w:r>
                </w:p>
              </w:tc>
            </w:tr>
            <w:tr w14:paraId="4E433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vAlign w:val="center"/>
                </w:tcPr>
                <w:p w14:paraId="544F00FA">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4</w:t>
                  </w:r>
                </w:p>
              </w:tc>
              <w:tc>
                <w:tcPr>
                  <w:tcW w:w="1201" w:type="pct"/>
                  <w:vAlign w:val="center"/>
                </w:tcPr>
                <w:p w14:paraId="71AF9633">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bCs/>
                      <w:color w:val="auto"/>
                      <w:sz w:val="21"/>
                      <w:szCs w:val="21"/>
                      <w:highlight w:val="none"/>
                      <w:lang w:val="en-US" w:eastAsia="zh-CN"/>
                    </w:rPr>
                    <w:t>白</w:t>
                  </w:r>
                  <w:r>
                    <w:rPr>
                      <w:rFonts w:hint="default" w:ascii="Times New Roman" w:hAnsi="Times New Roman" w:eastAsia="宋体" w:cs="Times New Roman"/>
                      <w:bCs/>
                      <w:color w:val="auto"/>
                      <w:sz w:val="21"/>
                      <w:szCs w:val="21"/>
                      <w:highlight w:val="none"/>
                    </w:rPr>
                    <w:t>色</w:t>
                  </w:r>
                  <w:r>
                    <w:rPr>
                      <w:rFonts w:hint="default" w:ascii="Times New Roman" w:hAnsi="Times New Roman" w:eastAsia="宋体" w:cs="Times New Roman"/>
                      <w:snapToGrid w:val="0"/>
                      <w:color w:val="auto"/>
                      <w:kern w:val="0"/>
                      <w:sz w:val="21"/>
                      <w:szCs w:val="21"/>
                      <w:highlight w:val="none"/>
                    </w:rPr>
                    <w:t>母</w:t>
                  </w:r>
                  <w:r>
                    <w:rPr>
                      <w:rFonts w:hint="default" w:ascii="Times New Roman" w:hAnsi="Times New Roman" w:eastAsia="宋体" w:cs="Times New Roman"/>
                      <w:bCs/>
                      <w:color w:val="auto"/>
                      <w:kern w:val="2"/>
                      <w:sz w:val="21"/>
                      <w:szCs w:val="21"/>
                      <w:highlight w:val="none"/>
                      <w:lang w:val="en-US" w:eastAsia="zh-CN" w:bidi="ar-SA"/>
                    </w:rPr>
                    <w:t>粒</w:t>
                  </w:r>
                </w:p>
              </w:tc>
              <w:tc>
                <w:tcPr>
                  <w:tcW w:w="528" w:type="pct"/>
                  <w:vAlign w:val="center"/>
                </w:tcPr>
                <w:p w14:paraId="4C88015D">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shd w:val="clear" w:color="auto" w:fill="FFFFFF"/>
                      <w:lang w:val="en-US" w:eastAsia="zh-CN" w:bidi="ar-SA"/>
                    </w:rPr>
                  </w:pPr>
                  <w:r>
                    <w:rPr>
                      <w:rFonts w:hint="eastAsia" w:cs="Times New Roman"/>
                      <w:bCs/>
                      <w:color w:val="auto"/>
                      <w:sz w:val="21"/>
                      <w:szCs w:val="21"/>
                      <w:highlight w:val="none"/>
                      <w:shd w:val="clear" w:color="auto" w:fill="FFFFFF"/>
                      <w:lang w:val="en-US" w:eastAsia="zh-CN"/>
                    </w:rPr>
                    <w:t>3</w:t>
                  </w:r>
                  <w:r>
                    <w:rPr>
                      <w:rFonts w:hint="default" w:ascii="Times New Roman" w:hAnsi="Times New Roman" w:eastAsia="宋体" w:cs="Times New Roman"/>
                      <w:bCs/>
                      <w:color w:val="auto"/>
                      <w:sz w:val="21"/>
                      <w:szCs w:val="21"/>
                      <w:highlight w:val="none"/>
                      <w:shd w:val="clear" w:color="auto" w:fill="FFFFFF"/>
                    </w:rPr>
                    <w:t>t</w:t>
                  </w:r>
                </w:p>
              </w:tc>
              <w:tc>
                <w:tcPr>
                  <w:tcW w:w="1531" w:type="pct"/>
                  <w:vAlign w:val="center"/>
                </w:tcPr>
                <w:p w14:paraId="6F6EB95C">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rPr>
                    <w:t>50kg/袋，</w:t>
                  </w:r>
                  <w:r>
                    <w:rPr>
                      <w:rFonts w:hint="eastAsia" w:cs="Times New Roman"/>
                      <w:snapToGrid w:val="0"/>
                      <w:color w:val="auto"/>
                      <w:kern w:val="0"/>
                      <w:sz w:val="21"/>
                      <w:szCs w:val="21"/>
                      <w:highlight w:val="none"/>
                      <w:lang w:val="en-US" w:eastAsia="zh-CN"/>
                    </w:rPr>
                    <w:t>车间</w:t>
                  </w:r>
                  <w:r>
                    <w:rPr>
                      <w:rFonts w:hint="default" w:ascii="Times New Roman" w:hAnsi="Times New Roman" w:eastAsia="宋体" w:cs="Times New Roman"/>
                      <w:snapToGrid w:val="0"/>
                      <w:color w:val="auto"/>
                      <w:kern w:val="0"/>
                      <w:sz w:val="21"/>
                      <w:szCs w:val="21"/>
                      <w:highlight w:val="none"/>
                    </w:rPr>
                    <w:t>原料</w:t>
                  </w:r>
                  <w:r>
                    <w:rPr>
                      <w:rFonts w:hint="eastAsia" w:cs="Times New Roman"/>
                      <w:snapToGrid w:val="0"/>
                      <w:color w:val="auto"/>
                      <w:kern w:val="0"/>
                      <w:sz w:val="21"/>
                      <w:szCs w:val="21"/>
                      <w:highlight w:val="none"/>
                      <w:lang w:val="en-US" w:eastAsia="zh-CN"/>
                    </w:rPr>
                    <w:t>区</w:t>
                  </w:r>
                  <w:r>
                    <w:rPr>
                      <w:rFonts w:hint="default" w:ascii="Times New Roman" w:hAnsi="Times New Roman" w:eastAsia="宋体" w:cs="Times New Roman"/>
                      <w:snapToGrid w:val="0"/>
                      <w:color w:val="auto"/>
                      <w:kern w:val="0"/>
                      <w:sz w:val="21"/>
                      <w:szCs w:val="21"/>
                      <w:highlight w:val="none"/>
                    </w:rPr>
                    <w:t>储存</w:t>
                  </w:r>
                </w:p>
              </w:tc>
              <w:tc>
                <w:tcPr>
                  <w:tcW w:w="425" w:type="pct"/>
                  <w:vAlign w:val="center"/>
                </w:tcPr>
                <w:p w14:paraId="47650D52">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rPr>
                    <w:t>固</w:t>
                  </w:r>
                </w:p>
              </w:tc>
              <w:tc>
                <w:tcPr>
                  <w:tcW w:w="900" w:type="pct"/>
                  <w:vAlign w:val="center"/>
                </w:tcPr>
                <w:p w14:paraId="32EB11AB">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rPr>
                  </w:pPr>
                  <w:r>
                    <w:rPr>
                      <w:rFonts w:hint="eastAsia" w:cs="Times New Roman"/>
                      <w:snapToGrid w:val="0"/>
                      <w:color w:val="auto"/>
                      <w:kern w:val="0"/>
                      <w:sz w:val="21"/>
                      <w:szCs w:val="21"/>
                      <w:highlight w:val="none"/>
                      <w:lang w:val="en-US" w:eastAsia="zh-CN"/>
                    </w:rPr>
                    <w:t>当地市场外购</w:t>
                  </w:r>
                </w:p>
              </w:tc>
            </w:tr>
            <w:tr w14:paraId="057FF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vAlign w:val="center"/>
                </w:tcPr>
                <w:p w14:paraId="795708FE">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5</w:t>
                  </w:r>
                </w:p>
              </w:tc>
              <w:tc>
                <w:tcPr>
                  <w:tcW w:w="1201" w:type="pct"/>
                  <w:vAlign w:val="center"/>
                </w:tcPr>
                <w:p w14:paraId="34C5BD82">
                  <w:pPr>
                    <w:keepNext w:val="0"/>
                    <w:keepLines w:val="0"/>
                    <w:pageBreakBefore w:val="0"/>
                    <w:kinsoku/>
                    <w:wordWrap/>
                    <w:overflowPunct w:val="0"/>
                    <w:topLinePunct w:val="0"/>
                    <w:autoSpaceDE/>
                    <w:autoSpaceDN/>
                    <w:bidi w:val="0"/>
                    <w:adjustRightInd/>
                    <w:snapToGrid/>
                    <w:jc w:val="center"/>
                    <w:textAlignment w:val="auto"/>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复合抗氧剂</w:t>
                  </w:r>
                </w:p>
              </w:tc>
              <w:tc>
                <w:tcPr>
                  <w:tcW w:w="528" w:type="pct"/>
                  <w:vAlign w:val="center"/>
                </w:tcPr>
                <w:p w14:paraId="53F8939E">
                  <w:pPr>
                    <w:keepNext w:val="0"/>
                    <w:keepLines w:val="0"/>
                    <w:pageBreakBefore w:val="0"/>
                    <w:kinsoku/>
                    <w:wordWrap/>
                    <w:overflowPunct w:val="0"/>
                    <w:topLinePunct w:val="0"/>
                    <w:autoSpaceDE/>
                    <w:autoSpaceDN/>
                    <w:bidi w:val="0"/>
                    <w:adjustRightInd/>
                    <w:snapToGrid/>
                    <w:jc w:val="center"/>
                    <w:textAlignment w:val="auto"/>
                    <w:rPr>
                      <w:rFonts w:hint="default" w:cs="Times New Roman"/>
                      <w:bCs/>
                      <w:color w:val="auto"/>
                      <w:sz w:val="21"/>
                      <w:szCs w:val="21"/>
                      <w:highlight w:val="none"/>
                      <w:shd w:val="clear" w:color="auto" w:fill="FFFFFF"/>
                      <w:lang w:val="en-US" w:eastAsia="zh-CN"/>
                    </w:rPr>
                  </w:pPr>
                  <w:r>
                    <w:rPr>
                      <w:rFonts w:hint="eastAsia" w:cs="Times New Roman"/>
                      <w:bCs/>
                      <w:color w:val="auto"/>
                      <w:sz w:val="21"/>
                      <w:szCs w:val="21"/>
                      <w:highlight w:val="none"/>
                      <w:shd w:val="clear" w:color="auto" w:fill="FFFFFF"/>
                      <w:lang w:val="en-US" w:eastAsia="zh-CN"/>
                    </w:rPr>
                    <w:t>2t</w:t>
                  </w:r>
                </w:p>
              </w:tc>
              <w:tc>
                <w:tcPr>
                  <w:tcW w:w="1531" w:type="pct"/>
                  <w:vAlign w:val="center"/>
                </w:tcPr>
                <w:p w14:paraId="65AEC727">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50kg/袋，</w:t>
                  </w:r>
                  <w:r>
                    <w:rPr>
                      <w:rFonts w:hint="eastAsia" w:cs="Times New Roman"/>
                      <w:snapToGrid w:val="0"/>
                      <w:color w:val="auto"/>
                      <w:kern w:val="0"/>
                      <w:sz w:val="21"/>
                      <w:szCs w:val="21"/>
                      <w:highlight w:val="none"/>
                      <w:lang w:val="en-US" w:eastAsia="zh-CN"/>
                    </w:rPr>
                    <w:t>车间</w:t>
                  </w:r>
                  <w:r>
                    <w:rPr>
                      <w:rFonts w:hint="default" w:ascii="Times New Roman" w:hAnsi="Times New Roman" w:eastAsia="宋体" w:cs="Times New Roman"/>
                      <w:snapToGrid w:val="0"/>
                      <w:color w:val="auto"/>
                      <w:kern w:val="0"/>
                      <w:sz w:val="21"/>
                      <w:szCs w:val="21"/>
                      <w:highlight w:val="none"/>
                    </w:rPr>
                    <w:t>原料</w:t>
                  </w:r>
                  <w:r>
                    <w:rPr>
                      <w:rFonts w:hint="eastAsia" w:cs="Times New Roman"/>
                      <w:snapToGrid w:val="0"/>
                      <w:color w:val="auto"/>
                      <w:kern w:val="0"/>
                      <w:sz w:val="21"/>
                      <w:szCs w:val="21"/>
                      <w:highlight w:val="none"/>
                      <w:lang w:val="en-US" w:eastAsia="zh-CN"/>
                    </w:rPr>
                    <w:t>区</w:t>
                  </w:r>
                  <w:r>
                    <w:rPr>
                      <w:rFonts w:hint="default" w:ascii="Times New Roman" w:hAnsi="Times New Roman" w:eastAsia="宋体" w:cs="Times New Roman"/>
                      <w:snapToGrid w:val="0"/>
                      <w:color w:val="auto"/>
                      <w:kern w:val="0"/>
                      <w:sz w:val="21"/>
                      <w:szCs w:val="21"/>
                      <w:highlight w:val="none"/>
                    </w:rPr>
                    <w:t>储存</w:t>
                  </w:r>
                </w:p>
              </w:tc>
              <w:tc>
                <w:tcPr>
                  <w:tcW w:w="425" w:type="pct"/>
                  <w:vAlign w:val="center"/>
                </w:tcPr>
                <w:p w14:paraId="18BC723A">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固</w:t>
                  </w:r>
                </w:p>
              </w:tc>
              <w:tc>
                <w:tcPr>
                  <w:tcW w:w="900" w:type="pct"/>
                  <w:vAlign w:val="center"/>
                </w:tcPr>
                <w:p w14:paraId="4F85803E">
                  <w:pPr>
                    <w:keepNext w:val="0"/>
                    <w:keepLines w:val="0"/>
                    <w:pageBreakBefore w:val="0"/>
                    <w:kinsoku/>
                    <w:wordWrap/>
                    <w:overflowPunct w:val="0"/>
                    <w:topLinePunct w:val="0"/>
                    <w:autoSpaceDE/>
                    <w:autoSpaceDN/>
                    <w:bidi w:val="0"/>
                    <w:adjustRightInd/>
                    <w:snapToGrid/>
                    <w:jc w:val="center"/>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当地市场外购</w:t>
                  </w:r>
                </w:p>
              </w:tc>
            </w:tr>
            <w:tr w14:paraId="1F5A3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vAlign w:val="center"/>
                </w:tcPr>
                <w:p w14:paraId="331D3933">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6</w:t>
                  </w:r>
                </w:p>
              </w:tc>
              <w:tc>
                <w:tcPr>
                  <w:tcW w:w="1201" w:type="pct"/>
                  <w:vAlign w:val="center"/>
                </w:tcPr>
                <w:p w14:paraId="33F56708">
                  <w:pPr>
                    <w:keepNext w:val="0"/>
                    <w:keepLines w:val="0"/>
                    <w:pageBreakBefore w:val="0"/>
                    <w:kinsoku/>
                    <w:wordWrap/>
                    <w:overflowPunct w:val="0"/>
                    <w:topLinePunct w:val="0"/>
                    <w:autoSpaceDE/>
                    <w:autoSpaceDN/>
                    <w:bidi w:val="0"/>
                    <w:adjustRightInd/>
                    <w:snapToGrid/>
                    <w:jc w:val="center"/>
                    <w:textAlignment w:val="auto"/>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光亮 / 增白母粒</w:t>
                  </w:r>
                </w:p>
              </w:tc>
              <w:tc>
                <w:tcPr>
                  <w:tcW w:w="528" w:type="pct"/>
                  <w:vAlign w:val="center"/>
                </w:tcPr>
                <w:p w14:paraId="23C08519">
                  <w:pPr>
                    <w:keepNext w:val="0"/>
                    <w:keepLines w:val="0"/>
                    <w:pageBreakBefore w:val="0"/>
                    <w:kinsoku/>
                    <w:wordWrap/>
                    <w:overflowPunct w:val="0"/>
                    <w:topLinePunct w:val="0"/>
                    <w:autoSpaceDE/>
                    <w:autoSpaceDN/>
                    <w:bidi w:val="0"/>
                    <w:adjustRightInd/>
                    <w:snapToGrid/>
                    <w:jc w:val="center"/>
                    <w:textAlignment w:val="auto"/>
                    <w:rPr>
                      <w:rFonts w:hint="eastAsia" w:cs="Times New Roman"/>
                      <w:bCs/>
                      <w:color w:val="auto"/>
                      <w:sz w:val="21"/>
                      <w:szCs w:val="21"/>
                      <w:highlight w:val="none"/>
                      <w:shd w:val="clear" w:color="auto" w:fill="FFFFFF"/>
                      <w:lang w:val="en-US" w:eastAsia="zh-CN"/>
                    </w:rPr>
                  </w:pPr>
                  <w:r>
                    <w:rPr>
                      <w:rFonts w:hint="eastAsia" w:cs="Times New Roman"/>
                      <w:bCs/>
                      <w:color w:val="auto"/>
                      <w:sz w:val="21"/>
                      <w:szCs w:val="21"/>
                      <w:highlight w:val="none"/>
                      <w:shd w:val="clear" w:color="auto" w:fill="FFFFFF"/>
                      <w:lang w:val="en-US" w:eastAsia="zh-CN"/>
                    </w:rPr>
                    <w:t>2t</w:t>
                  </w:r>
                </w:p>
              </w:tc>
              <w:tc>
                <w:tcPr>
                  <w:tcW w:w="1531" w:type="pct"/>
                  <w:vAlign w:val="center"/>
                </w:tcPr>
                <w:p w14:paraId="3B144DE2">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50kg/袋，</w:t>
                  </w:r>
                  <w:r>
                    <w:rPr>
                      <w:rFonts w:hint="eastAsia" w:cs="Times New Roman"/>
                      <w:snapToGrid w:val="0"/>
                      <w:color w:val="auto"/>
                      <w:kern w:val="0"/>
                      <w:sz w:val="21"/>
                      <w:szCs w:val="21"/>
                      <w:highlight w:val="none"/>
                      <w:lang w:val="en-US" w:eastAsia="zh-CN"/>
                    </w:rPr>
                    <w:t>车间</w:t>
                  </w:r>
                  <w:r>
                    <w:rPr>
                      <w:rFonts w:hint="default" w:ascii="Times New Roman" w:hAnsi="Times New Roman" w:eastAsia="宋体" w:cs="Times New Roman"/>
                      <w:snapToGrid w:val="0"/>
                      <w:color w:val="auto"/>
                      <w:kern w:val="0"/>
                      <w:sz w:val="21"/>
                      <w:szCs w:val="21"/>
                      <w:highlight w:val="none"/>
                    </w:rPr>
                    <w:t>原料</w:t>
                  </w:r>
                  <w:r>
                    <w:rPr>
                      <w:rFonts w:hint="eastAsia" w:cs="Times New Roman"/>
                      <w:snapToGrid w:val="0"/>
                      <w:color w:val="auto"/>
                      <w:kern w:val="0"/>
                      <w:sz w:val="21"/>
                      <w:szCs w:val="21"/>
                      <w:highlight w:val="none"/>
                      <w:lang w:val="en-US" w:eastAsia="zh-CN"/>
                    </w:rPr>
                    <w:t>区</w:t>
                  </w:r>
                  <w:r>
                    <w:rPr>
                      <w:rFonts w:hint="default" w:ascii="Times New Roman" w:hAnsi="Times New Roman" w:eastAsia="宋体" w:cs="Times New Roman"/>
                      <w:snapToGrid w:val="0"/>
                      <w:color w:val="auto"/>
                      <w:kern w:val="0"/>
                      <w:sz w:val="21"/>
                      <w:szCs w:val="21"/>
                      <w:highlight w:val="none"/>
                    </w:rPr>
                    <w:t>储存</w:t>
                  </w:r>
                </w:p>
              </w:tc>
              <w:tc>
                <w:tcPr>
                  <w:tcW w:w="425" w:type="pct"/>
                  <w:vAlign w:val="center"/>
                </w:tcPr>
                <w:p w14:paraId="0DAC56F7">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固</w:t>
                  </w:r>
                </w:p>
              </w:tc>
              <w:tc>
                <w:tcPr>
                  <w:tcW w:w="900" w:type="pct"/>
                  <w:vAlign w:val="center"/>
                </w:tcPr>
                <w:p w14:paraId="049CD6F6">
                  <w:pPr>
                    <w:keepNext w:val="0"/>
                    <w:keepLines w:val="0"/>
                    <w:pageBreakBefore w:val="0"/>
                    <w:kinsoku/>
                    <w:wordWrap/>
                    <w:overflowPunct w:val="0"/>
                    <w:topLinePunct w:val="0"/>
                    <w:autoSpaceDE/>
                    <w:autoSpaceDN/>
                    <w:bidi w:val="0"/>
                    <w:adjustRightInd/>
                    <w:snapToGrid/>
                    <w:jc w:val="center"/>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当地市场外购</w:t>
                  </w:r>
                </w:p>
              </w:tc>
            </w:tr>
            <w:tr w14:paraId="5D14C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vAlign w:val="center"/>
                </w:tcPr>
                <w:p w14:paraId="737A60BD">
                  <w:pPr>
                    <w:keepNext w:val="0"/>
                    <w:keepLines w:val="0"/>
                    <w:pageBreakBefore w:val="0"/>
                    <w:kinsoku/>
                    <w:wordWrap/>
                    <w:overflowPunct w:val="0"/>
                    <w:topLinePunct w:val="0"/>
                    <w:autoSpaceDE/>
                    <w:autoSpaceDN/>
                    <w:bidi w:val="0"/>
                    <w:adjustRightInd/>
                    <w:snapToGrid/>
                    <w:jc w:val="center"/>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7</w:t>
                  </w:r>
                </w:p>
              </w:tc>
              <w:tc>
                <w:tcPr>
                  <w:tcW w:w="1201" w:type="pct"/>
                  <w:vAlign w:val="center"/>
                </w:tcPr>
                <w:p w14:paraId="4817DDDB">
                  <w:pPr>
                    <w:keepNext w:val="0"/>
                    <w:keepLines w:val="0"/>
                    <w:pageBreakBefore w:val="0"/>
                    <w:kinsoku/>
                    <w:wordWrap/>
                    <w:overflowPunct w:val="0"/>
                    <w:topLinePunct w:val="0"/>
                    <w:autoSpaceDE/>
                    <w:autoSpaceDN/>
                    <w:bidi w:val="0"/>
                    <w:adjustRightInd/>
                    <w:snapToGrid/>
                    <w:jc w:val="center"/>
                    <w:textAlignment w:val="auto"/>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水性油墨</w:t>
                  </w:r>
                </w:p>
              </w:tc>
              <w:tc>
                <w:tcPr>
                  <w:tcW w:w="528" w:type="pct"/>
                  <w:vAlign w:val="center"/>
                </w:tcPr>
                <w:p w14:paraId="317C2007">
                  <w:pPr>
                    <w:keepNext w:val="0"/>
                    <w:keepLines w:val="0"/>
                    <w:pageBreakBefore w:val="0"/>
                    <w:kinsoku/>
                    <w:wordWrap/>
                    <w:overflowPunct w:val="0"/>
                    <w:topLinePunct w:val="0"/>
                    <w:autoSpaceDE/>
                    <w:autoSpaceDN/>
                    <w:bidi w:val="0"/>
                    <w:adjustRightInd/>
                    <w:snapToGrid/>
                    <w:jc w:val="center"/>
                    <w:textAlignment w:val="auto"/>
                    <w:rPr>
                      <w:rFonts w:hint="default" w:cs="Times New Roman"/>
                      <w:bCs/>
                      <w:color w:val="auto"/>
                      <w:sz w:val="21"/>
                      <w:szCs w:val="21"/>
                      <w:highlight w:val="none"/>
                      <w:shd w:val="clear" w:color="auto" w:fill="FFFFFF"/>
                      <w:lang w:val="en-US" w:eastAsia="zh-CN"/>
                    </w:rPr>
                  </w:pPr>
                  <w:r>
                    <w:rPr>
                      <w:rFonts w:hint="eastAsia" w:cs="Times New Roman"/>
                      <w:bCs/>
                      <w:color w:val="auto"/>
                      <w:sz w:val="21"/>
                      <w:szCs w:val="21"/>
                      <w:highlight w:val="none"/>
                      <w:shd w:val="clear" w:color="auto" w:fill="FFFFFF"/>
                      <w:lang w:val="en-US" w:eastAsia="zh-CN"/>
                    </w:rPr>
                    <w:t>0.06t</w:t>
                  </w:r>
                </w:p>
              </w:tc>
              <w:tc>
                <w:tcPr>
                  <w:tcW w:w="1531" w:type="pct"/>
                  <w:vAlign w:val="center"/>
                </w:tcPr>
                <w:p w14:paraId="10CEB21D">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2</w:t>
                  </w:r>
                  <w:r>
                    <w:rPr>
                      <w:rFonts w:hint="default" w:ascii="Times New Roman" w:hAnsi="Times New Roman" w:eastAsia="宋体" w:cs="Times New Roman"/>
                      <w:snapToGrid w:val="0"/>
                      <w:color w:val="auto"/>
                      <w:kern w:val="0"/>
                      <w:sz w:val="21"/>
                      <w:szCs w:val="21"/>
                      <w:highlight w:val="none"/>
                    </w:rPr>
                    <w:t>0kg/</w:t>
                  </w:r>
                  <w:r>
                    <w:rPr>
                      <w:rFonts w:hint="eastAsia" w:ascii="Times New Roman" w:hAnsi="Times New Roman" w:eastAsia="宋体" w:cs="Times New Roman"/>
                      <w:snapToGrid w:val="0"/>
                      <w:color w:val="auto"/>
                      <w:kern w:val="0"/>
                      <w:sz w:val="21"/>
                      <w:szCs w:val="21"/>
                      <w:highlight w:val="none"/>
                      <w:lang w:val="en-US" w:eastAsia="zh-CN"/>
                    </w:rPr>
                    <w:t>桶</w:t>
                  </w:r>
                  <w:r>
                    <w:rPr>
                      <w:rFonts w:hint="default" w:ascii="Times New Roman" w:hAnsi="Times New Roman" w:eastAsia="宋体" w:cs="Times New Roman"/>
                      <w:snapToGrid w:val="0"/>
                      <w:color w:val="auto"/>
                      <w:kern w:val="0"/>
                      <w:sz w:val="21"/>
                      <w:szCs w:val="21"/>
                      <w:highlight w:val="none"/>
                    </w:rPr>
                    <w:t>，</w:t>
                  </w:r>
                  <w:r>
                    <w:rPr>
                      <w:rFonts w:hint="eastAsia" w:cs="Times New Roman"/>
                      <w:snapToGrid w:val="0"/>
                      <w:color w:val="auto"/>
                      <w:kern w:val="0"/>
                      <w:sz w:val="21"/>
                      <w:szCs w:val="21"/>
                      <w:highlight w:val="none"/>
                      <w:lang w:val="en-US" w:eastAsia="zh-CN"/>
                    </w:rPr>
                    <w:t>车间</w:t>
                  </w:r>
                  <w:r>
                    <w:rPr>
                      <w:rFonts w:hint="default" w:ascii="Times New Roman" w:hAnsi="Times New Roman" w:eastAsia="宋体" w:cs="Times New Roman"/>
                      <w:snapToGrid w:val="0"/>
                      <w:color w:val="auto"/>
                      <w:kern w:val="0"/>
                      <w:sz w:val="21"/>
                      <w:szCs w:val="21"/>
                      <w:highlight w:val="none"/>
                    </w:rPr>
                    <w:t>原料</w:t>
                  </w:r>
                  <w:r>
                    <w:rPr>
                      <w:rFonts w:hint="eastAsia" w:cs="Times New Roman"/>
                      <w:snapToGrid w:val="0"/>
                      <w:color w:val="auto"/>
                      <w:kern w:val="0"/>
                      <w:sz w:val="21"/>
                      <w:szCs w:val="21"/>
                      <w:highlight w:val="none"/>
                      <w:lang w:val="en-US" w:eastAsia="zh-CN"/>
                    </w:rPr>
                    <w:t>区</w:t>
                  </w:r>
                  <w:r>
                    <w:rPr>
                      <w:rFonts w:hint="default" w:ascii="Times New Roman" w:hAnsi="Times New Roman" w:eastAsia="宋体" w:cs="Times New Roman"/>
                      <w:snapToGrid w:val="0"/>
                      <w:color w:val="auto"/>
                      <w:kern w:val="0"/>
                      <w:sz w:val="21"/>
                      <w:szCs w:val="21"/>
                      <w:highlight w:val="none"/>
                    </w:rPr>
                    <w:t>储存</w:t>
                  </w:r>
                </w:p>
              </w:tc>
              <w:tc>
                <w:tcPr>
                  <w:tcW w:w="425" w:type="pct"/>
                  <w:shd w:val="clear" w:color="auto" w:fill="auto"/>
                  <w:vAlign w:val="center"/>
                </w:tcPr>
                <w:p w14:paraId="66A87A01">
                  <w:pPr>
                    <w:keepNext w:val="0"/>
                    <w:keepLines w:val="0"/>
                    <w:pageBreakBefore w:val="0"/>
                    <w:kinsoku/>
                    <w:wordWrap/>
                    <w:overflowPunct w:val="0"/>
                    <w:topLinePunct w:val="0"/>
                    <w:autoSpaceDE/>
                    <w:autoSpaceDN/>
                    <w:bidi w:val="0"/>
                    <w:adjustRightInd/>
                    <w:snapToGrid/>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rPr>
                    <w:t>液</w:t>
                  </w:r>
                </w:p>
              </w:tc>
              <w:tc>
                <w:tcPr>
                  <w:tcW w:w="900" w:type="pct"/>
                  <w:shd w:val="clear" w:color="auto" w:fill="auto"/>
                  <w:vAlign w:val="center"/>
                </w:tcPr>
                <w:p w14:paraId="2A57F0A9">
                  <w:pPr>
                    <w:keepNext w:val="0"/>
                    <w:keepLines w:val="0"/>
                    <w:pageBreakBefore w:val="0"/>
                    <w:kinsoku/>
                    <w:wordWrap/>
                    <w:overflowPunct w:val="0"/>
                    <w:topLinePunct w:val="0"/>
                    <w:autoSpaceDE/>
                    <w:autoSpaceDN/>
                    <w:bidi w:val="0"/>
                    <w:adjustRightInd/>
                    <w:snapToGrid/>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rPr>
                    <w:t>当地市场外购</w:t>
                  </w:r>
                </w:p>
              </w:tc>
            </w:tr>
            <w:tr w14:paraId="11D85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vAlign w:val="center"/>
                </w:tcPr>
                <w:p w14:paraId="20CBA8B7">
                  <w:pPr>
                    <w:keepNext w:val="0"/>
                    <w:keepLines w:val="0"/>
                    <w:pageBreakBefore w:val="0"/>
                    <w:kinsoku/>
                    <w:wordWrap/>
                    <w:overflowPunct w:val="0"/>
                    <w:topLinePunct w:val="0"/>
                    <w:autoSpaceDE/>
                    <w:autoSpaceDN/>
                    <w:bidi w:val="0"/>
                    <w:adjustRightInd/>
                    <w:snapToGrid/>
                    <w:jc w:val="center"/>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农用贴片滴灌带</w:t>
                  </w:r>
                </w:p>
              </w:tc>
            </w:tr>
            <w:tr w14:paraId="799A3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shd w:val="clear" w:color="auto" w:fill="auto"/>
                  <w:vAlign w:val="center"/>
                </w:tcPr>
                <w:p w14:paraId="25E62C26">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rPr>
                    <w:t>8</w:t>
                  </w:r>
                </w:p>
              </w:tc>
              <w:tc>
                <w:tcPr>
                  <w:tcW w:w="1201" w:type="pct"/>
                  <w:vAlign w:val="center"/>
                </w:tcPr>
                <w:p w14:paraId="513BACC2">
                  <w:pPr>
                    <w:keepNext w:val="0"/>
                    <w:keepLines w:val="0"/>
                    <w:pageBreakBefore w:val="0"/>
                    <w:kinsoku/>
                    <w:wordWrap/>
                    <w:overflowPunct w:val="0"/>
                    <w:topLinePunct w:val="0"/>
                    <w:autoSpaceDE/>
                    <w:autoSpaceDN/>
                    <w:bidi w:val="0"/>
                    <w:adjustRightInd/>
                    <w:snapToGrid/>
                    <w:jc w:val="center"/>
                    <w:textAlignment w:val="auto"/>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HDPE（管材级）</w:t>
                  </w:r>
                </w:p>
              </w:tc>
              <w:tc>
                <w:tcPr>
                  <w:tcW w:w="528" w:type="pct"/>
                  <w:vAlign w:val="center"/>
                </w:tcPr>
                <w:p w14:paraId="1A8B44C4">
                  <w:pPr>
                    <w:keepNext w:val="0"/>
                    <w:keepLines w:val="0"/>
                    <w:pageBreakBefore w:val="0"/>
                    <w:kinsoku/>
                    <w:wordWrap/>
                    <w:overflowPunct w:val="0"/>
                    <w:topLinePunct w:val="0"/>
                    <w:autoSpaceDE/>
                    <w:autoSpaceDN/>
                    <w:bidi w:val="0"/>
                    <w:adjustRightInd/>
                    <w:snapToGrid/>
                    <w:jc w:val="center"/>
                    <w:textAlignment w:val="auto"/>
                    <w:rPr>
                      <w:rFonts w:hint="default" w:cs="Times New Roman"/>
                      <w:bCs/>
                      <w:color w:val="auto"/>
                      <w:sz w:val="21"/>
                      <w:szCs w:val="21"/>
                      <w:highlight w:val="none"/>
                      <w:shd w:val="clear" w:color="auto" w:fill="FFFFFF"/>
                      <w:lang w:val="en-US" w:eastAsia="zh-CN"/>
                    </w:rPr>
                  </w:pPr>
                  <w:r>
                    <w:rPr>
                      <w:rFonts w:hint="eastAsia" w:cs="Times New Roman"/>
                      <w:bCs/>
                      <w:color w:val="auto"/>
                      <w:sz w:val="21"/>
                      <w:szCs w:val="21"/>
                      <w:highlight w:val="none"/>
                      <w:shd w:val="clear" w:color="auto" w:fill="FFFFFF"/>
                      <w:lang w:val="en-US" w:eastAsia="zh-CN"/>
                    </w:rPr>
                    <w:t>722t</w:t>
                  </w:r>
                </w:p>
              </w:tc>
              <w:tc>
                <w:tcPr>
                  <w:tcW w:w="1531" w:type="pct"/>
                  <w:shd w:val="clear" w:color="auto" w:fill="auto"/>
                  <w:vAlign w:val="center"/>
                </w:tcPr>
                <w:p w14:paraId="174728FE">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rPr>
                    <w:t>50kg/袋，原料仓库储存</w:t>
                  </w:r>
                </w:p>
              </w:tc>
              <w:tc>
                <w:tcPr>
                  <w:tcW w:w="425" w:type="pct"/>
                  <w:vAlign w:val="center"/>
                </w:tcPr>
                <w:p w14:paraId="53755728">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固</w:t>
                  </w:r>
                </w:p>
              </w:tc>
              <w:tc>
                <w:tcPr>
                  <w:tcW w:w="900" w:type="pct"/>
                  <w:vAlign w:val="center"/>
                </w:tcPr>
                <w:p w14:paraId="7F83842F">
                  <w:pPr>
                    <w:keepNext w:val="0"/>
                    <w:keepLines w:val="0"/>
                    <w:pageBreakBefore w:val="0"/>
                    <w:kinsoku/>
                    <w:wordWrap/>
                    <w:overflowPunct w:val="0"/>
                    <w:topLinePunct w:val="0"/>
                    <w:autoSpaceDE/>
                    <w:autoSpaceDN/>
                    <w:bidi w:val="0"/>
                    <w:adjustRightInd/>
                    <w:snapToGrid/>
                    <w:jc w:val="center"/>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当地市场外购</w:t>
                  </w:r>
                </w:p>
              </w:tc>
            </w:tr>
            <w:tr w14:paraId="23391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shd w:val="clear" w:color="auto" w:fill="auto"/>
                  <w:vAlign w:val="center"/>
                </w:tcPr>
                <w:p w14:paraId="58ECC62D">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rPr>
                    <w:t>9</w:t>
                  </w:r>
                </w:p>
              </w:tc>
              <w:tc>
                <w:tcPr>
                  <w:tcW w:w="1201" w:type="pct"/>
                  <w:vAlign w:val="center"/>
                </w:tcPr>
                <w:p w14:paraId="5770B730">
                  <w:pPr>
                    <w:keepNext w:val="0"/>
                    <w:keepLines w:val="0"/>
                    <w:pageBreakBefore w:val="0"/>
                    <w:kinsoku/>
                    <w:wordWrap/>
                    <w:overflowPunct w:val="0"/>
                    <w:topLinePunct w:val="0"/>
                    <w:autoSpaceDE/>
                    <w:autoSpaceDN/>
                    <w:bidi w:val="0"/>
                    <w:adjustRightInd/>
                    <w:snapToGrid/>
                    <w:jc w:val="center"/>
                    <w:textAlignment w:val="auto"/>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LLDPE（挤出级）</w:t>
                  </w:r>
                </w:p>
              </w:tc>
              <w:tc>
                <w:tcPr>
                  <w:tcW w:w="528" w:type="pct"/>
                  <w:vAlign w:val="center"/>
                </w:tcPr>
                <w:p w14:paraId="2F71057B">
                  <w:pPr>
                    <w:keepNext w:val="0"/>
                    <w:keepLines w:val="0"/>
                    <w:pageBreakBefore w:val="0"/>
                    <w:kinsoku/>
                    <w:wordWrap/>
                    <w:overflowPunct w:val="0"/>
                    <w:topLinePunct w:val="0"/>
                    <w:autoSpaceDE/>
                    <w:autoSpaceDN/>
                    <w:bidi w:val="0"/>
                    <w:adjustRightInd/>
                    <w:snapToGrid/>
                    <w:jc w:val="center"/>
                    <w:textAlignment w:val="auto"/>
                    <w:rPr>
                      <w:rFonts w:hint="default" w:cs="Times New Roman"/>
                      <w:bCs/>
                      <w:color w:val="auto"/>
                      <w:sz w:val="21"/>
                      <w:szCs w:val="21"/>
                      <w:highlight w:val="none"/>
                      <w:shd w:val="clear" w:color="auto" w:fill="FFFFFF"/>
                      <w:lang w:val="en-US" w:eastAsia="zh-CN"/>
                    </w:rPr>
                  </w:pPr>
                  <w:r>
                    <w:rPr>
                      <w:rFonts w:hint="eastAsia" w:cs="Times New Roman"/>
                      <w:bCs/>
                      <w:color w:val="auto"/>
                      <w:sz w:val="21"/>
                      <w:szCs w:val="21"/>
                      <w:highlight w:val="none"/>
                      <w:shd w:val="clear" w:color="auto" w:fill="FFFFFF"/>
                      <w:lang w:val="en-US" w:eastAsia="zh-CN"/>
                    </w:rPr>
                    <w:t>257t</w:t>
                  </w:r>
                </w:p>
              </w:tc>
              <w:tc>
                <w:tcPr>
                  <w:tcW w:w="1531" w:type="pct"/>
                  <w:shd w:val="clear" w:color="auto" w:fill="auto"/>
                  <w:vAlign w:val="center"/>
                </w:tcPr>
                <w:p w14:paraId="751B09C8">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rPr>
                    <w:t>50</w:t>
                  </w:r>
                  <w:r>
                    <w:rPr>
                      <w:rFonts w:hint="default" w:ascii="Times New Roman" w:hAnsi="Times New Roman" w:eastAsia="宋体" w:cs="Times New Roman"/>
                      <w:snapToGrid w:val="0"/>
                      <w:color w:val="auto"/>
                      <w:kern w:val="0"/>
                      <w:sz w:val="21"/>
                      <w:szCs w:val="21"/>
                      <w:highlight w:val="none"/>
                    </w:rPr>
                    <w:t>kg/袋，原料仓库储存</w:t>
                  </w:r>
                </w:p>
              </w:tc>
              <w:tc>
                <w:tcPr>
                  <w:tcW w:w="425" w:type="pct"/>
                  <w:vAlign w:val="center"/>
                </w:tcPr>
                <w:p w14:paraId="659CF54E">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固</w:t>
                  </w:r>
                </w:p>
              </w:tc>
              <w:tc>
                <w:tcPr>
                  <w:tcW w:w="900" w:type="pct"/>
                  <w:vAlign w:val="center"/>
                </w:tcPr>
                <w:p w14:paraId="0394E61E">
                  <w:pPr>
                    <w:keepNext w:val="0"/>
                    <w:keepLines w:val="0"/>
                    <w:pageBreakBefore w:val="0"/>
                    <w:kinsoku/>
                    <w:wordWrap/>
                    <w:overflowPunct w:val="0"/>
                    <w:topLinePunct w:val="0"/>
                    <w:autoSpaceDE/>
                    <w:autoSpaceDN/>
                    <w:bidi w:val="0"/>
                    <w:adjustRightInd/>
                    <w:snapToGrid/>
                    <w:jc w:val="center"/>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当地市场外购</w:t>
                  </w:r>
                </w:p>
              </w:tc>
            </w:tr>
            <w:tr w14:paraId="5C8E9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shd w:val="clear" w:color="auto" w:fill="auto"/>
                  <w:vAlign w:val="center"/>
                </w:tcPr>
                <w:p w14:paraId="2EC80DE2">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rPr>
                    <w:t>10</w:t>
                  </w:r>
                </w:p>
              </w:tc>
              <w:tc>
                <w:tcPr>
                  <w:tcW w:w="1201" w:type="pct"/>
                  <w:vAlign w:val="center"/>
                </w:tcPr>
                <w:p w14:paraId="063A4BFF">
                  <w:pPr>
                    <w:keepNext w:val="0"/>
                    <w:keepLines w:val="0"/>
                    <w:pageBreakBefore w:val="0"/>
                    <w:kinsoku/>
                    <w:wordWrap/>
                    <w:overflowPunct w:val="0"/>
                    <w:topLinePunct w:val="0"/>
                    <w:autoSpaceDE/>
                    <w:autoSpaceDN/>
                    <w:bidi w:val="0"/>
                    <w:adjustRightInd/>
                    <w:snapToGrid/>
                    <w:jc w:val="center"/>
                    <w:textAlignment w:val="auto"/>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LDPE（少量）</w:t>
                  </w:r>
                </w:p>
              </w:tc>
              <w:tc>
                <w:tcPr>
                  <w:tcW w:w="528" w:type="pct"/>
                  <w:vAlign w:val="center"/>
                </w:tcPr>
                <w:p w14:paraId="199D38FF">
                  <w:pPr>
                    <w:keepNext w:val="0"/>
                    <w:keepLines w:val="0"/>
                    <w:pageBreakBefore w:val="0"/>
                    <w:kinsoku/>
                    <w:wordWrap/>
                    <w:overflowPunct w:val="0"/>
                    <w:topLinePunct w:val="0"/>
                    <w:autoSpaceDE/>
                    <w:autoSpaceDN/>
                    <w:bidi w:val="0"/>
                    <w:adjustRightInd/>
                    <w:snapToGrid/>
                    <w:jc w:val="center"/>
                    <w:textAlignment w:val="auto"/>
                    <w:rPr>
                      <w:rFonts w:hint="default" w:cs="Times New Roman"/>
                      <w:bCs/>
                      <w:color w:val="auto"/>
                      <w:sz w:val="21"/>
                      <w:szCs w:val="21"/>
                      <w:highlight w:val="none"/>
                      <w:shd w:val="clear" w:color="auto" w:fill="FFFFFF"/>
                      <w:lang w:val="en-US" w:eastAsia="zh-CN"/>
                    </w:rPr>
                  </w:pPr>
                  <w:r>
                    <w:rPr>
                      <w:rFonts w:hint="eastAsia" w:cs="Times New Roman"/>
                      <w:bCs/>
                      <w:color w:val="auto"/>
                      <w:sz w:val="21"/>
                      <w:szCs w:val="21"/>
                      <w:highlight w:val="none"/>
                      <w:shd w:val="clear" w:color="auto" w:fill="FFFFFF"/>
                      <w:lang w:val="en-US" w:eastAsia="zh-CN"/>
                    </w:rPr>
                    <w:t>10.3t</w:t>
                  </w:r>
                </w:p>
              </w:tc>
              <w:tc>
                <w:tcPr>
                  <w:tcW w:w="1531" w:type="pct"/>
                  <w:shd w:val="clear" w:color="auto" w:fill="auto"/>
                  <w:vAlign w:val="center"/>
                </w:tcPr>
                <w:p w14:paraId="3B6F1E55">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rPr>
                    <w:t>25</w:t>
                  </w:r>
                  <w:r>
                    <w:rPr>
                      <w:rFonts w:hint="default" w:ascii="Times New Roman" w:hAnsi="Times New Roman" w:eastAsia="宋体" w:cs="Times New Roman"/>
                      <w:snapToGrid w:val="0"/>
                      <w:color w:val="auto"/>
                      <w:kern w:val="0"/>
                      <w:sz w:val="21"/>
                      <w:szCs w:val="21"/>
                      <w:highlight w:val="none"/>
                    </w:rPr>
                    <w:t>kg/袋，原料仓库储存</w:t>
                  </w:r>
                </w:p>
              </w:tc>
              <w:tc>
                <w:tcPr>
                  <w:tcW w:w="425" w:type="pct"/>
                  <w:vAlign w:val="center"/>
                </w:tcPr>
                <w:p w14:paraId="28DF48C1">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固</w:t>
                  </w:r>
                </w:p>
              </w:tc>
              <w:tc>
                <w:tcPr>
                  <w:tcW w:w="900" w:type="pct"/>
                  <w:vAlign w:val="center"/>
                </w:tcPr>
                <w:p w14:paraId="56D8C451">
                  <w:pPr>
                    <w:keepNext w:val="0"/>
                    <w:keepLines w:val="0"/>
                    <w:pageBreakBefore w:val="0"/>
                    <w:kinsoku/>
                    <w:wordWrap/>
                    <w:overflowPunct w:val="0"/>
                    <w:topLinePunct w:val="0"/>
                    <w:autoSpaceDE/>
                    <w:autoSpaceDN/>
                    <w:bidi w:val="0"/>
                    <w:adjustRightInd/>
                    <w:snapToGrid/>
                    <w:jc w:val="center"/>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当地市场外购</w:t>
                  </w:r>
                </w:p>
              </w:tc>
            </w:tr>
            <w:tr w14:paraId="0DBE6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shd w:val="clear" w:color="auto" w:fill="auto"/>
                  <w:vAlign w:val="center"/>
                </w:tcPr>
                <w:p w14:paraId="6DDE2871">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rPr>
                    <w:t>11</w:t>
                  </w:r>
                </w:p>
              </w:tc>
              <w:tc>
                <w:tcPr>
                  <w:tcW w:w="1201" w:type="pct"/>
                  <w:vAlign w:val="center"/>
                </w:tcPr>
                <w:p w14:paraId="19E71679">
                  <w:pPr>
                    <w:keepNext w:val="0"/>
                    <w:keepLines w:val="0"/>
                    <w:pageBreakBefore w:val="0"/>
                    <w:kinsoku/>
                    <w:wordWrap/>
                    <w:overflowPunct w:val="0"/>
                    <w:topLinePunct w:val="0"/>
                    <w:autoSpaceDE/>
                    <w:autoSpaceDN/>
                    <w:bidi w:val="0"/>
                    <w:adjustRightInd/>
                    <w:snapToGrid/>
                    <w:jc w:val="center"/>
                    <w:textAlignment w:val="auto"/>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炭黑母粒（UV）</w:t>
                  </w:r>
                </w:p>
              </w:tc>
              <w:tc>
                <w:tcPr>
                  <w:tcW w:w="528" w:type="pct"/>
                  <w:vAlign w:val="center"/>
                </w:tcPr>
                <w:p w14:paraId="5ABB005E">
                  <w:pPr>
                    <w:keepNext w:val="0"/>
                    <w:keepLines w:val="0"/>
                    <w:pageBreakBefore w:val="0"/>
                    <w:kinsoku/>
                    <w:wordWrap/>
                    <w:overflowPunct w:val="0"/>
                    <w:topLinePunct w:val="0"/>
                    <w:autoSpaceDE/>
                    <w:autoSpaceDN/>
                    <w:bidi w:val="0"/>
                    <w:adjustRightInd/>
                    <w:snapToGrid/>
                    <w:jc w:val="center"/>
                    <w:textAlignment w:val="auto"/>
                    <w:rPr>
                      <w:rFonts w:hint="default" w:cs="Times New Roman"/>
                      <w:bCs/>
                      <w:color w:val="auto"/>
                      <w:sz w:val="21"/>
                      <w:szCs w:val="21"/>
                      <w:highlight w:val="none"/>
                      <w:shd w:val="clear" w:color="auto" w:fill="FFFFFF"/>
                      <w:lang w:val="en-US" w:eastAsia="zh-CN"/>
                    </w:rPr>
                  </w:pPr>
                  <w:r>
                    <w:rPr>
                      <w:rFonts w:hint="eastAsia" w:cs="Times New Roman"/>
                      <w:bCs/>
                      <w:color w:val="auto"/>
                      <w:sz w:val="21"/>
                      <w:szCs w:val="21"/>
                      <w:highlight w:val="none"/>
                      <w:shd w:val="clear" w:color="auto" w:fill="FFFFFF"/>
                      <w:lang w:val="en-US" w:eastAsia="zh-CN"/>
                    </w:rPr>
                    <w:t>21.766t</w:t>
                  </w:r>
                </w:p>
              </w:tc>
              <w:tc>
                <w:tcPr>
                  <w:tcW w:w="1531" w:type="pct"/>
                  <w:vAlign w:val="center"/>
                </w:tcPr>
                <w:p w14:paraId="151F64B4">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25</w:t>
                  </w:r>
                  <w:r>
                    <w:rPr>
                      <w:rFonts w:hint="default" w:ascii="Times New Roman" w:hAnsi="Times New Roman" w:eastAsia="宋体" w:cs="Times New Roman"/>
                      <w:snapToGrid w:val="0"/>
                      <w:color w:val="auto"/>
                      <w:kern w:val="0"/>
                      <w:sz w:val="21"/>
                      <w:szCs w:val="21"/>
                      <w:highlight w:val="none"/>
                    </w:rPr>
                    <w:t>kg/袋，原料仓库储存</w:t>
                  </w:r>
                </w:p>
              </w:tc>
              <w:tc>
                <w:tcPr>
                  <w:tcW w:w="425" w:type="pct"/>
                  <w:vAlign w:val="center"/>
                </w:tcPr>
                <w:p w14:paraId="479797E9">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固</w:t>
                  </w:r>
                </w:p>
              </w:tc>
              <w:tc>
                <w:tcPr>
                  <w:tcW w:w="900" w:type="pct"/>
                  <w:vAlign w:val="center"/>
                </w:tcPr>
                <w:p w14:paraId="49E2EC95">
                  <w:pPr>
                    <w:keepNext w:val="0"/>
                    <w:keepLines w:val="0"/>
                    <w:pageBreakBefore w:val="0"/>
                    <w:kinsoku/>
                    <w:wordWrap/>
                    <w:overflowPunct w:val="0"/>
                    <w:topLinePunct w:val="0"/>
                    <w:autoSpaceDE/>
                    <w:autoSpaceDN/>
                    <w:bidi w:val="0"/>
                    <w:adjustRightInd/>
                    <w:snapToGrid/>
                    <w:jc w:val="center"/>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当地市场外购</w:t>
                  </w:r>
                </w:p>
              </w:tc>
            </w:tr>
            <w:tr w14:paraId="3FB9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shd w:val="clear" w:color="auto" w:fill="auto"/>
                  <w:vAlign w:val="center"/>
                </w:tcPr>
                <w:p w14:paraId="3A7248AF">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rPr>
                    <w:t>12</w:t>
                  </w:r>
                </w:p>
              </w:tc>
              <w:tc>
                <w:tcPr>
                  <w:tcW w:w="1201" w:type="pct"/>
                  <w:vAlign w:val="center"/>
                </w:tcPr>
                <w:p w14:paraId="351CB9C6">
                  <w:pPr>
                    <w:keepNext w:val="0"/>
                    <w:keepLines w:val="0"/>
                    <w:pageBreakBefore w:val="0"/>
                    <w:kinsoku/>
                    <w:wordWrap/>
                    <w:overflowPunct w:val="0"/>
                    <w:topLinePunct w:val="0"/>
                    <w:autoSpaceDE/>
                    <w:autoSpaceDN/>
                    <w:bidi w:val="0"/>
                    <w:adjustRightInd/>
                    <w:snapToGrid/>
                    <w:jc w:val="center"/>
                    <w:textAlignment w:val="auto"/>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复合抗氧剂</w:t>
                  </w:r>
                </w:p>
              </w:tc>
              <w:tc>
                <w:tcPr>
                  <w:tcW w:w="528" w:type="pct"/>
                  <w:vAlign w:val="center"/>
                </w:tcPr>
                <w:p w14:paraId="435D3563">
                  <w:pPr>
                    <w:keepNext w:val="0"/>
                    <w:keepLines w:val="0"/>
                    <w:pageBreakBefore w:val="0"/>
                    <w:kinsoku/>
                    <w:wordWrap/>
                    <w:overflowPunct w:val="0"/>
                    <w:topLinePunct w:val="0"/>
                    <w:autoSpaceDE/>
                    <w:autoSpaceDN/>
                    <w:bidi w:val="0"/>
                    <w:adjustRightInd/>
                    <w:snapToGrid/>
                    <w:jc w:val="center"/>
                    <w:textAlignment w:val="auto"/>
                    <w:rPr>
                      <w:rFonts w:hint="default" w:cs="Times New Roman"/>
                      <w:bCs/>
                      <w:color w:val="auto"/>
                      <w:sz w:val="21"/>
                      <w:szCs w:val="21"/>
                      <w:highlight w:val="none"/>
                      <w:shd w:val="clear" w:color="auto" w:fill="FFFFFF"/>
                      <w:lang w:val="en-US" w:eastAsia="zh-CN"/>
                    </w:rPr>
                  </w:pPr>
                  <w:r>
                    <w:rPr>
                      <w:rFonts w:hint="eastAsia" w:cs="Times New Roman"/>
                      <w:bCs/>
                      <w:color w:val="auto"/>
                      <w:sz w:val="21"/>
                      <w:szCs w:val="21"/>
                      <w:highlight w:val="none"/>
                      <w:shd w:val="clear" w:color="auto" w:fill="FFFFFF"/>
                      <w:lang w:val="en-US" w:eastAsia="zh-CN"/>
                    </w:rPr>
                    <w:t>4t</w:t>
                  </w:r>
                </w:p>
              </w:tc>
              <w:tc>
                <w:tcPr>
                  <w:tcW w:w="1531" w:type="pct"/>
                  <w:vAlign w:val="center"/>
                </w:tcPr>
                <w:p w14:paraId="66FE2415">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25</w:t>
                  </w:r>
                  <w:r>
                    <w:rPr>
                      <w:rFonts w:hint="default" w:ascii="Times New Roman" w:hAnsi="Times New Roman" w:eastAsia="宋体" w:cs="Times New Roman"/>
                      <w:snapToGrid w:val="0"/>
                      <w:color w:val="auto"/>
                      <w:kern w:val="0"/>
                      <w:sz w:val="21"/>
                      <w:szCs w:val="21"/>
                      <w:highlight w:val="none"/>
                    </w:rPr>
                    <w:t>kg/袋，原料仓库储存</w:t>
                  </w:r>
                </w:p>
              </w:tc>
              <w:tc>
                <w:tcPr>
                  <w:tcW w:w="425" w:type="pct"/>
                  <w:vAlign w:val="center"/>
                </w:tcPr>
                <w:p w14:paraId="13C384AE">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固</w:t>
                  </w:r>
                </w:p>
              </w:tc>
              <w:tc>
                <w:tcPr>
                  <w:tcW w:w="900" w:type="pct"/>
                  <w:vAlign w:val="center"/>
                </w:tcPr>
                <w:p w14:paraId="227C4DCD">
                  <w:pPr>
                    <w:keepNext w:val="0"/>
                    <w:keepLines w:val="0"/>
                    <w:pageBreakBefore w:val="0"/>
                    <w:kinsoku/>
                    <w:wordWrap/>
                    <w:overflowPunct w:val="0"/>
                    <w:topLinePunct w:val="0"/>
                    <w:autoSpaceDE/>
                    <w:autoSpaceDN/>
                    <w:bidi w:val="0"/>
                    <w:adjustRightInd/>
                    <w:snapToGrid/>
                    <w:jc w:val="center"/>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当地市场外购</w:t>
                  </w:r>
                </w:p>
              </w:tc>
            </w:tr>
            <w:tr w14:paraId="1D874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vAlign w:val="center"/>
                </w:tcPr>
                <w:p w14:paraId="3332B0B1">
                  <w:pPr>
                    <w:keepNext w:val="0"/>
                    <w:keepLines w:val="0"/>
                    <w:pageBreakBefore w:val="0"/>
                    <w:kinsoku/>
                    <w:wordWrap/>
                    <w:overflowPunct w:val="0"/>
                    <w:topLinePunct w:val="0"/>
                    <w:autoSpaceDE/>
                    <w:autoSpaceDN/>
                    <w:bidi w:val="0"/>
                    <w:adjustRightInd/>
                    <w:snapToGrid/>
                    <w:jc w:val="center"/>
                    <w:textAlignment w:val="auto"/>
                    <w:rPr>
                      <w:rFonts w:hint="default"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13</w:t>
                  </w:r>
                </w:p>
              </w:tc>
              <w:tc>
                <w:tcPr>
                  <w:tcW w:w="1201" w:type="pct"/>
                  <w:vAlign w:val="center"/>
                </w:tcPr>
                <w:p w14:paraId="549222EC">
                  <w:pPr>
                    <w:keepNext w:val="0"/>
                    <w:keepLines w:val="0"/>
                    <w:pageBreakBefore w:val="0"/>
                    <w:kinsoku/>
                    <w:wordWrap/>
                    <w:overflowPunct w:val="0"/>
                    <w:topLinePunct w:val="0"/>
                    <w:autoSpaceDE/>
                    <w:autoSpaceDN/>
                    <w:bidi w:val="0"/>
                    <w:adjustRightInd/>
                    <w:snapToGrid/>
                    <w:jc w:val="center"/>
                    <w:textAlignment w:val="auto"/>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分散剂</w:t>
                  </w:r>
                </w:p>
              </w:tc>
              <w:tc>
                <w:tcPr>
                  <w:tcW w:w="528" w:type="pct"/>
                  <w:vAlign w:val="center"/>
                </w:tcPr>
                <w:p w14:paraId="7166F9B2">
                  <w:pPr>
                    <w:keepNext w:val="0"/>
                    <w:keepLines w:val="0"/>
                    <w:pageBreakBefore w:val="0"/>
                    <w:kinsoku/>
                    <w:wordWrap/>
                    <w:overflowPunct w:val="0"/>
                    <w:topLinePunct w:val="0"/>
                    <w:autoSpaceDE/>
                    <w:autoSpaceDN/>
                    <w:bidi w:val="0"/>
                    <w:adjustRightInd/>
                    <w:snapToGrid/>
                    <w:jc w:val="center"/>
                    <w:textAlignment w:val="auto"/>
                    <w:rPr>
                      <w:rFonts w:hint="default" w:cs="Times New Roman"/>
                      <w:bCs/>
                      <w:color w:val="auto"/>
                      <w:sz w:val="21"/>
                      <w:szCs w:val="21"/>
                      <w:highlight w:val="none"/>
                      <w:shd w:val="clear" w:color="auto" w:fill="FFFFFF"/>
                      <w:lang w:val="en-US" w:eastAsia="zh-CN"/>
                    </w:rPr>
                  </w:pPr>
                  <w:r>
                    <w:rPr>
                      <w:rFonts w:hint="eastAsia" w:cs="Times New Roman"/>
                      <w:bCs/>
                      <w:color w:val="auto"/>
                      <w:sz w:val="21"/>
                      <w:szCs w:val="21"/>
                      <w:highlight w:val="none"/>
                      <w:shd w:val="clear" w:color="auto" w:fill="FFFFFF"/>
                      <w:lang w:val="en-US" w:eastAsia="zh-CN"/>
                    </w:rPr>
                    <w:t>2t</w:t>
                  </w:r>
                </w:p>
              </w:tc>
              <w:tc>
                <w:tcPr>
                  <w:tcW w:w="1531" w:type="pct"/>
                  <w:vAlign w:val="center"/>
                </w:tcPr>
                <w:p w14:paraId="38FB1E56">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25</w:t>
                  </w:r>
                  <w:r>
                    <w:rPr>
                      <w:rFonts w:hint="default" w:ascii="Times New Roman" w:hAnsi="Times New Roman" w:eastAsia="宋体" w:cs="Times New Roman"/>
                      <w:snapToGrid w:val="0"/>
                      <w:color w:val="auto"/>
                      <w:kern w:val="0"/>
                      <w:sz w:val="21"/>
                      <w:szCs w:val="21"/>
                      <w:highlight w:val="none"/>
                    </w:rPr>
                    <w:t>kg/袋，原料仓库储存</w:t>
                  </w:r>
                </w:p>
              </w:tc>
              <w:tc>
                <w:tcPr>
                  <w:tcW w:w="425" w:type="pct"/>
                  <w:vAlign w:val="center"/>
                </w:tcPr>
                <w:p w14:paraId="15E08E33">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固</w:t>
                  </w:r>
                </w:p>
              </w:tc>
              <w:tc>
                <w:tcPr>
                  <w:tcW w:w="900" w:type="pct"/>
                  <w:vAlign w:val="center"/>
                </w:tcPr>
                <w:p w14:paraId="05334234">
                  <w:pPr>
                    <w:keepNext w:val="0"/>
                    <w:keepLines w:val="0"/>
                    <w:pageBreakBefore w:val="0"/>
                    <w:kinsoku/>
                    <w:wordWrap/>
                    <w:overflowPunct w:val="0"/>
                    <w:topLinePunct w:val="0"/>
                    <w:autoSpaceDE/>
                    <w:autoSpaceDN/>
                    <w:bidi w:val="0"/>
                    <w:adjustRightInd/>
                    <w:snapToGrid/>
                    <w:jc w:val="center"/>
                    <w:textAlignment w:val="auto"/>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当地市场外购</w:t>
                  </w:r>
                </w:p>
              </w:tc>
            </w:tr>
          </w:tbl>
          <w:p w14:paraId="2C1C5BBE">
            <w:pPr>
              <w:pStyle w:val="11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snapToGrid w:val="0"/>
                <w:color w:val="auto"/>
                <w:sz w:val="21"/>
                <w:szCs w:val="21"/>
                <w:highlight w:val="none"/>
                <w:lang w:val="en-US" w:eastAsia="zh-CN"/>
              </w:rPr>
            </w:pPr>
          </w:p>
          <w:p w14:paraId="0DD095AB">
            <w:pPr>
              <w:pStyle w:val="11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snapToGrid w:val="0"/>
                <w:color w:val="auto"/>
                <w:sz w:val="21"/>
                <w:szCs w:val="21"/>
                <w:highlight w:val="none"/>
                <w:lang w:val="en-US" w:eastAsia="zh-CN"/>
              </w:rPr>
            </w:pPr>
            <w:r>
              <w:rPr>
                <w:rFonts w:hint="default" w:ascii="Times New Roman" w:hAnsi="Times New Roman" w:eastAsia="宋体" w:cs="Times New Roman"/>
                <w:b/>
                <w:snapToGrid w:val="0"/>
                <w:color w:val="auto"/>
                <w:sz w:val="21"/>
                <w:szCs w:val="21"/>
                <w:highlight w:val="none"/>
                <w:lang w:val="en-US" w:eastAsia="zh-CN"/>
              </w:rPr>
              <w:t xml:space="preserve">表2-5  </w:t>
            </w:r>
            <w:r>
              <w:rPr>
                <w:rFonts w:hint="eastAsia" w:ascii="Times New Roman" w:hAnsi="Times New Roman" w:eastAsia="宋体" w:cs="Times New Roman"/>
                <w:b/>
                <w:snapToGrid w:val="0"/>
                <w:color w:val="auto"/>
                <w:sz w:val="21"/>
                <w:szCs w:val="21"/>
                <w:highlight w:val="none"/>
                <w:lang w:val="en-US" w:eastAsia="zh-CN"/>
              </w:rPr>
              <w:t xml:space="preserve"> </w:t>
            </w:r>
            <w:r>
              <w:rPr>
                <w:rFonts w:hint="default" w:ascii="Times New Roman" w:hAnsi="Times New Roman" w:eastAsia="宋体" w:cs="Times New Roman"/>
                <w:b/>
                <w:snapToGrid w:val="0"/>
                <w:color w:val="auto"/>
                <w:sz w:val="21"/>
                <w:szCs w:val="21"/>
                <w:highlight w:val="none"/>
                <w:lang w:val="en-US" w:eastAsia="zh-CN"/>
              </w:rPr>
              <w:t xml:space="preserve">   原辅材料理化特性</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2722"/>
              <w:gridCol w:w="2242"/>
              <w:gridCol w:w="2546"/>
            </w:tblGrid>
            <w:tr w14:paraId="4B94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2" w:type="dxa"/>
                  <w:vAlign w:val="center"/>
                </w:tcPr>
                <w:p w14:paraId="191E7AD9">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snapToGrid w:val="0"/>
                      <w:color w:val="auto"/>
                      <w:sz w:val="21"/>
                      <w:szCs w:val="21"/>
                      <w:highlight w:val="none"/>
                      <w:vertAlign w:val="baseline"/>
                      <w:lang w:val="en-US" w:eastAsia="zh-CN"/>
                    </w:rPr>
                  </w:pPr>
                  <w:r>
                    <w:rPr>
                      <w:rFonts w:hint="default" w:ascii="Times New Roman" w:hAnsi="Times New Roman" w:eastAsia="宋体" w:cs="Times New Roman"/>
                      <w:b/>
                      <w:snapToGrid w:val="0"/>
                      <w:color w:val="auto"/>
                      <w:sz w:val="21"/>
                      <w:szCs w:val="21"/>
                      <w:highlight w:val="none"/>
                      <w:vertAlign w:val="baseline"/>
                      <w:lang w:val="en-US" w:eastAsia="zh-CN"/>
                    </w:rPr>
                    <w:t>类别</w:t>
                  </w:r>
                </w:p>
              </w:tc>
              <w:tc>
                <w:tcPr>
                  <w:tcW w:w="2722" w:type="dxa"/>
                  <w:vAlign w:val="center"/>
                </w:tcPr>
                <w:p w14:paraId="5AFE932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Times New Roman" w:hAnsi="Times New Roman" w:eastAsia="宋体" w:cs="Times New Roman"/>
                      <w:b/>
                      <w:snapToGrid w:val="0"/>
                      <w:color w:val="auto"/>
                      <w:sz w:val="21"/>
                      <w:szCs w:val="21"/>
                      <w:highlight w:val="none"/>
                      <w:vertAlign w:val="baseline"/>
                      <w:lang w:eastAsia="zh-CN"/>
                    </w:rPr>
                  </w:pPr>
                  <w:r>
                    <w:rPr>
                      <w:rStyle w:val="37"/>
                      <w:rFonts w:hint="eastAsia" w:cs="Times New Roman"/>
                      <w:i w:val="0"/>
                      <w:iCs w:val="0"/>
                      <w:caps w:val="0"/>
                      <w:color w:val="auto"/>
                      <w:spacing w:val="0"/>
                      <w:sz w:val="21"/>
                      <w:szCs w:val="21"/>
                      <w:shd w:val="clear" w:fill="FFFFFF"/>
                      <w:lang w:val="en-US" w:eastAsia="zh-CN"/>
                    </w:rPr>
                    <w:t>理化性质</w:t>
                  </w:r>
                </w:p>
              </w:tc>
              <w:tc>
                <w:tcPr>
                  <w:tcW w:w="2242" w:type="dxa"/>
                  <w:vAlign w:val="center"/>
                </w:tcPr>
                <w:p w14:paraId="59D69B6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jc w:val="center"/>
                    <w:textAlignment w:val="auto"/>
                    <w:rPr>
                      <w:rFonts w:hint="default" w:ascii="Times New Roman" w:hAnsi="Times New Roman" w:eastAsia="宋体" w:cs="Times New Roman"/>
                      <w:b/>
                      <w:snapToGrid w:val="0"/>
                      <w:color w:val="auto"/>
                      <w:sz w:val="21"/>
                      <w:szCs w:val="21"/>
                      <w:highlight w:val="none"/>
                      <w:vertAlign w:val="baseline"/>
                    </w:rPr>
                  </w:pPr>
                  <w:r>
                    <w:rPr>
                      <w:rFonts w:hint="eastAsia" w:cs="Times New Roman"/>
                      <w:b/>
                      <w:snapToGrid w:val="0"/>
                      <w:color w:val="auto"/>
                      <w:sz w:val="21"/>
                      <w:szCs w:val="21"/>
                      <w:highlight w:val="none"/>
                      <w:vertAlign w:val="baseline"/>
                      <w:lang w:val="en-US" w:eastAsia="zh-CN"/>
                    </w:rPr>
                    <w:t>毒理性质</w:t>
                  </w:r>
                </w:p>
              </w:tc>
              <w:tc>
                <w:tcPr>
                  <w:tcW w:w="2546" w:type="dxa"/>
                  <w:vAlign w:val="center"/>
                </w:tcPr>
                <w:p w14:paraId="5859A42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center"/>
                    <w:textAlignment w:val="auto"/>
                    <w:rPr>
                      <w:rFonts w:hint="default" w:ascii="Times New Roman" w:hAnsi="Times New Roman" w:eastAsia="宋体" w:cs="Times New Roman"/>
                      <w:b/>
                      <w:snapToGrid w:val="0"/>
                      <w:color w:val="auto"/>
                      <w:sz w:val="21"/>
                      <w:szCs w:val="21"/>
                      <w:highlight w:val="none"/>
                      <w:vertAlign w:val="baseline"/>
                    </w:rPr>
                  </w:pPr>
                  <w:r>
                    <w:rPr>
                      <w:rStyle w:val="37"/>
                      <w:rFonts w:hint="default" w:ascii="Times New Roman" w:hAnsi="Times New Roman" w:eastAsia="宋体" w:cs="Times New Roman"/>
                      <w:i w:val="0"/>
                      <w:iCs w:val="0"/>
                      <w:caps w:val="0"/>
                      <w:color w:val="auto"/>
                      <w:spacing w:val="0"/>
                      <w:sz w:val="21"/>
                      <w:szCs w:val="21"/>
                      <w:shd w:val="clear" w:fill="FFFFFF"/>
                    </w:rPr>
                    <w:t>加工与应用</w:t>
                  </w:r>
                </w:p>
              </w:tc>
            </w:tr>
            <w:tr w14:paraId="3098B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2" w:type="dxa"/>
                  <w:vAlign w:val="center"/>
                </w:tcPr>
                <w:p w14:paraId="4EA41629">
                  <w:pPr>
                    <w:keepNext w:val="0"/>
                    <w:keepLines w:val="0"/>
                    <w:pageBreakBefore w:val="0"/>
                    <w:widowControl/>
                    <w:suppressLineNumbers w:val="0"/>
                    <w:kinsoku/>
                    <w:wordWrap/>
                    <w:topLinePunct w:val="0"/>
                    <w:autoSpaceDE/>
                    <w:autoSpaceDN/>
                    <w:bidi w:val="0"/>
                    <w:adjustRightInd/>
                    <w:snapToGrid/>
                    <w:jc w:val="center"/>
                    <w:textAlignment w:val="auto"/>
                    <w:rPr>
                      <w:rFonts w:hint="default" w:ascii="Times New Roman" w:hAnsi="Times New Roman" w:eastAsia="宋体" w:cs="Times New Roman"/>
                      <w:b/>
                      <w:snapToGrid w:val="0"/>
                      <w:color w:val="auto"/>
                      <w:sz w:val="21"/>
                      <w:szCs w:val="21"/>
                      <w:highlight w:val="none"/>
                      <w:vertAlign w:val="baseline"/>
                    </w:rPr>
                  </w:pPr>
                  <w:r>
                    <w:rPr>
                      <w:rFonts w:hint="default" w:ascii="Times New Roman" w:hAnsi="Times New Roman" w:eastAsia="宋体" w:cs="Times New Roman"/>
                      <w:bCs/>
                      <w:color w:val="auto"/>
                      <w:sz w:val="21"/>
                      <w:szCs w:val="21"/>
                      <w:highlight w:val="none"/>
                    </w:rPr>
                    <w:t>LDPE（吹膜级）</w:t>
                  </w:r>
                </w:p>
              </w:tc>
              <w:tc>
                <w:tcPr>
                  <w:tcW w:w="2722" w:type="dxa"/>
                  <w:vAlign w:val="center"/>
                </w:tcPr>
                <w:p w14:paraId="3549E9D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jc w:val="center"/>
                    <w:textAlignment w:val="auto"/>
                    <w:rPr>
                      <w:rFonts w:hint="default" w:ascii="Times New Roman" w:hAnsi="Times New Roman" w:eastAsia="宋体" w:cs="Times New Roman"/>
                      <w:b/>
                      <w:snapToGrid w:val="0"/>
                      <w:color w:val="auto"/>
                      <w:sz w:val="21"/>
                      <w:szCs w:val="21"/>
                      <w:highlight w:val="none"/>
                      <w:vertAlign w:val="baseline"/>
                      <w:lang w:eastAsia="zh-CN"/>
                    </w:rPr>
                  </w:pPr>
                  <w:r>
                    <w:rPr>
                      <w:rFonts w:hint="default" w:ascii="Times New Roman" w:hAnsi="Times New Roman" w:eastAsia="宋体" w:cs="Times New Roman"/>
                      <w:i w:val="0"/>
                      <w:iCs w:val="0"/>
                      <w:caps w:val="0"/>
                      <w:color w:val="auto"/>
                      <w:spacing w:val="0"/>
                      <w:kern w:val="0"/>
                      <w:sz w:val="21"/>
                      <w:szCs w:val="21"/>
                      <w:shd w:val="clear" w:fill="FFFFFF"/>
                      <w:lang w:val="en-US" w:eastAsia="zh-CN" w:bidi="ar"/>
                    </w:rPr>
                    <w:t>低密度聚乙烯，密度0.910–0.925 g/cm³，熔点约106–111℃，具有良好的柔韧性、透明度和热封性，耐低温，化学稳定性好，不溶于水，可溶于部分有机溶剂</w:t>
                  </w:r>
                </w:p>
              </w:tc>
              <w:tc>
                <w:tcPr>
                  <w:tcW w:w="2242" w:type="dxa"/>
                  <w:vAlign w:val="center"/>
                </w:tcPr>
                <w:p w14:paraId="3919129C">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snapToGrid w:val="0"/>
                      <w:color w:val="auto"/>
                      <w:sz w:val="21"/>
                      <w:szCs w:val="21"/>
                      <w:highlight w:val="none"/>
                      <w:vertAlign w:val="baseline"/>
                    </w:rPr>
                  </w:pPr>
                  <w:r>
                    <w:rPr>
                      <w:rFonts w:hint="default" w:ascii="Times New Roman" w:hAnsi="Times New Roman" w:eastAsia="宋体" w:cs="Times New Roman"/>
                      <w:i w:val="0"/>
                      <w:iCs w:val="0"/>
                      <w:caps w:val="0"/>
                      <w:color w:val="auto"/>
                      <w:spacing w:val="0"/>
                      <w:sz w:val="21"/>
                      <w:szCs w:val="21"/>
                      <w:shd w:val="clear" w:fill="FFFFFF"/>
                    </w:rPr>
                    <w:t>无毒、无味、无臭，符合食品接触材料标准，燃烧时产生少量一氧化碳和二氧化碳，高温分解可能释放微量烃类</w:t>
                  </w:r>
                </w:p>
              </w:tc>
              <w:tc>
                <w:tcPr>
                  <w:tcW w:w="2546" w:type="dxa"/>
                  <w:vAlign w:val="center"/>
                </w:tcPr>
                <w:p w14:paraId="45305B1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宋体" w:cs="Times New Roman"/>
                      <w:b/>
                      <w:snapToGrid w:val="0"/>
                      <w:color w:val="auto"/>
                      <w:sz w:val="21"/>
                      <w:szCs w:val="21"/>
                      <w:highlight w:val="none"/>
                      <w:vertAlign w:val="baseline"/>
                    </w:rPr>
                  </w:pPr>
                  <w:r>
                    <w:rPr>
                      <w:rFonts w:hint="default" w:ascii="Times New Roman" w:hAnsi="Times New Roman" w:eastAsia="宋体" w:cs="Times New Roman"/>
                      <w:i w:val="0"/>
                      <w:iCs w:val="0"/>
                      <w:caps w:val="0"/>
                      <w:color w:val="auto"/>
                      <w:spacing w:val="0"/>
                      <w:sz w:val="21"/>
                      <w:szCs w:val="21"/>
                      <w:shd w:val="clear" w:fill="FFFFFF"/>
                    </w:rPr>
                    <w:t>主要采用挤出吹塑法和T模法生产，厚度一般在0.02～0.1㎜之间。大量用于食品、药品、日用品及金属制品的一般防潮包装和冷冻食品包装</w:t>
                  </w:r>
                </w:p>
              </w:tc>
            </w:tr>
            <w:tr w14:paraId="3DA61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2" w:type="dxa"/>
                  <w:vAlign w:val="center"/>
                </w:tcPr>
                <w:p w14:paraId="269E91B7">
                  <w:pPr>
                    <w:keepNext w:val="0"/>
                    <w:keepLines w:val="0"/>
                    <w:pageBreakBefore w:val="0"/>
                    <w:widowControl/>
                    <w:suppressLineNumbers w:val="0"/>
                    <w:kinsoku/>
                    <w:wordWrap/>
                    <w:topLinePunct w:val="0"/>
                    <w:autoSpaceDE/>
                    <w:autoSpaceDN/>
                    <w:bidi w:val="0"/>
                    <w:adjustRightInd/>
                    <w:snapToGrid/>
                    <w:jc w:val="center"/>
                    <w:textAlignment w:val="auto"/>
                    <w:rPr>
                      <w:rFonts w:hint="default" w:ascii="Times New Roman" w:hAnsi="Times New Roman" w:eastAsia="宋体" w:cs="Times New Roman"/>
                      <w:b/>
                      <w:snapToGrid w:val="0"/>
                      <w:color w:val="auto"/>
                      <w:sz w:val="21"/>
                      <w:szCs w:val="21"/>
                      <w:highlight w:val="none"/>
                      <w:vertAlign w:val="baseline"/>
                      <w:lang w:val="en-US" w:eastAsia="zh-CN"/>
                    </w:rPr>
                  </w:pPr>
                  <w:r>
                    <w:rPr>
                      <w:rFonts w:hint="default" w:ascii="Times New Roman" w:hAnsi="Times New Roman" w:eastAsia="宋体" w:cs="Times New Roman"/>
                      <w:bCs/>
                      <w:color w:val="auto"/>
                      <w:sz w:val="21"/>
                      <w:szCs w:val="21"/>
                      <w:highlight w:val="none"/>
                    </w:rPr>
                    <w:t>LLDPE（吹膜级）</w:t>
                  </w:r>
                </w:p>
              </w:tc>
              <w:tc>
                <w:tcPr>
                  <w:tcW w:w="2722" w:type="dxa"/>
                  <w:vAlign w:val="center"/>
                </w:tcPr>
                <w:p w14:paraId="1B012B13">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lang w:eastAsia="zh-CN"/>
                    </w:rPr>
                  </w:pPr>
                  <w:r>
                    <w:rPr>
                      <w:rFonts w:hint="default" w:ascii="Times New Roman" w:hAnsi="Times New Roman" w:eastAsia="宋体" w:cs="Times New Roman"/>
                      <w:i w:val="0"/>
                      <w:iCs w:val="0"/>
                      <w:caps w:val="0"/>
                      <w:color w:val="auto"/>
                      <w:spacing w:val="0"/>
                      <w:sz w:val="21"/>
                      <w:szCs w:val="21"/>
                      <w:shd w:val="clear" w:fill="FFFFFF"/>
                      <w:lang w:eastAsia="zh-CN"/>
                    </w:rPr>
                    <w:t>线性低密度聚乙烯，密度0.918–0.935 g/cm³，熔点120–125℃，抗张强度、抗撕裂性和耐穿刺性优于LDPE，耐热性更好，加工时需更高熔体强度</w:t>
                  </w:r>
                </w:p>
              </w:tc>
              <w:tc>
                <w:tcPr>
                  <w:tcW w:w="2242" w:type="dxa"/>
                  <w:vAlign w:val="center"/>
                </w:tcPr>
                <w:p w14:paraId="2DD45C83">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无毒、无味、无臭，化学惰性高，不与酸碱反应，燃烧产物与LDPE类似，无显著毒性</w:t>
                  </w:r>
                </w:p>
              </w:tc>
              <w:tc>
                <w:tcPr>
                  <w:tcW w:w="2546" w:type="dxa"/>
                  <w:vAlign w:val="center"/>
                </w:tcPr>
                <w:p w14:paraId="7D1567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val="0"/>
                      <w:bCs/>
                      <w:snapToGrid w:val="0"/>
                      <w:color w:val="auto"/>
                      <w:sz w:val="21"/>
                      <w:szCs w:val="21"/>
                      <w:highlight w:val="none"/>
                      <w:vertAlign w:val="baseline"/>
                      <w:lang w:eastAsia="zh-CN"/>
                    </w:rPr>
                  </w:pPr>
                  <w:r>
                    <w:rPr>
                      <w:rFonts w:hint="default" w:ascii="Times New Roman" w:hAnsi="Times New Roman" w:eastAsia="宋体" w:cs="Times New Roman"/>
                      <w:b w:val="0"/>
                      <w:bCs/>
                      <w:snapToGrid w:val="0"/>
                      <w:color w:val="auto"/>
                      <w:sz w:val="21"/>
                      <w:szCs w:val="21"/>
                      <w:highlight w:val="none"/>
                      <w:vertAlign w:val="baseline"/>
                      <w:lang w:eastAsia="zh-CN"/>
                    </w:rPr>
                    <w:t>适用于吹塑、挤出、注塑等多种成型方式，具有较低的加工能耗。广泛应用于薄膜、塑料袋、农业覆盖膜、工业包装膜以及拉伸缠绕膜等领域</w:t>
                  </w:r>
                </w:p>
              </w:tc>
            </w:tr>
            <w:tr w14:paraId="6C86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2" w:type="dxa"/>
                  <w:vAlign w:val="center"/>
                </w:tcPr>
                <w:p w14:paraId="0030E5EF">
                  <w:pPr>
                    <w:keepNext w:val="0"/>
                    <w:keepLines w:val="0"/>
                    <w:pageBreakBefore w:val="0"/>
                    <w:widowControl/>
                    <w:suppressLineNumbers w:val="0"/>
                    <w:kinsoku/>
                    <w:wordWrap/>
                    <w:topLinePunct w:val="0"/>
                    <w:autoSpaceDE/>
                    <w:autoSpaceDN/>
                    <w:bidi w:val="0"/>
                    <w:adjustRightInd/>
                    <w:snapToGrid/>
                    <w:jc w:val="center"/>
                    <w:textAlignment w:val="auto"/>
                    <w:rPr>
                      <w:rFonts w:hint="default" w:ascii="Times New Roman" w:hAnsi="Times New Roman" w:eastAsia="宋体" w:cs="Times New Roman"/>
                      <w:i w:val="0"/>
                      <w:iCs w:val="0"/>
                      <w:caps w:val="0"/>
                      <w:color w:val="auto"/>
                      <w:spacing w:val="0"/>
                      <w:kern w:val="0"/>
                      <w:sz w:val="21"/>
                      <w:szCs w:val="21"/>
                      <w:shd w:val="clear" w:fill="FFFFFF"/>
                      <w:lang w:val="en-US" w:eastAsia="zh-CN" w:bidi="ar"/>
                    </w:rPr>
                  </w:pPr>
                  <w:r>
                    <w:rPr>
                      <w:rFonts w:hint="default" w:ascii="Times New Roman" w:hAnsi="Times New Roman" w:eastAsia="宋体" w:cs="Times New Roman"/>
                      <w:bCs/>
                      <w:color w:val="auto"/>
                      <w:kern w:val="2"/>
                      <w:sz w:val="21"/>
                      <w:szCs w:val="21"/>
                      <w:highlight w:val="none"/>
                      <w:lang w:val="en-US" w:eastAsia="zh-CN" w:bidi="ar-SA"/>
                    </w:rPr>
                    <w:t>开口爽滑母粒</w:t>
                  </w:r>
                </w:p>
              </w:tc>
              <w:tc>
                <w:tcPr>
                  <w:tcW w:w="2722" w:type="dxa"/>
                  <w:vAlign w:val="center"/>
                </w:tcPr>
                <w:p w14:paraId="3CAC7DD5">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由爽滑剂（如芥酸酰胺、油酸酰胺）和开口剂（如二氧化硅）与载体树脂（PE/PP）制成，降低薄膜表面摩擦系数，防止粘连，改善收卷和开口性能</w:t>
                  </w:r>
                </w:p>
              </w:tc>
              <w:tc>
                <w:tcPr>
                  <w:tcW w:w="2242" w:type="dxa"/>
                  <w:vAlign w:val="center"/>
                </w:tcPr>
                <w:p w14:paraId="27C062CE">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一般无毒，符合RoHS和FDA标准，不挥发、不迁移，对皮肤无刺激</w:t>
                  </w:r>
                </w:p>
              </w:tc>
              <w:tc>
                <w:tcPr>
                  <w:tcW w:w="2546" w:type="dxa"/>
                  <w:vAlign w:val="center"/>
                </w:tcPr>
                <w:p w14:paraId="4E6D86E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专为聚烯烃（特别是PE、PP）薄膜设计的高效功能性母粒。通过向薄膜中添加高性能爽滑剂和开口剂，解决薄膜收卷、包装及使用过程中的粘连、开口困难等问题</w:t>
                  </w:r>
                </w:p>
              </w:tc>
            </w:tr>
            <w:tr w14:paraId="1AB27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2" w:type="dxa"/>
                  <w:vAlign w:val="center"/>
                </w:tcPr>
                <w:p w14:paraId="27E8F15C">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i w:val="0"/>
                      <w:iCs w:val="0"/>
                      <w:caps w:val="0"/>
                      <w:color w:val="auto"/>
                      <w:spacing w:val="0"/>
                      <w:kern w:val="0"/>
                      <w:sz w:val="21"/>
                      <w:szCs w:val="21"/>
                      <w:shd w:val="clear" w:fill="FFFFFF"/>
                      <w:lang w:val="en-US" w:eastAsia="zh-CN" w:bidi="ar"/>
                    </w:rPr>
                  </w:pPr>
                  <w:r>
                    <w:rPr>
                      <w:rFonts w:hint="eastAsia" w:cs="Times New Roman"/>
                      <w:bCs/>
                      <w:color w:val="auto"/>
                      <w:sz w:val="21"/>
                      <w:szCs w:val="21"/>
                      <w:highlight w:val="none"/>
                      <w:lang w:val="en-US" w:eastAsia="zh-CN"/>
                    </w:rPr>
                    <w:t>白</w:t>
                  </w:r>
                  <w:r>
                    <w:rPr>
                      <w:rFonts w:hint="default" w:ascii="Times New Roman" w:hAnsi="Times New Roman" w:eastAsia="宋体" w:cs="Times New Roman"/>
                      <w:bCs/>
                      <w:color w:val="auto"/>
                      <w:sz w:val="21"/>
                      <w:szCs w:val="21"/>
                      <w:highlight w:val="none"/>
                    </w:rPr>
                    <w:t>色</w:t>
                  </w:r>
                  <w:r>
                    <w:rPr>
                      <w:rFonts w:hint="default" w:ascii="Times New Roman" w:hAnsi="Times New Roman" w:eastAsia="宋体" w:cs="Times New Roman"/>
                      <w:snapToGrid w:val="0"/>
                      <w:color w:val="auto"/>
                      <w:kern w:val="0"/>
                      <w:sz w:val="21"/>
                      <w:szCs w:val="21"/>
                      <w:highlight w:val="none"/>
                    </w:rPr>
                    <w:t>母</w:t>
                  </w:r>
                  <w:r>
                    <w:rPr>
                      <w:rFonts w:hint="default" w:ascii="Times New Roman" w:hAnsi="Times New Roman" w:eastAsia="宋体" w:cs="Times New Roman"/>
                      <w:bCs/>
                      <w:color w:val="auto"/>
                      <w:kern w:val="2"/>
                      <w:sz w:val="21"/>
                      <w:szCs w:val="21"/>
                      <w:highlight w:val="none"/>
                      <w:lang w:val="en-US" w:eastAsia="zh-CN" w:bidi="ar-SA"/>
                    </w:rPr>
                    <w:t>粒</w:t>
                  </w:r>
                </w:p>
              </w:tc>
              <w:tc>
                <w:tcPr>
                  <w:tcW w:w="2722" w:type="dxa"/>
                  <w:vAlign w:val="center"/>
                </w:tcPr>
                <w:p w14:paraId="0CA0413D">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以钛白粉（TiO₂）为主要颜料，载体为PE或PP，具有高遮盖力、高白度、耐热性好（可达280℃），分散性佳</w:t>
                  </w:r>
                </w:p>
              </w:tc>
              <w:tc>
                <w:tcPr>
                  <w:tcW w:w="2242" w:type="dxa"/>
                  <w:vAlign w:val="center"/>
                </w:tcPr>
                <w:p w14:paraId="54516828">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钛白粉为惰性物质，无毒，不溶于水和有机溶剂，吸入粉尘可能引起呼吸道刺激，但成品中已固定，无迁移风险</w:t>
                  </w:r>
                </w:p>
              </w:tc>
              <w:tc>
                <w:tcPr>
                  <w:tcW w:w="2546" w:type="dxa"/>
                  <w:vAlign w:val="center"/>
                </w:tcPr>
                <w:p w14:paraId="35524BA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用于需要高白度和遮盖力的塑料制品，如包装材料、日用品等</w:t>
                  </w:r>
                </w:p>
              </w:tc>
            </w:tr>
            <w:tr w14:paraId="5AFA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2" w:type="dxa"/>
                  <w:vAlign w:val="center"/>
                </w:tcPr>
                <w:p w14:paraId="01FC7A58">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i w:val="0"/>
                      <w:iCs w:val="0"/>
                      <w:caps w:val="0"/>
                      <w:color w:val="auto"/>
                      <w:spacing w:val="0"/>
                      <w:kern w:val="0"/>
                      <w:sz w:val="21"/>
                      <w:szCs w:val="21"/>
                      <w:shd w:val="clear" w:fill="FFFFFF"/>
                      <w:lang w:val="en-US" w:eastAsia="zh-CN" w:bidi="ar"/>
                    </w:rPr>
                  </w:pPr>
                  <w:r>
                    <w:rPr>
                      <w:rFonts w:hint="eastAsia" w:cs="Times New Roman"/>
                      <w:bCs/>
                      <w:color w:val="auto"/>
                      <w:sz w:val="21"/>
                      <w:szCs w:val="21"/>
                      <w:highlight w:val="none"/>
                      <w:lang w:val="en-US" w:eastAsia="zh-CN"/>
                    </w:rPr>
                    <w:t>复合抗氧剂</w:t>
                  </w:r>
                </w:p>
              </w:tc>
              <w:tc>
                <w:tcPr>
                  <w:tcW w:w="2722" w:type="dxa"/>
                  <w:vAlign w:val="center"/>
                </w:tcPr>
                <w:p w14:paraId="6FD89BF8">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通常为受阻酚类（如1010、1076）与亚磷酸酯类复配，用于防止聚合物在加工和使用中氧化降解，提高热稳定性和耐候性</w:t>
                  </w:r>
                </w:p>
              </w:tc>
              <w:tc>
                <w:tcPr>
                  <w:tcW w:w="2242" w:type="dxa"/>
                  <w:vAlign w:val="center"/>
                </w:tcPr>
                <w:p w14:paraId="4C09C5D2">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低毒，部分成分可能对皮肤有轻微刺激，但添加量极低（通常&lt;0.5%），成品中无害</w:t>
                  </w:r>
                </w:p>
              </w:tc>
              <w:tc>
                <w:tcPr>
                  <w:tcW w:w="2546" w:type="dxa"/>
                  <w:vAlign w:val="center"/>
                </w:tcPr>
                <w:p w14:paraId="5C5738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广泛用于各种塑料制品中，延长产品使用寿命</w:t>
                  </w:r>
                </w:p>
              </w:tc>
            </w:tr>
            <w:tr w14:paraId="456EF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2" w:type="dxa"/>
                  <w:vAlign w:val="center"/>
                </w:tcPr>
                <w:p w14:paraId="2B1D4D1A">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i w:val="0"/>
                      <w:iCs w:val="0"/>
                      <w:caps w:val="0"/>
                      <w:color w:val="auto"/>
                      <w:spacing w:val="0"/>
                      <w:kern w:val="0"/>
                      <w:sz w:val="21"/>
                      <w:szCs w:val="21"/>
                      <w:shd w:val="clear" w:fill="FFFFFF"/>
                      <w:lang w:val="en-US" w:eastAsia="zh-CN" w:bidi="ar"/>
                    </w:rPr>
                  </w:pPr>
                  <w:r>
                    <w:rPr>
                      <w:rFonts w:hint="eastAsia" w:cs="Times New Roman"/>
                      <w:bCs/>
                      <w:color w:val="auto"/>
                      <w:sz w:val="21"/>
                      <w:szCs w:val="21"/>
                      <w:highlight w:val="none"/>
                      <w:lang w:val="en-US" w:eastAsia="zh-CN"/>
                    </w:rPr>
                    <w:t>光亮 / 增白母粒</w:t>
                  </w:r>
                </w:p>
              </w:tc>
              <w:tc>
                <w:tcPr>
                  <w:tcW w:w="2722" w:type="dxa"/>
                  <w:vAlign w:val="center"/>
                </w:tcPr>
                <w:p w14:paraId="1D5E6AE5">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含荧光增白剂或光亮剂，提升制品表面光泽和白度，耐热性好，分散均匀</w:t>
                  </w:r>
                </w:p>
              </w:tc>
              <w:tc>
                <w:tcPr>
                  <w:tcW w:w="2242" w:type="dxa"/>
                  <w:vAlign w:val="center"/>
                </w:tcPr>
                <w:p w14:paraId="2F66E318">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一般无毒，符合环保标准，不迁移，对皮肤无刺激</w:t>
                  </w:r>
                </w:p>
              </w:tc>
              <w:tc>
                <w:tcPr>
                  <w:tcW w:w="2546" w:type="dxa"/>
                  <w:vAlign w:val="center"/>
                </w:tcPr>
                <w:p w14:paraId="2635121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用于需要高光泽和高白度的塑料制品，如包装材料、日用品等</w:t>
                  </w:r>
                </w:p>
              </w:tc>
            </w:tr>
            <w:tr w14:paraId="1451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2" w:type="dxa"/>
                  <w:shd w:val="clear" w:color="auto" w:fill="auto"/>
                  <w:vAlign w:val="center"/>
                </w:tcPr>
                <w:p w14:paraId="18D260A9">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HDPE（管材级）</w:t>
                  </w:r>
                </w:p>
              </w:tc>
              <w:tc>
                <w:tcPr>
                  <w:tcW w:w="2722" w:type="dxa"/>
                  <w:vAlign w:val="center"/>
                </w:tcPr>
                <w:p w14:paraId="450DB94A">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高密度聚乙烯，密度0.941–0.965 g/cm³，熔点约130–137℃，刚性大、强度高、耐化学腐蚀，耐环境应力开裂性好</w:t>
                  </w:r>
                </w:p>
              </w:tc>
              <w:tc>
                <w:tcPr>
                  <w:tcW w:w="2242" w:type="dxa"/>
                  <w:vAlign w:val="center"/>
                </w:tcPr>
                <w:p w14:paraId="43C56B95">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无毒、无味、无臭，化学惰性高，不与酸碱反应，燃烧产物与LDPE类似，无显著毒性</w:t>
                  </w:r>
                </w:p>
              </w:tc>
              <w:tc>
                <w:tcPr>
                  <w:tcW w:w="2546" w:type="dxa"/>
                  <w:vAlign w:val="center"/>
                </w:tcPr>
                <w:p w14:paraId="2C4C22D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主要用于制造管材、电缆护套和防水膜等工程领域</w:t>
                  </w:r>
                </w:p>
              </w:tc>
            </w:tr>
            <w:tr w14:paraId="4961D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2" w:type="dxa"/>
                  <w:shd w:val="clear" w:color="auto" w:fill="auto"/>
                  <w:vAlign w:val="center"/>
                </w:tcPr>
                <w:p w14:paraId="05E801F5">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LLDPE（挤出级）</w:t>
                  </w:r>
                </w:p>
              </w:tc>
              <w:tc>
                <w:tcPr>
                  <w:tcW w:w="2722" w:type="dxa"/>
                  <w:vAlign w:val="center"/>
                </w:tcPr>
                <w:p w14:paraId="63FC0855">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线性低密度聚乙烯，密度0.918–0.935 g/cm³，熔点120–125℃，抗张强度、抗撕裂性和耐穿刺性优于LDPE，耐热性更好，加工时需更高熔体强度</w:t>
                  </w:r>
                </w:p>
              </w:tc>
              <w:tc>
                <w:tcPr>
                  <w:tcW w:w="2242" w:type="dxa"/>
                  <w:vAlign w:val="center"/>
                </w:tcPr>
                <w:p w14:paraId="441BA3F0">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无毒、无味、无臭，化学惰性高，不与酸碱反应，燃烧产物与LDPE类似，无显著毒性</w:t>
                  </w:r>
                </w:p>
              </w:tc>
              <w:tc>
                <w:tcPr>
                  <w:tcW w:w="2546" w:type="dxa"/>
                  <w:vAlign w:val="center"/>
                </w:tcPr>
                <w:p w14:paraId="6299CCF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适用于吹塑、挤出、注塑等多种成型方式，具有较低的加工能耗。广泛应用于薄膜、塑料袋、农业覆盖膜、工业包装膜以及拉伸缠绕膜等领域</w:t>
                  </w:r>
                </w:p>
              </w:tc>
            </w:tr>
            <w:tr w14:paraId="0932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2" w:type="dxa"/>
                  <w:shd w:val="clear" w:color="auto" w:fill="auto"/>
                  <w:vAlign w:val="center"/>
                </w:tcPr>
                <w:p w14:paraId="109705EF">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炭黑母粒（UV）</w:t>
                  </w:r>
                </w:p>
              </w:tc>
              <w:tc>
                <w:tcPr>
                  <w:tcW w:w="2722" w:type="dxa"/>
                  <w:vAlign w:val="center"/>
                </w:tcPr>
                <w:p w14:paraId="1D49364E">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以炭黑为主要颜料，载体为PE或PP，具有高黑度、高遮盖力、耐热性好，分散性佳，能有效吸收紫外线，防止聚合物老化</w:t>
                  </w:r>
                </w:p>
              </w:tc>
              <w:tc>
                <w:tcPr>
                  <w:tcW w:w="2242" w:type="dxa"/>
                  <w:vAlign w:val="center"/>
                </w:tcPr>
                <w:p w14:paraId="24AA79E9">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炭黑为惰性物质，无毒，不溶于水和有机溶剂，吸入粉尘可能引起呼吸道刺激，但成品中已固定，无迁移风险</w:t>
                  </w:r>
                </w:p>
              </w:tc>
              <w:tc>
                <w:tcPr>
                  <w:tcW w:w="2546" w:type="dxa"/>
                  <w:vAlign w:val="center"/>
                </w:tcPr>
                <w:p w14:paraId="1F83177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用于需要高黑度和抗紫外线的塑料制品，如农用地膜、包装材料等</w:t>
                  </w:r>
                </w:p>
              </w:tc>
            </w:tr>
            <w:tr w14:paraId="7690E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2" w:type="dxa"/>
                  <w:shd w:val="clear" w:color="auto" w:fill="auto"/>
                  <w:vAlign w:val="center"/>
                </w:tcPr>
                <w:p w14:paraId="0E68924C">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分散剂</w:t>
                  </w:r>
                </w:p>
              </w:tc>
              <w:tc>
                <w:tcPr>
                  <w:tcW w:w="2722" w:type="dxa"/>
                  <w:vAlign w:val="center"/>
                </w:tcPr>
                <w:p w14:paraId="209F2A0D">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用于改善填料或颜料在树脂中的分散性，提高制品的均匀性和性能</w:t>
                  </w:r>
                </w:p>
              </w:tc>
              <w:tc>
                <w:tcPr>
                  <w:tcW w:w="2242" w:type="dxa"/>
                  <w:vAlign w:val="center"/>
                </w:tcPr>
                <w:p w14:paraId="42ADAB9B">
                  <w:pPr>
                    <w:pStyle w:val="116"/>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一般无毒，符合环保标准，不迁移，对皮肤无刺激</w:t>
                  </w:r>
                </w:p>
              </w:tc>
              <w:tc>
                <w:tcPr>
                  <w:tcW w:w="2546" w:type="dxa"/>
                  <w:vAlign w:val="center"/>
                </w:tcPr>
                <w:p w14:paraId="7FB1049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用于需要高分散性的塑料制品，如色母粒、填充母粒等</w:t>
                  </w:r>
                </w:p>
              </w:tc>
            </w:tr>
          </w:tbl>
          <w:p w14:paraId="258C8650">
            <w:pPr>
              <w:pStyle w:val="116"/>
              <w:spacing w:line="500" w:lineRule="exact"/>
              <w:ind w:firstLine="0" w:firstLineChars="0"/>
              <w:jc w:val="center"/>
              <w:rPr>
                <w:rFonts w:hint="default" w:eastAsia="宋体"/>
                <w:b/>
                <w:snapToGrid w:val="0"/>
                <w:color w:val="auto"/>
                <w:sz w:val="21"/>
                <w:szCs w:val="21"/>
                <w:highlight w:val="none"/>
                <w:lang w:val="en-US" w:eastAsia="zh-CN"/>
              </w:rPr>
            </w:pPr>
            <w:r>
              <w:rPr>
                <w:rFonts w:hint="eastAsia"/>
                <w:b/>
                <w:snapToGrid w:val="0"/>
                <w:color w:val="auto"/>
                <w:sz w:val="21"/>
                <w:szCs w:val="21"/>
                <w:highlight w:val="none"/>
                <w:lang w:val="en-US" w:eastAsia="zh-CN"/>
              </w:rPr>
              <w:t>表2-6   项目生产线物料平衡表</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9"/>
              <w:gridCol w:w="1393"/>
              <w:gridCol w:w="2523"/>
              <w:gridCol w:w="2096"/>
            </w:tblGrid>
            <w:tr w14:paraId="79F60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2" w:type="dxa"/>
                  <w:gridSpan w:val="2"/>
                </w:tcPr>
                <w:p w14:paraId="79159F04">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sz w:val="21"/>
                      <w:szCs w:val="21"/>
                      <w:highlight w:val="none"/>
                      <w:vertAlign w:val="baseline"/>
                    </w:rPr>
                  </w:pPr>
                  <w:r>
                    <w:rPr>
                      <w:rFonts w:hint="default" w:ascii="Times New Roman" w:hAnsi="Times New Roman" w:eastAsia="宋体" w:cs="Times New Roman"/>
                      <w:b w:val="0"/>
                      <w:bCs w:val="0"/>
                      <w:color w:val="auto"/>
                      <w:kern w:val="0"/>
                      <w:sz w:val="21"/>
                      <w:szCs w:val="21"/>
                      <w:lang w:val="en-US" w:eastAsia="zh-CN" w:bidi="ar"/>
                    </w:rPr>
                    <w:t>净投入（t/a）</w:t>
                  </w:r>
                </w:p>
              </w:tc>
              <w:tc>
                <w:tcPr>
                  <w:tcW w:w="4619" w:type="dxa"/>
                  <w:gridSpan w:val="2"/>
                </w:tcPr>
                <w:p w14:paraId="5FC6CF7D">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sz w:val="21"/>
                      <w:szCs w:val="21"/>
                      <w:highlight w:val="none"/>
                      <w:vertAlign w:val="baseline"/>
                    </w:rPr>
                  </w:pPr>
                  <w:r>
                    <w:rPr>
                      <w:rFonts w:hint="default" w:ascii="Times New Roman" w:hAnsi="Times New Roman" w:eastAsia="宋体" w:cs="Times New Roman"/>
                      <w:b w:val="0"/>
                      <w:bCs w:val="0"/>
                      <w:color w:val="auto"/>
                      <w:kern w:val="0"/>
                      <w:sz w:val="21"/>
                      <w:szCs w:val="21"/>
                      <w:lang w:val="en-US" w:eastAsia="zh-CN" w:bidi="ar"/>
                    </w:rPr>
                    <w:t>净产出（t/a）</w:t>
                  </w:r>
                </w:p>
              </w:tc>
            </w:tr>
            <w:tr w14:paraId="42ECE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9" w:type="dxa"/>
                  <w:vAlign w:val="center"/>
                </w:tcPr>
                <w:p w14:paraId="48F1B9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类别</w:t>
                  </w:r>
                </w:p>
              </w:tc>
              <w:tc>
                <w:tcPr>
                  <w:tcW w:w="1393" w:type="dxa"/>
                </w:tcPr>
                <w:p w14:paraId="5AE9771B">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sz w:val="21"/>
                      <w:szCs w:val="21"/>
                      <w:highlight w:val="none"/>
                      <w:vertAlign w:val="baseline"/>
                      <w:lang w:val="en-US" w:eastAsia="zh-CN"/>
                    </w:rPr>
                  </w:pPr>
                  <w:r>
                    <w:rPr>
                      <w:rFonts w:hint="eastAsia" w:ascii="Times New Roman" w:hAnsi="Times New Roman" w:eastAsia="宋体" w:cs="Times New Roman"/>
                      <w:b w:val="0"/>
                      <w:bCs w:val="0"/>
                      <w:snapToGrid w:val="0"/>
                      <w:color w:val="auto"/>
                      <w:sz w:val="21"/>
                      <w:szCs w:val="21"/>
                      <w:highlight w:val="none"/>
                      <w:vertAlign w:val="baseline"/>
                      <w:lang w:val="en-US" w:eastAsia="zh-CN"/>
                    </w:rPr>
                    <w:t>数量</w:t>
                  </w:r>
                </w:p>
              </w:tc>
              <w:tc>
                <w:tcPr>
                  <w:tcW w:w="2523" w:type="dxa"/>
                </w:tcPr>
                <w:p w14:paraId="2BF4C904">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sz w:val="21"/>
                      <w:szCs w:val="21"/>
                      <w:highlight w:val="none"/>
                      <w:vertAlign w:val="baseline"/>
                      <w:lang w:val="en-US" w:eastAsia="zh-CN"/>
                    </w:rPr>
                  </w:pPr>
                  <w:r>
                    <w:rPr>
                      <w:rFonts w:hint="eastAsia" w:ascii="Times New Roman" w:hAnsi="Times New Roman" w:eastAsia="宋体" w:cs="Times New Roman"/>
                      <w:b w:val="0"/>
                      <w:bCs w:val="0"/>
                      <w:snapToGrid w:val="0"/>
                      <w:color w:val="auto"/>
                      <w:sz w:val="21"/>
                      <w:szCs w:val="21"/>
                      <w:highlight w:val="none"/>
                      <w:vertAlign w:val="baseline"/>
                      <w:lang w:val="en-US" w:eastAsia="zh-CN"/>
                    </w:rPr>
                    <w:t>类别</w:t>
                  </w:r>
                </w:p>
              </w:tc>
              <w:tc>
                <w:tcPr>
                  <w:tcW w:w="2096" w:type="dxa"/>
                </w:tcPr>
                <w:p w14:paraId="39C72B43">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sz w:val="21"/>
                      <w:szCs w:val="21"/>
                      <w:highlight w:val="none"/>
                      <w:vertAlign w:val="baseline"/>
                      <w:lang w:val="en-US" w:eastAsia="zh-CN"/>
                    </w:rPr>
                  </w:pPr>
                  <w:r>
                    <w:rPr>
                      <w:rFonts w:hint="eastAsia" w:ascii="Times New Roman" w:hAnsi="Times New Roman" w:eastAsia="宋体" w:cs="Times New Roman"/>
                      <w:b w:val="0"/>
                      <w:bCs w:val="0"/>
                      <w:snapToGrid w:val="0"/>
                      <w:color w:val="auto"/>
                      <w:sz w:val="21"/>
                      <w:szCs w:val="21"/>
                      <w:highlight w:val="none"/>
                      <w:vertAlign w:val="baseline"/>
                      <w:lang w:val="en-US" w:eastAsia="zh-CN"/>
                    </w:rPr>
                    <w:t>数量</w:t>
                  </w:r>
                </w:p>
              </w:tc>
            </w:tr>
            <w:tr w14:paraId="548E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9" w:type="dxa"/>
                  <w:shd w:val="clear" w:color="auto" w:fill="auto"/>
                  <w:vAlign w:val="center"/>
                </w:tcPr>
                <w:p w14:paraId="07DAC0AF">
                  <w:pPr>
                    <w:keepNext w:val="0"/>
                    <w:keepLines w:val="0"/>
                    <w:pageBreakBefore w:val="0"/>
                    <w:widowControl/>
                    <w:suppressLineNumbers w:val="0"/>
                    <w:kinsoku/>
                    <w:wordWrap/>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LDPE（吹膜级）</w:t>
                  </w:r>
                </w:p>
              </w:tc>
              <w:tc>
                <w:tcPr>
                  <w:tcW w:w="1393" w:type="dxa"/>
                  <w:shd w:val="clear" w:color="auto" w:fill="auto"/>
                  <w:vAlign w:val="center"/>
                </w:tcPr>
                <w:p w14:paraId="2587F241">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bCs/>
                      <w:color w:val="auto"/>
                      <w:sz w:val="21"/>
                      <w:szCs w:val="21"/>
                      <w:highlight w:val="none"/>
                      <w:shd w:val="clear" w:color="auto" w:fill="FFFFFF"/>
                      <w:lang w:val="en-US" w:eastAsia="zh-CN"/>
                    </w:rPr>
                    <w:t>824</w:t>
                  </w:r>
                </w:p>
              </w:tc>
              <w:tc>
                <w:tcPr>
                  <w:tcW w:w="2523" w:type="dxa"/>
                  <w:vAlign w:val="center"/>
                </w:tcPr>
                <w:p w14:paraId="5B231832">
                  <w:pPr>
                    <w:overflowPunct w:val="0"/>
                    <w:adjustRightInd w:val="0"/>
                    <w:snapToGrid w:val="0"/>
                    <w:jc w:val="center"/>
                    <w:rPr>
                      <w:rFonts w:hint="eastAsia" w:ascii="Times New Roman" w:hAnsi="Times New Roman" w:eastAsia="宋体" w:cs="Times New Roman"/>
                      <w:b w:val="0"/>
                      <w:bCs w:val="0"/>
                      <w:snapToGrid w:val="0"/>
                      <w:color w:val="auto"/>
                      <w:sz w:val="21"/>
                      <w:szCs w:val="21"/>
                      <w:highlight w:val="none"/>
                      <w:vertAlign w:val="baseline"/>
                      <w:lang w:val="en-US" w:eastAsia="zh-CN"/>
                    </w:rPr>
                  </w:pPr>
                  <w:r>
                    <w:rPr>
                      <w:rFonts w:hint="eastAsia" w:ascii="Times New Roman" w:hAnsi="Times New Roman" w:eastAsia="宋体" w:cs="Times New Roman"/>
                      <w:b w:val="0"/>
                      <w:bCs w:val="0"/>
                      <w:snapToGrid w:val="0"/>
                      <w:color w:val="auto"/>
                      <w:sz w:val="21"/>
                      <w:szCs w:val="21"/>
                      <w:highlight w:val="none"/>
                      <w:vertAlign w:val="baseline"/>
                      <w:lang w:val="en-US" w:eastAsia="zh-CN"/>
                    </w:rPr>
                    <w:t>塑料包装袋</w:t>
                  </w:r>
                </w:p>
              </w:tc>
              <w:tc>
                <w:tcPr>
                  <w:tcW w:w="2096" w:type="dxa"/>
                </w:tcPr>
                <w:p w14:paraId="4190446D">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sz w:val="21"/>
                      <w:szCs w:val="21"/>
                      <w:highlight w:val="none"/>
                      <w:vertAlign w:val="baseline"/>
                      <w:lang w:val="en-US" w:eastAsia="zh-CN"/>
                    </w:rPr>
                  </w:pPr>
                  <w:r>
                    <w:rPr>
                      <w:rFonts w:hint="eastAsia" w:ascii="Times New Roman" w:hAnsi="Times New Roman" w:eastAsia="宋体" w:cs="Times New Roman"/>
                      <w:b w:val="0"/>
                      <w:bCs w:val="0"/>
                      <w:snapToGrid w:val="0"/>
                      <w:color w:val="auto"/>
                      <w:sz w:val="21"/>
                      <w:szCs w:val="21"/>
                      <w:highlight w:val="none"/>
                      <w:vertAlign w:val="baseline"/>
                      <w:lang w:val="en-US" w:eastAsia="zh-CN"/>
                    </w:rPr>
                    <w:t>1000</w:t>
                  </w:r>
                </w:p>
              </w:tc>
            </w:tr>
            <w:tr w14:paraId="2CB50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9" w:type="dxa"/>
                  <w:shd w:val="clear" w:color="auto" w:fill="auto"/>
                  <w:vAlign w:val="center"/>
                </w:tcPr>
                <w:p w14:paraId="78DF8B81">
                  <w:pPr>
                    <w:keepNext w:val="0"/>
                    <w:keepLines w:val="0"/>
                    <w:pageBreakBefore w:val="0"/>
                    <w:widowControl/>
                    <w:suppressLineNumbers w:val="0"/>
                    <w:kinsoku/>
                    <w:wordWrap/>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LLDPE（吹膜级）</w:t>
                  </w:r>
                </w:p>
              </w:tc>
              <w:tc>
                <w:tcPr>
                  <w:tcW w:w="1393" w:type="dxa"/>
                  <w:shd w:val="clear" w:color="auto" w:fill="auto"/>
                  <w:vAlign w:val="center"/>
                </w:tcPr>
                <w:p w14:paraId="4A5FF3CC">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175</w:t>
                  </w:r>
                </w:p>
              </w:tc>
              <w:tc>
                <w:tcPr>
                  <w:tcW w:w="2523" w:type="dxa"/>
                  <w:vAlign w:val="center"/>
                </w:tcPr>
                <w:p w14:paraId="0977BC78">
                  <w:pPr>
                    <w:overflowPunct w:val="0"/>
                    <w:adjustRightInd w:val="0"/>
                    <w:snapToGrid w:val="0"/>
                    <w:jc w:val="center"/>
                    <w:rPr>
                      <w:rFonts w:hint="default" w:ascii="Times New Roman" w:hAnsi="Times New Roman" w:eastAsia="宋体" w:cs="Times New Roman"/>
                      <w:b w:val="0"/>
                      <w:bCs w:val="0"/>
                      <w:snapToGrid w:val="0"/>
                      <w:color w:val="auto"/>
                      <w:sz w:val="21"/>
                      <w:szCs w:val="21"/>
                      <w:highlight w:val="none"/>
                      <w:vertAlign w:val="baseline"/>
                    </w:rPr>
                  </w:pPr>
                  <w:r>
                    <w:rPr>
                      <w:rFonts w:hint="default" w:ascii="Times New Roman" w:hAnsi="Times New Roman" w:eastAsia="宋体" w:cs="Times New Roman"/>
                      <w:b w:val="0"/>
                      <w:bCs w:val="0"/>
                      <w:snapToGrid w:val="0"/>
                      <w:color w:val="auto"/>
                      <w:sz w:val="21"/>
                      <w:szCs w:val="21"/>
                      <w:highlight w:val="none"/>
                      <w:vertAlign w:val="baseline"/>
                    </w:rPr>
                    <w:t>农用贴片滴灌带</w:t>
                  </w:r>
                </w:p>
              </w:tc>
              <w:tc>
                <w:tcPr>
                  <w:tcW w:w="2096" w:type="dxa"/>
                </w:tcPr>
                <w:p w14:paraId="34E8C5C3">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sz w:val="21"/>
                      <w:szCs w:val="21"/>
                      <w:highlight w:val="none"/>
                      <w:vertAlign w:val="baseline"/>
                      <w:lang w:val="en-US" w:eastAsia="zh-CN"/>
                    </w:rPr>
                  </w:pPr>
                  <w:r>
                    <w:rPr>
                      <w:rFonts w:hint="eastAsia" w:ascii="Times New Roman" w:hAnsi="Times New Roman" w:eastAsia="宋体" w:cs="Times New Roman"/>
                      <w:b w:val="0"/>
                      <w:bCs w:val="0"/>
                      <w:snapToGrid w:val="0"/>
                      <w:color w:val="auto"/>
                      <w:sz w:val="21"/>
                      <w:szCs w:val="21"/>
                      <w:highlight w:val="none"/>
                      <w:vertAlign w:val="baseline"/>
                      <w:lang w:val="en-US" w:eastAsia="zh-CN"/>
                    </w:rPr>
                    <w:t>1</w:t>
                  </w:r>
                  <w:r>
                    <w:rPr>
                      <w:rFonts w:hint="eastAsia" w:cs="Times New Roman"/>
                      <w:b w:val="0"/>
                      <w:bCs w:val="0"/>
                      <w:snapToGrid w:val="0"/>
                      <w:color w:val="auto"/>
                      <w:sz w:val="21"/>
                      <w:szCs w:val="21"/>
                      <w:highlight w:val="none"/>
                      <w:vertAlign w:val="baseline"/>
                      <w:lang w:val="en-US" w:eastAsia="zh-CN"/>
                    </w:rPr>
                    <w:t>0</w:t>
                  </w:r>
                  <w:r>
                    <w:rPr>
                      <w:rFonts w:hint="eastAsia" w:ascii="Times New Roman" w:hAnsi="Times New Roman" w:eastAsia="宋体" w:cs="Times New Roman"/>
                      <w:b w:val="0"/>
                      <w:bCs w:val="0"/>
                      <w:snapToGrid w:val="0"/>
                      <w:color w:val="auto"/>
                      <w:sz w:val="21"/>
                      <w:szCs w:val="21"/>
                      <w:highlight w:val="none"/>
                      <w:vertAlign w:val="baseline"/>
                      <w:lang w:val="en-US" w:eastAsia="zh-CN"/>
                    </w:rPr>
                    <w:t>00</w:t>
                  </w:r>
                </w:p>
              </w:tc>
            </w:tr>
            <w:tr w14:paraId="1D3E1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9" w:type="dxa"/>
                  <w:shd w:val="clear" w:color="auto" w:fill="auto"/>
                  <w:vAlign w:val="center"/>
                </w:tcPr>
                <w:p w14:paraId="4B66B3B7">
                  <w:pPr>
                    <w:keepNext w:val="0"/>
                    <w:keepLines w:val="0"/>
                    <w:pageBreakBefore w:val="0"/>
                    <w:widowControl/>
                    <w:suppressLineNumbers w:val="0"/>
                    <w:kinsoku/>
                    <w:wordWrap/>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开口爽滑母粒</w:t>
                  </w:r>
                </w:p>
              </w:tc>
              <w:tc>
                <w:tcPr>
                  <w:tcW w:w="1393" w:type="dxa"/>
                  <w:shd w:val="clear" w:color="auto" w:fill="auto"/>
                  <w:vAlign w:val="center"/>
                </w:tcPr>
                <w:p w14:paraId="1C01ACE0">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bCs/>
                      <w:color w:val="auto"/>
                      <w:sz w:val="21"/>
                      <w:szCs w:val="21"/>
                      <w:highlight w:val="none"/>
                      <w:shd w:val="clear" w:color="auto" w:fill="FFFFFF"/>
                      <w:lang w:val="en-US" w:eastAsia="zh-CN"/>
                    </w:rPr>
                    <w:t>12</w:t>
                  </w:r>
                </w:p>
              </w:tc>
              <w:tc>
                <w:tcPr>
                  <w:tcW w:w="2523" w:type="dxa"/>
                  <w:vAlign w:val="center"/>
                </w:tcPr>
                <w:p w14:paraId="0EFF86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
                    </w:rPr>
                  </w:pPr>
                  <w:r>
                    <w:rPr>
                      <w:rFonts w:hint="eastAsia" w:cs="Times New Roman"/>
                      <w:b w:val="0"/>
                      <w:bCs w:val="0"/>
                      <w:color w:val="auto"/>
                      <w:kern w:val="0"/>
                      <w:sz w:val="21"/>
                      <w:szCs w:val="21"/>
                      <w:lang w:val="en-US" w:eastAsia="zh-CN" w:bidi="ar"/>
                    </w:rPr>
                    <w:t>有组织颗粒物</w:t>
                  </w:r>
                </w:p>
              </w:tc>
              <w:tc>
                <w:tcPr>
                  <w:tcW w:w="2096" w:type="dxa"/>
                </w:tcPr>
                <w:p w14:paraId="3D2A729F">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sz w:val="21"/>
                      <w:szCs w:val="21"/>
                      <w:highlight w:val="none"/>
                      <w:vertAlign w:val="baseline"/>
                      <w:lang w:val="en-US" w:eastAsia="zh-CN"/>
                    </w:rPr>
                  </w:pPr>
                  <w:r>
                    <w:rPr>
                      <w:rFonts w:hint="eastAsia" w:cs="Times New Roman"/>
                      <w:b w:val="0"/>
                      <w:bCs w:val="0"/>
                      <w:snapToGrid w:val="0"/>
                      <w:color w:val="auto"/>
                      <w:sz w:val="21"/>
                      <w:szCs w:val="21"/>
                      <w:highlight w:val="none"/>
                      <w:vertAlign w:val="baseline"/>
                      <w:lang w:val="en-US" w:eastAsia="zh-CN"/>
                    </w:rPr>
                    <w:t>0.108</w:t>
                  </w:r>
                </w:p>
              </w:tc>
            </w:tr>
            <w:tr w14:paraId="44643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9" w:type="dxa"/>
                  <w:shd w:val="clear" w:color="auto" w:fill="auto"/>
                  <w:vAlign w:val="center"/>
                </w:tcPr>
                <w:p w14:paraId="6E1FCB5C">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bCs/>
                      <w:color w:val="auto"/>
                      <w:sz w:val="21"/>
                      <w:szCs w:val="21"/>
                      <w:highlight w:val="none"/>
                      <w:lang w:val="en-US" w:eastAsia="zh-CN"/>
                    </w:rPr>
                    <w:t>白</w:t>
                  </w:r>
                  <w:r>
                    <w:rPr>
                      <w:rFonts w:hint="default" w:ascii="Times New Roman" w:hAnsi="Times New Roman" w:eastAsia="宋体" w:cs="Times New Roman"/>
                      <w:bCs/>
                      <w:color w:val="auto"/>
                      <w:sz w:val="21"/>
                      <w:szCs w:val="21"/>
                      <w:highlight w:val="none"/>
                    </w:rPr>
                    <w:t>色</w:t>
                  </w:r>
                  <w:r>
                    <w:rPr>
                      <w:rFonts w:hint="default" w:ascii="Times New Roman" w:hAnsi="Times New Roman" w:eastAsia="宋体" w:cs="Times New Roman"/>
                      <w:snapToGrid w:val="0"/>
                      <w:color w:val="auto"/>
                      <w:kern w:val="0"/>
                      <w:sz w:val="21"/>
                      <w:szCs w:val="21"/>
                      <w:highlight w:val="none"/>
                    </w:rPr>
                    <w:t>母</w:t>
                  </w:r>
                  <w:r>
                    <w:rPr>
                      <w:rFonts w:hint="default" w:ascii="Times New Roman" w:hAnsi="Times New Roman" w:eastAsia="宋体" w:cs="Times New Roman"/>
                      <w:bCs/>
                      <w:color w:val="auto"/>
                      <w:kern w:val="2"/>
                      <w:sz w:val="21"/>
                      <w:szCs w:val="21"/>
                      <w:highlight w:val="none"/>
                      <w:lang w:val="en-US" w:eastAsia="zh-CN" w:bidi="ar-SA"/>
                    </w:rPr>
                    <w:t>粒</w:t>
                  </w:r>
                </w:p>
              </w:tc>
              <w:tc>
                <w:tcPr>
                  <w:tcW w:w="1393" w:type="dxa"/>
                  <w:shd w:val="clear" w:color="auto" w:fill="auto"/>
                  <w:vAlign w:val="center"/>
                </w:tcPr>
                <w:p w14:paraId="46FB04AC">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shd w:val="clear" w:color="auto" w:fill="FFFFFF"/>
                      <w:lang w:val="en-US" w:eastAsia="zh-CN" w:bidi="ar-SA"/>
                    </w:rPr>
                  </w:pPr>
                  <w:r>
                    <w:rPr>
                      <w:rFonts w:hint="eastAsia" w:cs="Times New Roman"/>
                      <w:bCs/>
                      <w:color w:val="auto"/>
                      <w:sz w:val="21"/>
                      <w:szCs w:val="21"/>
                      <w:highlight w:val="none"/>
                      <w:shd w:val="clear" w:color="auto" w:fill="FFFFFF"/>
                      <w:lang w:val="en-US" w:eastAsia="zh-CN"/>
                    </w:rPr>
                    <w:t>3</w:t>
                  </w:r>
                </w:p>
              </w:tc>
              <w:tc>
                <w:tcPr>
                  <w:tcW w:w="2523" w:type="dxa"/>
                  <w:shd w:val="clear" w:color="auto" w:fill="auto"/>
                  <w:vAlign w:val="center"/>
                </w:tcPr>
                <w:p w14:paraId="5B8DCE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
                    </w:rPr>
                  </w:pPr>
                  <w:r>
                    <w:rPr>
                      <w:rFonts w:hint="eastAsia" w:cs="Times New Roman"/>
                      <w:b w:val="0"/>
                      <w:bCs w:val="0"/>
                      <w:color w:val="auto"/>
                      <w:kern w:val="0"/>
                      <w:sz w:val="21"/>
                      <w:szCs w:val="21"/>
                      <w:lang w:val="en-US" w:eastAsia="zh-CN" w:bidi="ar"/>
                    </w:rPr>
                    <w:t>无组织颗粒物</w:t>
                  </w:r>
                </w:p>
              </w:tc>
              <w:tc>
                <w:tcPr>
                  <w:tcW w:w="2096" w:type="dxa"/>
                  <w:shd w:val="clear" w:color="auto" w:fill="auto"/>
                  <w:vAlign w:val="top"/>
                </w:tcPr>
                <w:p w14:paraId="58FCBC76">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2"/>
                      <w:sz w:val="21"/>
                      <w:szCs w:val="21"/>
                      <w:highlight w:val="none"/>
                      <w:vertAlign w:val="baseline"/>
                      <w:lang w:val="en-US" w:eastAsia="zh-CN" w:bidi="ar-SA"/>
                    </w:rPr>
                  </w:pPr>
                  <w:r>
                    <w:rPr>
                      <w:rFonts w:hint="eastAsia" w:cs="Times New Roman"/>
                      <w:b w:val="0"/>
                      <w:bCs w:val="0"/>
                      <w:snapToGrid w:val="0"/>
                      <w:color w:val="auto"/>
                      <w:sz w:val="21"/>
                      <w:szCs w:val="21"/>
                      <w:highlight w:val="none"/>
                      <w:vertAlign w:val="baseline"/>
                      <w:lang w:val="en-US" w:eastAsia="zh-CN"/>
                    </w:rPr>
                    <w:t>1.2</w:t>
                  </w:r>
                </w:p>
              </w:tc>
            </w:tr>
            <w:tr w14:paraId="07BB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9" w:type="dxa"/>
                  <w:shd w:val="clear" w:color="auto" w:fill="auto"/>
                  <w:vAlign w:val="center"/>
                </w:tcPr>
                <w:p w14:paraId="30C9DDD5">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复合抗氧剂</w:t>
                  </w:r>
                </w:p>
              </w:tc>
              <w:tc>
                <w:tcPr>
                  <w:tcW w:w="1393" w:type="dxa"/>
                  <w:shd w:val="clear" w:color="auto" w:fill="auto"/>
                  <w:vAlign w:val="center"/>
                </w:tcPr>
                <w:p w14:paraId="70B8C587">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shd w:val="clear" w:color="auto" w:fill="FFFFFF"/>
                      <w:lang w:val="en-US" w:eastAsia="zh-CN" w:bidi="ar-SA"/>
                    </w:rPr>
                  </w:pPr>
                  <w:r>
                    <w:rPr>
                      <w:rFonts w:hint="eastAsia" w:cs="Times New Roman"/>
                      <w:bCs/>
                      <w:color w:val="auto"/>
                      <w:sz w:val="21"/>
                      <w:szCs w:val="21"/>
                      <w:highlight w:val="none"/>
                      <w:shd w:val="clear" w:color="auto" w:fill="FFFFFF"/>
                      <w:lang w:val="en-US" w:eastAsia="zh-CN"/>
                    </w:rPr>
                    <w:t>2</w:t>
                  </w:r>
                </w:p>
              </w:tc>
              <w:tc>
                <w:tcPr>
                  <w:tcW w:w="2523" w:type="dxa"/>
                </w:tcPr>
                <w:p w14:paraId="5777C2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sz w:val="21"/>
                      <w:szCs w:val="21"/>
                      <w:highlight w:val="none"/>
                      <w:vertAlign w:val="baseline"/>
                      <w:lang w:val="en-US" w:eastAsia="zh-CN"/>
                    </w:rPr>
                  </w:pPr>
                  <w:r>
                    <w:rPr>
                      <w:rFonts w:hint="eastAsia" w:cs="Times New Roman"/>
                      <w:b w:val="0"/>
                      <w:bCs w:val="0"/>
                      <w:snapToGrid w:val="0"/>
                      <w:color w:val="auto"/>
                      <w:sz w:val="21"/>
                      <w:szCs w:val="21"/>
                      <w:highlight w:val="none"/>
                      <w:vertAlign w:val="baseline"/>
                      <w:lang w:val="en-US" w:eastAsia="zh-CN"/>
                    </w:rPr>
                    <w:t>除尘灰</w:t>
                  </w:r>
                </w:p>
              </w:tc>
              <w:tc>
                <w:tcPr>
                  <w:tcW w:w="2096" w:type="dxa"/>
                </w:tcPr>
                <w:p w14:paraId="1A438522">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sz w:val="21"/>
                      <w:szCs w:val="21"/>
                      <w:highlight w:val="none"/>
                      <w:vertAlign w:val="baseline"/>
                      <w:lang w:val="en-US" w:eastAsia="zh-CN"/>
                    </w:rPr>
                  </w:pPr>
                  <w:r>
                    <w:rPr>
                      <w:rFonts w:hint="eastAsia" w:cs="Times New Roman"/>
                      <w:b w:val="0"/>
                      <w:bCs w:val="0"/>
                      <w:snapToGrid w:val="0"/>
                      <w:color w:val="auto"/>
                      <w:sz w:val="21"/>
                      <w:szCs w:val="21"/>
                      <w:highlight w:val="none"/>
                      <w:vertAlign w:val="baseline"/>
                      <w:lang w:val="en-US" w:eastAsia="zh-CN"/>
                    </w:rPr>
                    <w:t>10.692</w:t>
                  </w:r>
                </w:p>
              </w:tc>
            </w:tr>
            <w:tr w14:paraId="5671A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9" w:type="dxa"/>
                  <w:shd w:val="clear" w:color="auto" w:fill="auto"/>
                  <w:vAlign w:val="center"/>
                </w:tcPr>
                <w:p w14:paraId="55DBBF4B">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光亮 / 增白母粒</w:t>
                  </w:r>
                </w:p>
              </w:tc>
              <w:tc>
                <w:tcPr>
                  <w:tcW w:w="1393" w:type="dxa"/>
                  <w:shd w:val="clear" w:color="auto" w:fill="auto"/>
                  <w:vAlign w:val="center"/>
                </w:tcPr>
                <w:p w14:paraId="4453B16B">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shd w:val="clear" w:color="auto" w:fill="FFFFFF"/>
                      <w:lang w:val="en-US" w:eastAsia="zh-CN" w:bidi="ar-SA"/>
                    </w:rPr>
                  </w:pPr>
                  <w:r>
                    <w:rPr>
                      <w:rFonts w:hint="eastAsia" w:cs="Times New Roman"/>
                      <w:bCs/>
                      <w:color w:val="auto"/>
                      <w:sz w:val="21"/>
                      <w:szCs w:val="21"/>
                      <w:highlight w:val="none"/>
                      <w:shd w:val="clear" w:color="auto" w:fill="FFFFFF"/>
                      <w:lang w:val="en-US" w:eastAsia="zh-CN"/>
                    </w:rPr>
                    <w:t>2</w:t>
                  </w:r>
                </w:p>
              </w:tc>
              <w:tc>
                <w:tcPr>
                  <w:tcW w:w="2523" w:type="dxa"/>
                  <w:shd w:val="clear" w:color="auto" w:fill="auto"/>
                  <w:vAlign w:val="center"/>
                </w:tcPr>
                <w:p w14:paraId="767147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lang w:val="en-US" w:eastAsia="zh-CN" w:bidi="ar"/>
                    </w:rPr>
                  </w:pPr>
                  <w:r>
                    <w:rPr>
                      <w:rFonts w:hint="eastAsia" w:cs="Times New Roman"/>
                      <w:b w:val="0"/>
                      <w:bCs w:val="0"/>
                      <w:color w:val="auto"/>
                      <w:kern w:val="0"/>
                      <w:sz w:val="21"/>
                      <w:szCs w:val="21"/>
                      <w:lang w:val="en-US" w:eastAsia="zh-CN" w:bidi="ar"/>
                    </w:rPr>
                    <w:t>有组织</w:t>
                  </w:r>
                  <w:r>
                    <w:rPr>
                      <w:rFonts w:hint="eastAsia" w:ascii="Times New Roman" w:hAnsi="Times New Roman" w:eastAsia="宋体" w:cs="Times New Roman"/>
                      <w:b w:val="0"/>
                      <w:bCs w:val="0"/>
                      <w:color w:val="auto"/>
                      <w:kern w:val="0"/>
                      <w:sz w:val="21"/>
                      <w:szCs w:val="21"/>
                      <w:lang w:val="en-US" w:eastAsia="zh-CN" w:bidi="ar"/>
                    </w:rPr>
                    <w:t>非甲烷总烃</w:t>
                  </w:r>
                </w:p>
              </w:tc>
              <w:tc>
                <w:tcPr>
                  <w:tcW w:w="2096" w:type="dxa"/>
                </w:tcPr>
                <w:p w14:paraId="371B1AB0">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sz w:val="21"/>
                      <w:szCs w:val="21"/>
                      <w:highlight w:val="none"/>
                      <w:vertAlign w:val="baseline"/>
                      <w:lang w:val="en-US" w:eastAsia="zh-CN"/>
                    </w:rPr>
                  </w:pPr>
                  <w:r>
                    <w:rPr>
                      <w:rFonts w:hint="eastAsia" w:cs="Times New Roman"/>
                      <w:b w:val="0"/>
                      <w:bCs w:val="0"/>
                      <w:snapToGrid w:val="0"/>
                      <w:color w:val="auto"/>
                      <w:sz w:val="21"/>
                      <w:szCs w:val="21"/>
                      <w:highlight w:val="none"/>
                      <w:vertAlign w:val="baseline"/>
                      <w:lang w:val="en-US" w:eastAsia="zh-CN"/>
                    </w:rPr>
                    <w:t>1.64</w:t>
                  </w:r>
                </w:p>
              </w:tc>
            </w:tr>
            <w:tr w14:paraId="21E7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9" w:type="dxa"/>
                  <w:shd w:val="clear" w:color="auto" w:fill="auto"/>
                  <w:vAlign w:val="center"/>
                </w:tcPr>
                <w:p w14:paraId="5135659E">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HDPE（管材级）</w:t>
                  </w:r>
                </w:p>
              </w:tc>
              <w:tc>
                <w:tcPr>
                  <w:tcW w:w="1393" w:type="dxa"/>
                  <w:shd w:val="clear" w:color="auto" w:fill="auto"/>
                  <w:vAlign w:val="center"/>
                </w:tcPr>
                <w:p w14:paraId="0C3BE8EE">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shd w:val="clear" w:color="auto" w:fill="FFFFFF"/>
                      <w:lang w:val="en-US" w:eastAsia="zh-CN" w:bidi="ar-SA"/>
                    </w:rPr>
                  </w:pPr>
                  <w:r>
                    <w:rPr>
                      <w:rFonts w:hint="eastAsia" w:cs="Times New Roman"/>
                      <w:bCs/>
                      <w:color w:val="auto"/>
                      <w:sz w:val="21"/>
                      <w:szCs w:val="21"/>
                      <w:highlight w:val="none"/>
                      <w:shd w:val="clear" w:color="auto" w:fill="FFFFFF"/>
                      <w:lang w:val="en-US" w:eastAsia="zh-CN"/>
                    </w:rPr>
                    <w:t>722</w:t>
                  </w:r>
                </w:p>
              </w:tc>
              <w:tc>
                <w:tcPr>
                  <w:tcW w:w="2523" w:type="dxa"/>
                  <w:shd w:val="clear" w:color="auto" w:fill="auto"/>
                  <w:vAlign w:val="center"/>
                </w:tcPr>
                <w:p w14:paraId="7330BF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lang w:val="en-US" w:eastAsia="zh-CN" w:bidi="ar"/>
                    </w:rPr>
                  </w:pPr>
                  <w:r>
                    <w:rPr>
                      <w:rFonts w:hint="eastAsia" w:cs="Times New Roman"/>
                      <w:b w:val="0"/>
                      <w:bCs w:val="0"/>
                      <w:color w:val="auto"/>
                      <w:kern w:val="0"/>
                      <w:sz w:val="21"/>
                      <w:szCs w:val="21"/>
                      <w:lang w:val="en-US" w:eastAsia="zh-CN" w:bidi="ar"/>
                    </w:rPr>
                    <w:t>无组织</w:t>
                  </w:r>
                  <w:r>
                    <w:rPr>
                      <w:rFonts w:hint="eastAsia" w:ascii="Times New Roman" w:hAnsi="Times New Roman" w:eastAsia="宋体" w:cs="Times New Roman"/>
                      <w:b w:val="0"/>
                      <w:bCs w:val="0"/>
                      <w:color w:val="auto"/>
                      <w:kern w:val="0"/>
                      <w:sz w:val="21"/>
                      <w:szCs w:val="21"/>
                      <w:lang w:val="en-US" w:eastAsia="zh-CN" w:bidi="ar"/>
                    </w:rPr>
                    <w:t>非甲烷总烃</w:t>
                  </w:r>
                </w:p>
              </w:tc>
              <w:tc>
                <w:tcPr>
                  <w:tcW w:w="2096" w:type="dxa"/>
                </w:tcPr>
                <w:p w14:paraId="1D152968">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sz w:val="21"/>
                      <w:szCs w:val="21"/>
                      <w:highlight w:val="none"/>
                      <w:vertAlign w:val="baseline"/>
                      <w:lang w:val="en-US" w:eastAsia="zh-CN"/>
                    </w:rPr>
                  </w:pPr>
                  <w:r>
                    <w:rPr>
                      <w:rFonts w:hint="eastAsia" w:cs="Times New Roman"/>
                      <w:b w:val="0"/>
                      <w:bCs w:val="0"/>
                      <w:snapToGrid w:val="0"/>
                      <w:color w:val="auto"/>
                      <w:sz w:val="21"/>
                      <w:szCs w:val="21"/>
                      <w:highlight w:val="none"/>
                      <w:vertAlign w:val="baseline"/>
                      <w:lang w:val="en-US" w:eastAsia="zh-CN"/>
                    </w:rPr>
                    <w:t>0.52</w:t>
                  </w:r>
                </w:p>
              </w:tc>
            </w:tr>
            <w:tr w14:paraId="7DD4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9" w:type="dxa"/>
                  <w:shd w:val="clear" w:color="auto" w:fill="auto"/>
                  <w:vAlign w:val="center"/>
                </w:tcPr>
                <w:p w14:paraId="74373A5F">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LLDPE（挤出级）</w:t>
                  </w:r>
                </w:p>
              </w:tc>
              <w:tc>
                <w:tcPr>
                  <w:tcW w:w="1393" w:type="dxa"/>
                  <w:shd w:val="clear" w:color="auto" w:fill="auto"/>
                  <w:vAlign w:val="center"/>
                </w:tcPr>
                <w:p w14:paraId="770FDDE3">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shd w:val="clear" w:color="auto" w:fill="FFFFFF"/>
                      <w:lang w:val="en-US" w:eastAsia="zh-CN" w:bidi="ar-SA"/>
                    </w:rPr>
                  </w:pPr>
                  <w:r>
                    <w:rPr>
                      <w:rFonts w:hint="eastAsia" w:cs="Times New Roman"/>
                      <w:bCs/>
                      <w:color w:val="auto"/>
                      <w:sz w:val="21"/>
                      <w:szCs w:val="21"/>
                      <w:highlight w:val="none"/>
                      <w:shd w:val="clear" w:color="auto" w:fill="FFFFFF"/>
                      <w:lang w:val="en-US" w:eastAsia="zh-CN"/>
                    </w:rPr>
                    <w:t>257</w:t>
                  </w:r>
                </w:p>
              </w:tc>
              <w:tc>
                <w:tcPr>
                  <w:tcW w:w="2523" w:type="dxa"/>
                  <w:shd w:val="clear" w:color="auto" w:fill="auto"/>
                  <w:vAlign w:val="top"/>
                </w:tcPr>
                <w:p w14:paraId="6EA51A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收集的非甲烷总烃</w:t>
                  </w:r>
                </w:p>
              </w:tc>
              <w:tc>
                <w:tcPr>
                  <w:tcW w:w="2096" w:type="dxa"/>
                  <w:shd w:val="clear" w:color="auto" w:fill="auto"/>
                  <w:vAlign w:val="top"/>
                </w:tcPr>
                <w:p w14:paraId="15292910">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snapToGrid w:val="0"/>
                      <w:color w:val="auto"/>
                      <w:kern w:val="2"/>
                      <w:sz w:val="21"/>
                      <w:szCs w:val="21"/>
                      <w:highlight w:val="none"/>
                      <w:vertAlign w:val="baseline"/>
                      <w:lang w:val="en-US" w:eastAsia="zh-CN" w:bidi="ar-SA"/>
                    </w:rPr>
                    <w:t>3.04</w:t>
                  </w:r>
                </w:p>
              </w:tc>
            </w:tr>
            <w:tr w14:paraId="756E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69" w:type="dxa"/>
                  <w:shd w:val="clear" w:color="auto" w:fill="auto"/>
                  <w:vAlign w:val="center"/>
                </w:tcPr>
                <w:p w14:paraId="1731F51E">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LDPE（少量）</w:t>
                  </w:r>
                </w:p>
              </w:tc>
              <w:tc>
                <w:tcPr>
                  <w:tcW w:w="1393" w:type="dxa"/>
                  <w:shd w:val="clear" w:color="auto" w:fill="auto"/>
                  <w:vAlign w:val="center"/>
                </w:tcPr>
                <w:p w14:paraId="65587FC5">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shd w:val="clear" w:color="auto" w:fill="FFFFFF"/>
                      <w:lang w:val="en-US" w:eastAsia="zh-CN" w:bidi="ar-SA"/>
                    </w:rPr>
                  </w:pPr>
                  <w:r>
                    <w:rPr>
                      <w:rFonts w:hint="eastAsia" w:cs="Times New Roman"/>
                      <w:bCs/>
                      <w:color w:val="auto"/>
                      <w:sz w:val="21"/>
                      <w:szCs w:val="21"/>
                      <w:highlight w:val="none"/>
                      <w:shd w:val="clear" w:color="auto" w:fill="FFFFFF"/>
                      <w:lang w:val="en-US" w:eastAsia="zh-CN"/>
                    </w:rPr>
                    <w:t>10.3</w:t>
                  </w:r>
                </w:p>
              </w:tc>
              <w:tc>
                <w:tcPr>
                  <w:tcW w:w="2523" w:type="dxa"/>
                  <w:shd w:val="clear" w:color="auto" w:fill="auto"/>
                  <w:vAlign w:val="top"/>
                </w:tcPr>
                <w:p w14:paraId="18ADD8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不合格产品</w:t>
                  </w:r>
                  <w:r>
                    <w:rPr>
                      <w:rFonts w:hint="eastAsia" w:cs="Times New Roman"/>
                      <w:b w:val="0"/>
                      <w:bCs w:val="0"/>
                      <w:color w:val="auto"/>
                      <w:kern w:val="0"/>
                      <w:sz w:val="21"/>
                      <w:szCs w:val="21"/>
                      <w:lang w:val="en-US" w:eastAsia="zh-CN" w:bidi="ar"/>
                    </w:rPr>
                    <w:t>/边角料</w:t>
                  </w:r>
                </w:p>
              </w:tc>
              <w:tc>
                <w:tcPr>
                  <w:tcW w:w="2096" w:type="dxa"/>
                  <w:shd w:val="clear" w:color="auto" w:fill="auto"/>
                  <w:vAlign w:val="top"/>
                </w:tcPr>
                <w:p w14:paraId="104F70C8">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snapToGrid w:val="0"/>
                      <w:color w:val="auto"/>
                      <w:sz w:val="21"/>
                      <w:szCs w:val="21"/>
                      <w:highlight w:val="none"/>
                      <w:vertAlign w:val="baseline"/>
                      <w:lang w:val="en-US" w:eastAsia="zh-CN"/>
                    </w:rPr>
                    <w:t>17.866</w:t>
                  </w:r>
                </w:p>
              </w:tc>
            </w:tr>
            <w:tr w14:paraId="26B46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9" w:type="dxa"/>
                  <w:shd w:val="clear" w:color="auto" w:fill="auto"/>
                  <w:vAlign w:val="center"/>
                </w:tcPr>
                <w:p w14:paraId="314A0A97">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炭黑母粒（UV）</w:t>
                  </w:r>
                </w:p>
              </w:tc>
              <w:tc>
                <w:tcPr>
                  <w:tcW w:w="1393" w:type="dxa"/>
                  <w:shd w:val="clear" w:color="auto" w:fill="auto"/>
                  <w:vAlign w:val="center"/>
                </w:tcPr>
                <w:p w14:paraId="42870C42">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shd w:val="clear" w:color="auto" w:fill="FFFFFF"/>
                      <w:lang w:val="en-US" w:eastAsia="zh-CN" w:bidi="ar-SA"/>
                    </w:rPr>
                  </w:pPr>
                  <w:r>
                    <w:rPr>
                      <w:rFonts w:hint="eastAsia" w:cs="Times New Roman"/>
                      <w:bCs/>
                      <w:color w:val="auto"/>
                      <w:sz w:val="21"/>
                      <w:szCs w:val="21"/>
                      <w:highlight w:val="none"/>
                      <w:shd w:val="clear" w:color="auto" w:fill="FFFFFF"/>
                      <w:lang w:val="en-US" w:eastAsia="zh-CN"/>
                    </w:rPr>
                    <w:t>21.766</w:t>
                  </w:r>
                </w:p>
              </w:tc>
              <w:tc>
                <w:tcPr>
                  <w:tcW w:w="2523" w:type="dxa"/>
                  <w:shd w:val="clear" w:color="auto" w:fill="auto"/>
                  <w:vAlign w:val="top"/>
                </w:tcPr>
                <w:p w14:paraId="3F7D2C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2"/>
                      <w:sz w:val="21"/>
                      <w:szCs w:val="21"/>
                      <w:highlight w:val="none"/>
                      <w:vertAlign w:val="baseline"/>
                      <w:lang w:val="en-US" w:eastAsia="zh-CN" w:bidi="ar-SA"/>
                    </w:rPr>
                  </w:pPr>
                </w:p>
              </w:tc>
              <w:tc>
                <w:tcPr>
                  <w:tcW w:w="2096" w:type="dxa"/>
                  <w:shd w:val="clear" w:color="auto" w:fill="auto"/>
                  <w:vAlign w:val="top"/>
                </w:tcPr>
                <w:p w14:paraId="201DC3F2">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2"/>
                      <w:sz w:val="21"/>
                      <w:szCs w:val="21"/>
                      <w:highlight w:val="none"/>
                      <w:vertAlign w:val="baseline"/>
                      <w:lang w:val="en-US" w:eastAsia="zh-CN" w:bidi="ar-SA"/>
                    </w:rPr>
                  </w:pPr>
                </w:p>
              </w:tc>
            </w:tr>
            <w:tr w14:paraId="40C5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9" w:type="dxa"/>
                  <w:shd w:val="clear" w:color="auto" w:fill="auto"/>
                  <w:vAlign w:val="center"/>
                </w:tcPr>
                <w:p w14:paraId="29A0857E">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复合抗氧剂</w:t>
                  </w:r>
                </w:p>
              </w:tc>
              <w:tc>
                <w:tcPr>
                  <w:tcW w:w="1393" w:type="dxa"/>
                  <w:shd w:val="clear" w:color="auto" w:fill="auto"/>
                  <w:vAlign w:val="center"/>
                </w:tcPr>
                <w:p w14:paraId="4E7B860C">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shd w:val="clear" w:color="auto" w:fill="FFFFFF"/>
                      <w:lang w:val="en-US" w:eastAsia="zh-CN" w:bidi="ar-SA"/>
                    </w:rPr>
                  </w:pPr>
                  <w:r>
                    <w:rPr>
                      <w:rFonts w:hint="eastAsia" w:cs="Times New Roman"/>
                      <w:bCs/>
                      <w:color w:val="auto"/>
                      <w:sz w:val="21"/>
                      <w:szCs w:val="21"/>
                      <w:highlight w:val="none"/>
                      <w:shd w:val="clear" w:color="auto" w:fill="FFFFFF"/>
                      <w:lang w:val="en-US" w:eastAsia="zh-CN"/>
                    </w:rPr>
                    <w:t>4</w:t>
                  </w:r>
                </w:p>
              </w:tc>
              <w:tc>
                <w:tcPr>
                  <w:tcW w:w="2523" w:type="dxa"/>
                </w:tcPr>
                <w:p w14:paraId="1A3F2B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lang w:val="en-US" w:eastAsia="zh-CN" w:bidi="ar"/>
                    </w:rPr>
                  </w:pPr>
                </w:p>
              </w:tc>
              <w:tc>
                <w:tcPr>
                  <w:tcW w:w="2096" w:type="dxa"/>
                </w:tcPr>
                <w:p w14:paraId="6D6A0059">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sz w:val="21"/>
                      <w:szCs w:val="21"/>
                      <w:highlight w:val="none"/>
                      <w:vertAlign w:val="baseline"/>
                      <w:lang w:val="en-US" w:eastAsia="zh-CN"/>
                    </w:rPr>
                  </w:pPr>
                </w:p>
              </w:tc>
            </w:tr>
            <w:tr w14:paraId="0F05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9" w:type="dxa"/>
                  <w:shd w:val="clear" w:color="auto" w:fill="auto"/>
                  <w:vAlign w:val="center"/>
                </w:tcPr>
                <w:p w14:paraId="60A4863C">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分散剂</w:t>
                  </w:r>
                </w:p>
              </w:tc>
              <w:tc>
                <w:tcPr>
                  <w:tcW w:w="1393" w:type="dxa"/>
                  <w:shd w:val="clear" w:color="auto" w:fill="auto"/>
                  <w:vAlign w:val="center"/>
                </w:tcPr>
                <w:p w14:paraId="24313D4F">
                  <w:pPr>
                    <w:keepNext w:val="0"/>
                    <w:keepLines w:val="0"/>
                    <w:pageBreakBefore w:val="0"/>
                    <w:kinsoku/>
                    <w:wordWrap/>
                    <w:overflowPunct w:val="0"/>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shd w:val="clear" w:color="auto" w:fill="FFFFFF"/>
                      <w:lang w:val="en-US" w:eastAsia="zh-CN" w:bidi="ar-SA"/>
                    </w:rPr>
                  </w:pPr>
                  <w:r>
                    <w:rPr>
                      <w:rFonts w:hint="eastAsia" w:cs="Times New Roman"/>
                      <w:bCs/>
                      <w:color w:val="auto"/>
                      <w:sz w:val="21"/>
                      <w:szCs w:val="21"/>
                      <w:highlight w:val="none"/>
                      <w:shd w:val="clear" w:color="auto" w:fill="FFFFFF"/>
                      <w:lang w:val="en-US" w:eastAsia="zh-CN"/>
                    </w:rPr>
                    <w:t>2</w:t>
                  </w:r>
                </w:p>
              </w:tc>
              <w:tc>
                <w:tcPr>
                  <w:tcW w:w="2523" w:type="dxa"/>
                </w:tcPr>
                <w:p w14:paraId="7F6D14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lang w:val="en-US" w:eastAsia="zh-CN" w:bidi="ar"/>
                    </w:rPr>
                  </w:pPr>
                </w:p>
              </w:tc>
              <w:tc>
                <w:tcPr>
                  <w:tcW w:w="2096" w:type="dxa"/>
                </w:tcPr>
                <w:p w14:paraId="4371727A">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sz w:val="21"/>
                      <w:szCs w:val="21"/>
                      <w:highlight w:val="none"/>
                      <w:vertAlign w:val="baseline"/>
                      <w:lang w:val="en-US" w:eastAsia="zh-CN"/>
                    </w:rPr>
                  </w:pPr>
                </w:p>
              </w:tc>
            </w:tr>
            <w:tr w14:paraId="2E51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9" w:type="dxa"/>
                  <w:vAlign w:val="center"/>
                </w:tcPr>
                <w:p w14:paraId="6E58B70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合计</w:t>
                  </w:r>
                </w:p>
              </w:tc>
              <w:tc>
                <w:tcPr>
                  <w:tcW w:w="1393" w:type="dxa"/>
                </w:tcPr>
                <w:p w14:paraId="4CF7EEF8">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sz w:val="21"/>
                      <w:szCs w:val="21"/>
                      <w:highlight w:val="none"/>
                      <w:vertAlign w:val="baseline"/>
                      <w:lang w:val="en-US" w:eastAsia="zh-CN"/>
                    </w:rPr>
                  </w:pPr>
                  <w:r>
                    <w:rPr>
                      <w:rFonts w:hint="eastAsia" w:ascii="Times New Roman" w:hAnsi="Times New Roman" w:eastAsia="宋体" w:cs="Times New Roman"/>
                      <w:b w:val="0"/>
                      <w:bCs w:val="0"/>
                      <w:snapToGrid w:val="0"/>
                      <w:color w:val="auto"/>
                      <w:sz w:val="21"/>
                      <w:szCs w:val="21"/>
                      <w:highlight w:val="none"/>
                      <w:vertAlign w:val="baseline"/>
                      <w:lang w:val="en-US" w:eastAsia="zh-CN"/>
                    </w:rPr>
                    <w:t>203</w:t>
                  </w:r>
                  <w:r>
                    <w:rPr>
                      <w:rFonts w:hint="eastAsia" w:cs="Times New Roman"/>
                      <w:b w:val="0"/>
                      <w:bCs w:val="0"/>
                      <w:snapToGrid w:val="0"/>
                      <w:color w:val="auto"/>
                      <w:sz w:val="21"/>
                      <w:szCs w:val="21"/>
                      <w:highlight w:val="none"/>
                      <w:vertAlign w:val="baseline"/>
                      <w:lang w:val="en-US" w:eastAsia="zh-CN"/>
                    </w:rPr>
                    <w:t>5.066</w:t>
                  </w:r>
                </w:p>
              </w:tc>
              <w:tc>
                <w:tcPr>
                  <w:tcW w:w="2523" w:type="dxa"/>
                </w:tcPr>
                <w:p w14:paraId="1CC941AF">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sz w:val="21"/>
                      <w:szCs w:val="21"/>
                      <w:highlight w:val="none"/>
                      <w:vertAlign w:val="baseline"/>
                    </w:rPr>
                  </w:pPr>
                </w:p>
              </w:tc>
              <w:tc>
                <w:tcPr>
                  <w:tcW w:w="2096" w:type="dxa"/>
                </w:tcPr>
                <w:p w14:paraId="3EBFEC7A">
                  <w:pPr>
                    <w:pStyle w:val="11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sz w:val="21"/>
                      <w:szCs w:val="21"/>
                      <w:highlight w:val="none"/>
                      <w:vertAlign w:val="baseline"/>
                      <w:lang w:val="en-US" w:eastAsia="zh-CN"/>
                    </w:rPr>
                  </w:pPr>
                  <w:r>
                    <w:rPr>
                      <w:rFonts w:hint="eastAsia" w:cs="Times New Roman"/>
                      <w:b w:val="0"/>
                      <w:bCs w:val="0"/>
                      <w:snapToGrid w:val="0"/>
                      <w:color w:val="auto"/>
                      <w:sz w:val="21"/>
                      <w:szCs w:val="21"/>
                      <w:highlight w:val="none"/>
                      <w:vertAlign w:val="baseline"/>
                      <w:lang w:val="en-US" w:eastAsia="zh-CN"/>
                    </w:rPr>
                    <w:t>2035.066</w:t>
                  </w:r>
                </w:p>
              </w:tc>
            </w:tr>
          </w:tbl>
          <w:p w14:paraId="4E7AD1A9">
            <w:pPr>
              <w:pStyle w:val="116"/>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firstLine="0" w:firstLineChars="0"/>
              <w:textAlignment w:val="auto"/>
              <w:rPr>
                <w:rFonts w:hint="default" w:eastAsia="宋体"/>
                <w:b/>
                <w:snapToGrid w:val="0"/>
                <w:color w:val="auto"/>
                <w:szCs w:val="24"/>
                <w:highlight w:val="none"/>
                <w:lang w:val="en-US" w:eastAsia="zh-CN"/>
              </w:rPr>
            </w:pPr>
            <w:r>
              <w:rPr>
                <w:rFonts w:hint="eastAsia"/>
                <w:b/>
                <w:snapToGrid w:val="0"/>
                <w:color w:val="auto"/>
                <w:szCs w:val="24"/>
                <w:highlight w:val="none"/>
                <w:lang w:val="en-US" w:eastAsia="zh-CN"/>
              </w:rPr>
              <w:t>7、能源消耗</w:t>
            </w:r>
          </w:p>
          <w:p w14:paraId="6435523A">
            <w:pPr>
              <w:pStyle w:val="1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val="0"/>
                <w:bCs/>
                <w:snapToGrid w:val="0"/>
                <w:color w:val="auto"/>
                <w:szCs w:val="24"/>
                <w:highlight w:val="none"/>
                <w:lang w:val="en-US" w:eastAsia="zh-CN"/>
              </w:rPr>
            </w:pPr>
            <w:r>
              <w:rPr>
                <w:rFonts w:hint="eastAsia"/>
                <w:b w:val="0"/>
                <w:bCs/>
                <w:snapToGrid w:val="0"/>
                <w:color w:val="auto"/>
                <w:szCs w:val="24"/>
                <w:highlight w:val="none"/>
                <w:lang w:val="en-US" w:eastAsia="zh-CN"/>
              </w:rPr>
              <w:t>项目使用的能源相对简单，详见表2-7，</w:t>
            </w:r>
          </w:p>
          <w:p w14:paraId="38E4B451">
            <w:pPr>
              <w:pStyle w:val="116"/>
              <w:spacing w:line="500" w:lineRule="exact"/>
              <w:ind w:firstLine="0" w:firstLineChars="0"/>
              <w:jc w:val="center"/>
              <w:rPr>
                <w:rFonts w:hint="default" w:eastAsia="宋体"/>
                <w:b/>
                <w:bCs w:val="0"/>
                <w:snapToGrid w:val="0"/>
                <w:color w:val="auto"/>
                <w:szCs w:val="24"/>
                <w:highlight w:val="none"/>
                <w:lang w:val="en-US" w:eastAsia="zh-CN"/>
              </w:rPr>
            </w:pPr>
            <w:r>
              <w:rPr>
                <w:rFonts w:hint="eastAsia"/>
                <w:b/>
                <w:bCs w:val="0"/>
                <w:snapToGrid w:val="0"/>
                <w:color w:val="auto"/>
                <w:szCs w:val="24"/>
                <w:highlight w:val="none"/>
                <w:lang w:val="en-US" w:eastAsia="zh-CN"/>
              </w:rPr>
              <w:t>表2-7    能源消耗一览表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7"/>
              <w:gridCol w:w="2797"/>
              <w:gridCol w:w="2798"/>
            </w:tblGrid>
            <w:tr w14:paraId="3A299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7" w:type="dxa"/>
                  <w:vAlign w:val="center"/>
                </w:tcPr>
                <w:p w14:paraId="109D3C66">
                  <w:pPr>
                    <w:pStyle w:val="116"/>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snapToGrid w:val="0"/>
                      <w:color w:val="auto"/>
                      <w:sz w:val="21"/>
                      <w:szCs w:val="21"/>
                      <w:highlight w:val="none"/>
                      <w:vertAlign w:val="baseline"/>
                      <w:lang w:val="en-US" w:eastAsia="zh-CN"/>
                    </w:rPr>
                  </w:pPr>
                  <w:r>
                    <w:rPr>
                      <w:rFonts w:hint="default" w:ascii="Times New Roman" w:hAnsi="Times New Roman" w:eastAsia="宋体" w:cs="Times New Roman"/>
                      <w:b w:val="0"/>
                      <w:bCs/>
                      <w:snapToGrid w:val="0"/>
                      <w:color w:val="auto"/>
                      <w:sz w:val="21"/>
                      <w:szCs w:val="21"/>
                      <w:highlight w:val="none"/>
                      <w:vertAlign w:val="baseline"/>
                      <w:lang w:val="en-US" w:eastAsia="zh-CN"/>
                    </w:rPr>
                    <w:t>类别</w:t>
                  </w:r>
                </w:p>
              </w:tc>
              <w:tc>
                <w:tcPr>
                  <w:tcW w:w="2797" w:type="dxa"/>
                  <w:vAlign w:val="center"/>
                </w:tcPr>
                <w:p w14:paraId="636C8893">
                  <w:pPr>
                    <w:pStyle w:val="116"/>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snapToGrid w:val="0"/>
                      <w:color w:val="auto"/>
                      <w:sz w:val="21"/>
                      <w:szCs w:val="21"/>
                      <w:highlight w:val="none"/>
                      <w:vertAlign w:val="baseline"/>
                      <w:lang w:val="en-US" w:eastAsia="zh-CN"/>
                    </w:rPr>
                  </w:pPr>
                  <w:r>
                    <w:rPr>
                      <w:rFonts w:hint="default" w:ascii="Times New Roman" w:hAnsi="Times New Roman" w:eastAsia="宋体" w:cs="Times New Roman"/>
                      <w:b w:val="0"/>
                      <w:bCs/>
                      <w:snapToGrid w:val="0"/>
                      <w:color w:val="auto"/>
                      <w:sz w:val="21"/>
                      <w:szCs w:val="21"/>
                      <w:highlight w:val="none"/>
                      <w:vertAlign w:val="baseline"/>
                      <w:lang w:val="en-US" w:eastAsia="zh-CN"/>
                    </w:rPr>
                    <w:t>数量</w:t>
                  </w:r>
                </w:p>
              </w:tc>
              <w:tc>
                <w:tcPr>
                  <w:tcW w:w="2798" w:type="dxa"/>
                  <w:vAlign w:val="center"/>
                </w:tcPr>
                <w:p w14:paraId="08654BD8">
                  <w:pPr>
                    <w:pStyle w:val="116"/>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snapToGrid w:val="0"/>
                      <w:color w:val="auto"/>
                      <w:sz w:val="21"/>
                      <w:szCs w:val="21"/>
                      <w:highlight w:val="none"/>
                      <w:vertAlign w:val="baseline"/>
                    </w:rPr>
                  </w:pPr>
                  <w:r>
                    <w:rPr>
                      <w:rFonts w:hint="default" w:ascii="Times New Roman" w:hAnsi="Times New Roman" w:eastAsia="宋体" w:cs="Times New Roman"/>
                      <w:b w:val="0"/>
                      <w:bCs/>
                      <w:color w:val="auto"/>
                      <w:spacing w:val="-13"/>
                      <w:sz w:val="21"/>
                      <w:szCs w:val="21"/>
                    </w:rPr>
                    <w:t>单位</w:t>
                  </w:r>
                </w:p>
              </w:tc>
            </w:tr>
            <w:tr w14:paraId="41020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7" w:type="dxa"/>
                  <w:vAlign w:val="center"/>
                </w:tcPr>
                <w:p w14:paraId="6E2FBAF6">
                  <w:pPr>
                    <w:pStyle w:val="116"/>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snapToGrid w:val="0"/>
                      <w:color w:val="auto"/>
                      <w:sz w:val="21"/>
                      <w:szCs w:val="21"/>
                      <w:highlight w:val="none"/>
                      <w:vertAlign w:val="baseline"/>
                      <w:lang w:val="en-US" w:eastAsia="zh-CN"/>
                    </w:rPr>
                  </w:pPr>
                  <w:r>
                    <w:rPr>
                      <w:rFonts w:hint="default" w:ascii="Times New Roman" w:hAnsi="Times New Roman" w:eastAsia="宋体" w:cs="Times New Roman"/>
                      <w:b w:val="0"/>
                      <w:bCs/>
                      <w:snapToGrid w:val="0"/>
                      <w:color w:val="auto"/>
                      <w:sz w:val="21"/>
                      <w:szCs w:val="21"/>
                      <w:highlight w:val="none"/>
                      <w:vertAlign w:val="baseline"/>
                      <w:lang w:val="en-US" w:eastAsia="zh-CN"/>
                    </w:rPr>
                    <w:t>电力</w:t>
                  </w:r>
                </w:p>
              </w:tc>
              <w:tc>
                <w:tcPr>
                  <w:tcW w:w="2797" w:type="dxa"/>
                  <w:vAlign w:val="center"/>
                </w:tcPr>
                <w:p w14:paraId="7D95D343">
                  <w:pPr>
                    <w:pStyle w:val="116"/>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snapToGrid w:val="0"/>
                      <w:color w:val="auto"/>
                      <w:sz w:val="21"/>
                      <w:szCs w:val="21"/>
                      <w:highlight w:val="none"/>
                      <w:vertAlign w:val="baseline"/>
                      <w:lang w:val="en-US" w:eastAsia="zh-CN"/>
                    </w:rPr>
                  </w:pPr>
                  <w:r>
                    <w:rPr>
                      <w:rFonts w:hint="default" w:ascii="Times New Roman" w:hAnsi="Times New Roman" w:eastAsia="宋体" w:cs="Times New Roman"/>
                      <w:b w:val="0"/>
                      <w:bCs/>
                      <w:snapToGrid w:val="0"/>
                      <w:color w:val="auto"/>
                      <w:sz w:val="21"/>
                      <w:szCs w:val="21"/>
                      <w:highlight w:val="none"/>
                      <w:vertAlign w:val="baseline"/>
                      <w:lang w:val="en-US" w:eastAsia="zh-CN"/>
                    </w:rPr>
                    <w:t>320</w:t>
                  </w:r>
                </w:p>
              </w:tc>
              <w:tc>
                <w:tcPr>
                  <w:tcW w:w="2798" w:type="dxa"/>
                  <w:vAlign w:val="center"/>
                </w:tcPr>
                <w:p w14:paraId="5DD8A29B">
                  <w:pPr>
                    <w:pStyle w:val="116"/>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snapToGrid w:val="0"/>
                      <w:color w:val="auto"/>
                      <w:sz w:val="21"/>
                      <w:szCs w:val="21"/>
                      <w:highlight w:val="none"/>
                      <w:vertAlign w:val="baseline"/>
                    </w:rPr>
                  </w:pPr>
                  <w:r>
                    <w:rPr>
                      <w:rFonts w:hint="default" w:ascii="Times New Roman" w:hAnsi="Times New Roman" w:eastAsia="宋体" w:cs="Times New Roman"/>
                      <w:b w:val="0"/>
                      <w:bCs/>
                      <w:color w:val="auto"/>
                      <w:spacing w:val="-7"/>
                      <w:position w:val="3"/>
                      <w:sz w:val="21"/>
                      <w:szCs w:val="21"/>
                    </w:rPr>
                    <w:t>万</w:t>
                  </w:r>
                  <w:r>
                    <w:rPr>
                      <w:rFonts w:hint="default" w:ascii="Times New Roman" w:hAnsi="Times New Roman" w:eastAsia="宋体" w:cs="Times New Roman"/>
                      <w:b w:val="0"/>
                      <w:bCs/>
                      <w:color w:val="auto"/>
                      <w:spacing w:val="-7"/>
                      <w:position w:val="3"/>
                      <w:sz w:val="21"/>
                      <w:szCs w:val="21"/>
                      <w:lang w:val="en-US" w:eastAsia="zh-CN"/>
                    </w:rPr>
                    <w:t>k</w:t>
                  </w:r>
                  <w:r>
                    <w:rPr>
                      <w:rFonts w:hint="default" w:ascii="Times New Roman" w:hAnsi="Times New Roman" w:eastAsia="宋体" w:cs="Times New Roman"/>
                      <w:b w:val="0"/>
                      <w:bCs/>
                      <w:color w:val="auto"/>
                      <w:spacing w:val="-7"/>
                      <w:position w:val="3"/>
                      <w:sz w:val="21"/>
                      <w:szCs w:val="21"/>
                    </w:rPr>
                    <w:t>W·h/a</w:t>
                  </w:r>
                </w:p>
              </w:tc>
            </w:tr>
            <w:tr w14:paraId="5EE4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7" w:type="dxa"/>
                  <w:vAlign w:val="center"/>
                </w:tcPr>
                <w:p w14:paraId="10483AE7">
                  <w:pPr>
                    <w:pStyle w:val="116"/>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snapToGrid w:val="0"/>
                      <w:color w:val="auto"/>
                      <w:sz w:val="21"/>
                      <w:szCs w:val="21"/>
                      <w:highlight w:val="none"/>
                      <w:vertAlign w:val="baseline"/>
                      <w:lang w:val="en-US" w:eastAsia="zh-CN"/>
                    </w:rPr>
                  </w:pPr>
                  <w:r>
                    <w:rPr>
                      <w:rFonts w:hint="default" w:ascii="Times New Roman" w:hAnsi="Times New Roman" w:eastAsia="宋体" w:cs="Times New Roman"/>
                      <w:b w:val="0"/>
                      <w:bCs/>
                      <w:snapToGrid w:val="0"/>
                      <w:color w:val="auto"/>
                      <w:sz w:val="21"/>
                      <w:szCs w:val="21"/>
                      <w:highlight w:val="none"/>
                      <w:vertAlign w:val="baseline"/>
                      <w:lang w:val="en-US" w:eastAsia="zh-CN"/>
                    </w:rPr>
                    <w:t>水</w:t>
                  </w:r>
                </w:p>
              </w:tc>
              <w:tc>
                <w:tcPr>
                  <w:tcW w:w="2797" w:type="dxa"/>
                  <w:vAlign w:val="center"/>
                </w:tcPr>
                <w:p w14:paraId="0A74E4F5">
                  <w:pPr>
                    <w:pStyle w:val="116"/>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snapToGrid w:val="0"/>
                      <w:color w:val="auto"/>
                      <w:sz w:val="21"/>
                      <w:szCs w:val="21"/>
                      <w:highlight w:val="none"/>
                      <w:vertAlign w:val="baseline"/>
                      <w:lang w:val="en-US" w:eastAsia="zh-CN"/>
                    </w:rPr>
                  </w:pPr>
                  <w:r>
                    <w:rPr>
                      <w:rFonts w:hint="eastAsia" w:cs="Times New Roman"/>
                      <w:b w:val="0"/>
                      <w:bCs/>
                      <w:snapToGrid w:val="0"/>
                      <w:color w:val="auto"/>
                      <w:sz w:val="21"/>
                      <w:szCs w:val="21"/>
                      <w:highlight w:val="none"/>
                      <w:vertAlign w:val="baseline"/>
                      <w:lang w:val="en-US" w:eastAsia="zh-CN"/>
                    </w:rPr>
                    <w:t>785.2</w:t>
                  </w:r>
                </w:p>
              </w:tc>
              <w:tc>
                <w:tcPr>
                  <w:tcW w:w="2798" w:type="dxa"/>
                  <w:vAlign w:val="center"/>
                </w:tcPr>
                <w:p w14:paraId="4886CA0C">
                  <w:pPr>
                    <w:pStyle w:val="116"/>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snapToGrid w:val="0"/>
                      <w:color w:val="auto"/>
                      <w:sz w:val="21"/>
                      <w:szCs w:val="21"/>
                      <w:highlight w:val="none"/>
                      <w:vertAlign w:val="baseline"/>
                      <w:lang w:val="en-US" w:eastAsia="zh-CN"/>
                    </w:rPr>
                  </w:pPr>
                  <w:r>
                    <w:rPr>
                      <w:rFonts w:hint="default" w:ascii="Times New Roman" w:hAnsi="Times New Roman" w:eastAsia="宋体" w:cs="Times New Roman"/>
                      <w:b w:val="0"/>
                      <w:bCs/>
                      <w:snapToGrid w:val="0"/>
                      <w:color w:val="auto"/>
                      <w:sz w:val="21"/>
                      <w:szCs w:val="21"/>
                      <w:highlight w:val="none"/>
                      <w:vertAlign w:val="baseline"/>
                      <w:lang w:val="en-US" w:eastAsia="zh-CN"/>
                    </w:rPr>
                    <w:t>m</w:t>
                  </w:r>
                  <w:r>
                    <w:rPr>
                      <w:rFonts w:hint="default" w:ascii="Times New Roman" w:hAnsi="Times New Roman" w:eastAsia="宋体" w:cs="Times New Roman"/>
                      <w:b w:val="0"/>
                      <w:bCs/>
                      <w:snapToGrid w:val="0"/>
                      <w:color w:val="auto"/>
                      <w:sz w:val="21"/>
                      <w:szCs w:val="21"/>
                      <w:highlight w:val="none"/>
                      <w:vertAlign w:val="superscript"/>
                      <w:lang w:val="en-US" w:eastAsia="zh-CN"/>
                    </w:rPr>
                    <w:t>3</w:t>
                  </w:r>
                  <w:r>
                    <w:rPr>
                      <w:rFonts w:hint="default" w:ascii="Times New Roman" w:hAnsi="Times New Roman" w:eastAsia="宋体" w:cs="Times New Roman"/>
                      <w:b w:val="0"/>
                      <w:bCs/>
                      <w:snapToGrid w:val="0"/>
                      <w:color w:val="auto"/>
                      <w:sz w:val="21"/>
                      <w:szCs w:val="21"/>
                      <w:highlight w:val="none"/>
                      <w:vertAlign w:val="baseline"/>
                      <w:lang w:val="en-US" w:eastAsia="zh-CN"/>
                    </w:rPr>
                    <w:t>/a</w:t>
                  </w:r>
                </w:p>
              </w:tc>
            </w:tr>
          </w:tbl>
          <w:p w14:paraId="0BC757D5">
            <w:pPr>
              <w:pStyle w:val="116"/>
              <w:spacing w:line="500" w:lineRule="exact"/>
              <w:ind w:firstLine="0" w:firstLineChars="0"/>
              <w:rPr>
                <w:b/>
                <w:snapToGrid w:val="0"/>
                <w:color w:val="auto"/>
                <w:szCs w:val="24"/>
                <w:highlight w:val="none"/>
              </w:rPr>
            </w:pPr>
            <w:r>
              <w:rPr>
                <w:rFonts w:hint="eastAsia"/>
                <w:b/>
                <w:snapToGrid w:val="0"/>
                <w:color w:val="auto"/>
                <w:szCs w:val="24"/>
                <w:highlight w:val="none"/>
                <w:lang w:val="en-US" w:eastAsia="zh-CN"/>
              </w:rPr>
              <w:t>8</w:t>
            </w:r>
            <w:r>
              <w:rPr>
                <w:b/>
                <w:snapToGrid w:val="0"/>
                <w:color w:val="auto"/>
                <w:szCs w:val="24"/>
                <w:highlight w:val="none"/>
              </w:rPr>
              <w:t>、项目总平面布置及合理性</w:t>
            </w:r>
          </w:p>
          <w:p w14:paraId="67AFBF78">
            <w:pPr>
              <w:topLinePunct/>
              <w:spacing w:line="500" w:lineRule="exact"/>
              <w:ind w:firstLine="480" w:firstLineChars="200"/>
              <w:rPr>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1</w:t>
            </w:r>
            <w:r>
              <w:rPr>
                <w:rFonts w:hint="eastAsia"/>
                <w:color w:val="auto"/>
                <w:sz w:val="24"/>
                <w:highlight w:val="none"/>
                <w:lang w:eastAsia="zh-CN"/>
              </w:rPr>
              <w:t>）</w:t>
            </w:r>
            <w:r>
              <w:rPr>
                <w:color w:val="auto"/>
                <w:sz w:val="24"/>
                <w:highlight w:val="none"/>
              </w:rPr>
              <w:t>项目平面布置</w:t>
            </w:r>
          </w:p>
          <w:p w14:paraId="35E8178A">
            <w:pPr>
              <w:topLinePunct/>
              <w:spacing w:line="500" w:lineRule="exact"/>
              <w:ind w:firstLine="480" w:firstLineChars="200"/>
              <w:rPr>
                <w:color w:val="auto"/>
                <w:sz w:val="24"/>
                <w:highlight w:val="none"/>
              </w:rPr>
            </w:pPr>
            <w:r>
              <w:rPr>
                <w:color w:val="auto"/>
                <w:sz w:val="24"/>
                <w:highlight w:val="none"/>
              </w:rPr>
              <w:t>项目总平面布置综合考虑企业远期发展规划，力求建设项目工艺流向合理，装置及厂房联合、成片集中，物料堆存区就近布置，减少厂内货物运输距离，降低成本和工程造价，节约用地。项目平面布置满足建筑朝向、风向需求，满足运输、消防、管线铺设、绿化等要求，并严格遵守国家各种现行规范和标准。</w:t>
            </w:r>
          </w:p>
          <w:p w14:paraId="2B05C0A8">
            <w:pPr>
              <w:spacing w:line="500" w:lineRule="exact"/>
              <w:ind w:firstLine="480" w:firstLineChars="200"/>
              <w:rPr>
                <w:snapToGrid w:val="0"/>
                <w:color w:val="auto"/>
                <w:sz w:val="24"/>
                <w:highlight w:val="none"/>
              </w:rPr>
            </w:pPr>
            <w:r>
              <w:rPr>
                <w:snapToGrid w:val="0"/>
                <w:color w:val="auto"/>
                <w:kern w:val="0"/>
                <w:sz w:val="24"/>
                <w:highlight w:val="none"/>
              </w:rPr>
              <w:t>本项目</w:t>
            </w:r>
            <w:r>
              <w:rPr>
                <w:rFonts w:hint="eastAsia"/>
                <w:snapToGrid w:val="0"/>
                <w:color w:val="auto"/>
                <w:kern w:val="0"/>
                <w:sz w:val="24"/>
                <w:highlight w:val="none"/>
                <w:lang w:val="en-US" w:eastAsia="zh-CN"/>
              </w:rPr>
              <w:t>塑料包装袋加工厂房</w:t>
            </w:r>
            <w:r>
              <w:rPr>
                <w:snapToGrid w:val="0"/>
                <w:color w:val="auto"/>
                <w:kern w:val="0"/>
                <w:sz w:val="24"/>
                <w:highlight w:val="none"/>
              </w:rPr>
              <w:t>大门位于</w:t>
            </w:r>
            <w:r>
              <w:rPr>
                <w:rFonts w:hint="eastAsia"/>
                <w:snapToGrid w:val="0"/>
                <w:color w:val="auto"/>
                <w:kern w:val="0"/>
                <w:sz w:val="24"/>
                <w:highlight w:val="none"/>
                <w:lang w:val="en-US" w:eastAsia="zh-CN"/>
              </w:rPr>
              <w:t>厂房北</w:t>
            </w:r>
            <w:r>
              <w:rPr>
                <w:snapToGrid w:val="0"/>
                <w:color w:val="auto"/>
                <w:kern w:val="0"/>
                <w:sz w:val="24"/>
                <w:highlight w:val="none"/>
              </w:rPr>
              <w:t>侧；</w:t>
            </w:r>
            <w:r>
              <w:rPr>
                <w:rFonts w:hint="eastAsia"/>
                <w:snapToGrid w:val="0"/>
                <w:color w:val="auto"/>
                <w:kern w:val="0"/>
                <w:sz w:val="24"/>
                <w:highlight w:val="none"/>
                <w:lang w:val="en-US" w:eastAsia="zh-CN"/>
              </w:rPr>
              <w:t>厂房内部</w:t>
            </w:r>
            <w:r>
              <w:rPr>
                <w:rFonts w:hint="eastAsia"/>
                <w:snapToGrid w:val="0"/>
                <w:color w:val="auto"/>
                <w:kern w:val="0"/>
                <w:sz w:val="24"/>
                <w:highlight w:val="none"/>
              </w:rPr>
              <w:t>自</w:t>
            </w:r>
            <w:r>
              <w:rPr>
                <w:rFonts w:hint="eastAsia"/>
                <w:snapToGrid w:val="0"/>
                <w:color w:val="auto"/>
                <w:kern w:val="0"/>
                <w:sz w:val="24"/>
                <w:highlight w:val="none"/>
                <w:lang w:val="en-US" w:eastAsia="zh-CN"/>
              </w:rPr>
              <w:t>西</w:t>
            </w:r>
            <w:r>
              <w:rPr>
                <w:rFonts w:hint="eastAsia"/>
                <w:snapToGrid w:val="0"/>
                <w:color w:val="auto"/>
                <w:kern w:val="0"/>
                <w:sz w:val="24"/>
                <w:highlight w:val="none"/>
              </w:rPr>
              <w:t>向</w:t>
            </w:r>
            <w:r>
              <w:rPr>
                <w:rFonts w:hint="eastAsia"/>
                <w:snapToGrid w:val="0"/>
                <w:color w:val="auto"/>
                <w:kern w:val="0"/>
                <w:sz w:val="24"/>
                <w:highlight w:val="none"/>
                <w:lang w:val="en-US" w:eastAsia="zh-CN"/>
              </w:rPr>
              <w:t>东</w:t>
            </w:r>
            <w:r>
              <w:rPr>
                <w:rFonts w:hint="eastAsia"/>
                <w:snapToGrid w:val="0"/>
                <w:color w:val="auto"/>
                <w:kern w:val="0"/>
                <w:sz w:val="24"/>
                <w:highlight w:val="none"/>
              </w:rPr>
              <w:t>依次布置原料堆放区、生产区、成品堆放区</w:t>
            </w: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农用贴片滴灌带加工厂房</w:t>
            </w:r>
            <w:r>
              <w:rPr>
                <w:snapToGrid w:val="0"/>
                <w:color w:val="auto"/>
                <w:kern w:val="0"/>
                <w:sz w:val="24"/>
                <w:highlight w:val="none"/>
              </w:rPr>
              <w:t>大门位于</w:t>
            </w:r>
            <w:r>
              <w:rPr>
                <w:rFonts w:hint="eastAsia"/>
                <w:snapToGrid w:val="0"/>
                <w:color w:val="auto"/>
                <w:kern w:val="0"/>
                <w:sz w:val="24"/>
                <w:highlight w:val="none"/>
                <w:lang w:val="en-US" w:eastAsia="zh-CN"/>
              </w:rPr>
              <w:t>厂房东</w:t>
            </w:r>
            <w:r>
              <w:rPr>
                <w:snapToGrid w:val="0"/>
                <w:color w:val="auto"/>
                <w:kern w:val="0"/>
                <w:sz w:val="24"/>
                <w:highlight w:val="none"/>
              </w:rPr>
              <w:t>侧；</w:t>
            </w:r>
            <w:r>
              <w:rPr>
                <w:rFonts w:hint="eastAsia"/>
                <w:snapToGrid w:val="0"/>
                <w:color w:val="auto"/>
                <w:kern w:val="0"/>
                <w:sz w:val="24"/>
                <w:highlight w:val="none"/>
                <w:lang w:val="en-US" w:eastAsia="zh-CN"/>
              </w:rPr>
              <w:t>厂房内部</w:t>
            </w:r>
            <w:r>
              <w:rPr>
                <w:rFonts w:hint="eastAsia"/>
                <w:snapToGrid w:val="0"/>
                <w:color w:val="auto"/>
                <w:kern w:val="0"/>
                <w:sz w:val="24"/>
                <w:highlight w:val="none"/>
              </w:rPr>
              <w:t>自</w:t>
            </w:r>
            <w:r>
              <w:rPr>
                <w:rFonts w:hint="eastAsia"/>
                <w:snapToGrid w:val="0"/>
                <w:color w:val="auto"/>
                <w:kern w:val="0"/>
                <w:sz w:val="24"/>
                <w:highlight w:val="none"/>
                <w:lang w:val="en-US" w:eastAsia="zh-CN"/>
              </w:rPr>
              <w:t>北</w:t>
            </w:r>
            <w:r>
              <w:rPr>
                <w:rFonts w:hint="eastAsia"/>
                <w:snapToGrid w:val="0"/>
                <w:color w:val="auto"/>
                <w:kern w:val="0"/>
                <w:sz w:val="24"/>
                <w:highlight w:val="none"/>
              </w:rPr>
              <w:t>向</w:t>
            </w:r>
            <w:r>
              <w:rPr>
                <w:rFonts w:hint="eastAsia"/>
                <w:snapToGrid w:val="0"/>
                <w:color w:val="auto"/>
                <w:kern w:val="0"/>
                <w:sz w:val="24"/>
                <w:highlight w:val="none"/>
                <w:lang w:val="en-US" w:eastAsia="zh-CN"/>
              </w:rPr>
              <w:t>南</w:t>
            </w:r>
            <w:r>
              <w:rPr>
                <w:rFonts w:hint="eastAsia"/>
                <w:snapToGrid w:val="0"/>
                <w:color w:val="auto"/>
                <w:kern w:val="0"/>
                <w:sz w:val="24"/>
                <w:highlight w:val="none"/>
              </w:rPr>
              <w:t>依次布置原料堆放区、生产区、成品堆放区</w:t>
            </w:r>
            <w:r>
              <w:rPr>
                <w:snapToGrid w:val="0"/>
                <w:color w:val="auto"/>
                <w:kern w:val="0"/>
                <w:sz w:val="24"/>
                <w:highlight w:val="none"/>
              </w:rPr>
              <w:t>。</w:t>
            </w:r>
            <w:r>
              <w:rPr>
                <w:color w:val="auto"/>
                <w:sz w:val="24"/>
                <w:highlight w:val="none"/>
              </w:rPr>
              <w:t>厂区平面布置见附图</w:t>
            </w:r>
            <w:r>
              <w:rPr>
                <w:rFonts w:hint="eastAsia"/>
                <w:color w:val="auto"/>
                <w:sz w:val="24"/>
                <w:highlight w:val="none"/>
                <w:lang w:val="en-US" w:eastAsia="zh-CN"/>
              </w:rPr>
              <w:t>5</w:t>
            </w:r>
            <w:r>
              <w:rPr>
                <w:color w:val="auto"/>
                <w:sz w:val="24"/>
                <w:highlight w:val="none"/>
              </w:rPr>
              <w:t>。</w:t>
            </w:r>
          </w:p>
          <w:p w14:paraId="1C399556">
            <w:pPr>
              <w:spacing w:line="500" w:lineRule="exact"/>
              <w:ind w:firstLine="480" w:firstLineChars="200"/>
              <w:rPr>
                <w:snapToGrid w:val="0"/>
                <w:color w:val="auto"/>
                <w:sz w:val="24"/>
                <w:highlight w:val="none"/>
              </w:rPr>
            </w:pPr>
            <w:r>
              <w:rPr>
                <w:rFonts w:hint="eastAsia"/>
                <w:snapToGrid w:val="0"/>
                <w:color w:val="auto"/>
                <w:sz w:val="24"/>
                <w:highlight w:val="none"/>
                <w:lang w:eastAsia="zh-CN"/>
              </w:rPr>
              <w:t>（</w:t>
            </w:r>
            <w:r>
              <w:rPr>
                <w:rFonts w:hint="eastAsia"/>
                <w:snapToGrid w:val="0"/>
                <w:color w:val="auto"/>
                <w:sz w:val="24"/>
                <w:highlight w:val="none"/>
                <w:lang w:val="en-US" w:eastAsia="zh-CN"/>
              </w:rPr>
              <w:t>2</w:t>
            </w:r>
            <w:r>
              <w:rPr>
                <w:rFonts w:hint="eastAsia"/>
                <w:snapToGrid w:val="0"/>
                <w:color w:val="auto"/>
                <w:sz w:val="24"/>
                <w:highlight w:val="none"/>
                <w:lang w:eastAsia="zh-CN"/>
              </w:rPr>
              <w:t>）</w:t>
            </w:r>
            <w:r>
              <w:rPr>
                <w:snapToGrid w:val="0"/>
                <w:color w:val="auto"/>
                <w:sz w:val="24"/>
                <w:highlight w:val="none"/>
              </w:rPr>
              <w:t>项目平面布置合理性</w:t>
            </w:r>
          </w:p>
          <w:p w14:paraId="5E2838DE">
            <w:pPr>
              <w:spacing w:line="500" w:lineRule="exact"/>
              <w:ind w:firstLine="480" w:firstLineChars="200"/>
              <w:rPr>
                <w:color w:val="auto"/>
                <w:sz w:val="24"/>
                <w:highlight w:val="none"/>
              </w:rPr>
            </w:pPr>
            <w:r>
              <w:rPr>
                <w:color w:val="auto"/>
                <w:sz w:val="24"/>
                <w:highlight w:val="none"/>
              </w:rPr>
              <w:t>1）生产区集中布置，工艺流程合理，布局紧凑，方便管理，而且各污染源集中布置，有利于污染治理和环境保护。</w:t>
            </w:r>
          </w:p>
          <w:p w14:paraId="4DA996D5">
            <w:pPr>
              <w:pStyle w:val="196"/>
              <w:widowControl w:val="0"/>
              <w:spacing w:line="500" w:lineRule="exact"/>
              <w:ind w:firstLine="480"/>
              <w:rPr>
                <w:rFonts w:hAnsi="Times New Roman"/>
                <w:color w:val="auto"/>
                <w:highlight w:val="none"/>
              </w:rPr>
            </w:pPr>
            <w:r>
              <w:rPr>
                <w:rFonts w:hint="eastAsia" w:hAnsi="Times New Roman"/>
                <w:color w:val="auto"/>
                <w:highlight w:val="none"/>
              </w:rPr>
              <w:t>2</w:t>
            </w:r>
            <w:r>
              <w:rPr>
                <w:rFonts w:hAnsi="Times New Roman"/>
                <w:color w:val="auto"/>
                <w:highlight w:val="none"/>
              </w:rPr>
              <w:t>）项目厂区总体已按各功能分区布置，平面布置本着有利于生产、方便管理、确保安全、保护环境，在满足安全生产的前提下，做到流程合理、管线短、交通畅顺，达到节约用地的目的。</w:t>
            </w:r>
          </w:p>
          <w:p w14:paraId="28604194">
            <w:pPr>
              <w:topLinePunct/>
              <w:spacing w:line="500" w:lineRule="exact"/>
              <w:ind w:firstLine="480" w:firstLineChars="200"/>
              <w:rPr>
                <w:color w:val="auto"/>
                <w:sz w:val="24"/>
                <w:highlight w:val="none"/>
              </w:rPr>
            </w:pPr>
            <w:r>
              <w:rPr>
                <w:color w:val="auto"/>
                <w:sz w:val="24"/>
                <w:highlight w:val="none"/>
              </w:rPr>
              <w:t>综上所述，项目总平布置基本合理。</w:t>
            </w:r>
          </w:p>
          <w:p w14:paraId="2E9E2614">
            <w:pPr>
              <w:topLinePunct/>
              <w:spacing w:line="520" w:lineRule="exact"/>
              <w:jc w:val="left"/>
              <w:textAlignment w:val="baseline"/>
              <w:rPr>
                <w:b/>
                <w:bCs/>
                <w:color w:val="auto"/>
                <w:sz w:val="24"/>
                <w:highlight w:val="none"/>
              </w:rPr>
            </w:pPr>
            <w:r>
              <w:rPr>
                <w:rFonts w:hint="eastAsia"/>
                <w:b/>
                <w:bCs/>
                <w:color w:val="auto"/>
                <w:sz w:val="24"/>
                <w:highlight w:val="none"/>
                <w:lang w:val="en-US" w:eastAsia="zh-CN"/>
              </w:rPr>
              <w:t>9、</w:t>
            </w:r>
            <w:r>
              <w:rPr>
                <w:b/>
                <w:bCs/>
                <w:color w:val="auto"/>
                <w:sz w:val="24"/>
                <w:highlight w:val="none"/>
              </w:rPr>
              <w:t>公用工程</w:t>
            </w:r>
          </w:p>
          <w:p w14:paraId="61FE60A4">
            <w:pPr>
              <w:pStyle w:val="116"/>
              <w:adjustRightInd/>
              <w:snapToGrid/>
              <w:spacing w:line="520" w:lineRule="exact"/>
              <w:ind w:firstLine="480"/>
              <w:rPr>
                <w:bCs/>
                <w:color w:val="auto"/>
                <w:highlight w:val="none"/>
              </w:rPr>
            </w:pPr>
            <w:r>
              <w:rPr>
                <w:bCs/>
                <w:color w:val="auto"/>
                <w:highlight w:val="none"/>
              </w:rPr>
              <w:t>（1）供电</w:t>
            </w:r>
          </w:p>
          <w:p w14:paraId="69030732">
            <w:pPr>
              <w:pStyle w:val="116"/>
              <w:adjustRightInd/>
              <w:snapToGrid/>
              <w:spacing w:line="520" w:lineRule="exact"/>
              <w:ind w:firstLine="480"/>
              <w:rPr>
                <w:color w:val="auto"/>
                <w:highlight w:val="none"/>
              </w:rPr>
            </w:pPr>
            <w:r>
              <w:rPr>
                <w:color w:val="auto"/>
                <w:highlight w:val="none"/>
              </w:rPr>
              <w:t>项目用电由</w:t>
            </w:r>
            <w:r>
              <w:rPr>
                <w:rFonts w:hint="eastAsia"/>
                <w:color w:val="auto"/>
                <w:highlight w:val="none"/>
              </w:rPr>
              <w:t>园区供电线路</w:t>
            </w:r>
            <w:r>
              <w:rPr>
                <w:color w:val="auto"/>
                <w:highlight w:val="none"/>
              </w:rPr>
              <w:t>供应</w:t>
            </w:r>
            <w:r>
              <w:rPr>
                <w:rFonts w:hint="eastAsia"/>
                <w:color w:val="auto"/>
                <w:highlight w:val="none"/>
              </w:rPr>
              <w:t>，</w:t>
            </w:r>
            <w:r>
              <w:rPr>
                <w:snapToGrid w:val="0"/>
                <w:color w:val="auto"/>
                <w:kern w:val="0"/>
                <w:szCs w:val="24"/>
                <w:highlight w:val="none"/>
              </w:rPr>
              <w:t>可满足项目用电需求</w:t>
            </w:r>
            <w:r>
              <w:rPr>
                <w:color w:val="auto"/>
                <w:highlight w:val="none"/>
              </w:rPr>
              <w:t>。</w:t>
            </w:r>
          </w:p>
          <w:p w14:paraId="6C58D539">
            <w:pPr>
              <w:overflowPunct w:val="0"/>
              <w:spacing w:line="520" w:lineRule="exact"/>
              <w:ind w:firstLine="480" w:firstLineChars="200"/>
              <w:rPr>
                <w:color w:val="auto"/>
                <w:sz w:val="24"/>
                <w:highlight w:val="none"/>
              </w:rPr>
            </w:pPr>
            <w:r>
              <w:rPr>
                <w:bCs/>
                <w:color w:val="auto"/>
                <w:sz w:val="24"/>
                <w:highlight w:val="none"/>
              </w:rPr>
              <w:t>（2）供热</w:t>
            </w:r>
          </w:p>
          <w:p w14:paraId="1C3403CA">
            <w:pPr>
              <w:overflowPunct w:val="0"/>
              <w:spacing w:line="520" w:lineRule="exact"/>
              <w:ind w:firstLine="480" w:firstLineChars="200"/>
              <w:rPr>
                <w:color w:val="auto"/>
                <w:sz w:val="24"/>
                <w:highlight w:val="none"/>
              </w:rPr>
            </w:pPr>
            <w:r>
              <w:rPr>
                <w:rFonts w:hint="eastAsia"/>
                <w:color w:val="auto"/>
                <w:sz w:val="24"/>
                <w:highlight w:val="none"/>
              </w:rPr>
              <w:t>项目生产用热为设备自带电加热，车间取暖依靠设备余热。</w:t>
            </w:r>
          </w:p>
          <w:p w14:paraId="4FE49743">
            <w:pPr>
              <w:overflowPunct w:val="0"/>
              <w:spacing w:line="520" w:lineRule="exact"/>
              <w:ind w:firstLine="480" w:firstLineChars="200"/>
              <w:rPr>
                <w:color w:val="auto"/>
                <w:sz w:val="24"/>
                <w:highlight w:val="none"/>
              </w:rPr>
            </w:pPr>
            <w:r>
              <w:rPr>
                <w:rFonts w:hint="eastAsia"/>
                <w:color w:val="auto"/>
                <w:sz w:val="24"/>
                <w:highlight w:val="none"/>
              </w:rPr>
              <w:t>办公区采用电采暖。</w:t>
            </w:r>
          </w:p>
          <w:p w14:paraId="090E2A79">
            <w:pPr>
              <w:spacing w:line="520" w:lineRule="exact"/>
              <w:ind w:firstLine="480" w:firstLineChars="200"/>
              <w:rPr>
                <w:bCs/>
                <w:color w:val="auto"/>
                <w:kern w:val="0"/>
                <w:sz w:val="24"/>
                <w:highlight w:val="none"/>
              </w:rPr>
            </w:pPr>
            <w:r>
              <w:rPr>
                <w:bCs/>
                <w:color w:val="auto"/>
                <w:kern w:val="0"/>
                <w:sz w:val="24"/>
                <w:highlight w:val="none"/>
              </w:rPr>
              <w:t>（</w:t>
            </w:r>
            <w:r>
              <w:rPr>
                <w:rFonts w:hint="eastAsia"/>
                <w:bCs/>
                <w:color w:val="auto"/>
                <w:kern w:val="0"/>
                <w:sz w:val="24"/>
                <w:highlight w:val="none"/>
                <w:lang w:val="en-US" w:eastAsia="zh-CN"/>
              </w:rPr>
              <w:t>3</w:t>
            </w:r>
            <w:r>
              <w:rPr>
                <w:bCs/>
                <w:color w:val="auto"/>
                <w:kern w:val="0"/>
                <w:sz w:val="24"/>
                <w:highlight w:val="none"/>
              </w:rPr>
              <w:t>）供水</w:t>
            </w:r>
          </w:p>
          <w:p w14:paraId="7BD57C93">
            <w:pPr>
              <w:spacing w:line="520" w:lineRule="exact"/>
              <w:ind w:firstLine="480" w:firstLineChars="200"/>
              <w:rPr>
                <w:color w:val="auto"/>
                <w:sz w:val="24"/>
                <w:highlight w:val="none"/>
              </w:rPr>
            </w:pPr>
            <w:r>
              <w:rPr>
                <w:color w:val="auto"/>
                <w:sz w:val="24"/>
                <w:highlight w:val="none"/>
              </w:rPr>
              <w:t>本项目运营期</w:t>
            </w:r>
            <w:r>
              <w:rPr>
                <w:rFonts w:hint="eastAsia"/>
                <w:color w:val="auto"/>
                <w:sz w:val="24"/>
                <w:highlight w:val="none"/>
                <w:lang w:val="en-US" w:eastAsia="zh-CN"/>
              </w:rPr>
              <w:t>主要用水为生产用水和生活用水，其中生产用水为冷却水，生产用水和</w:t>
            </w:r>
            <w:r>
              <w:rPr>
                <w:color w:val="auto"/>
                <w:sz w:val="24"/>
                <w:highlight w:val="none"/>
              </w:rPr>
              <w:t>生活用水，由园区供水管网统一供给，水质和水量可满足项目需求。</w:t>
            </w:r>
          </w:p>
          <w:p w14:paraId="1952A0D5">
            <w:pPr>
              <w:spacing w:line="520" w:lineRule="exact"/>
              <w:ind w:firstLine="480" w:firstLineChars="200"/>
              <w:rPr>
                <w:color w:val="auto"/>
                <w:sz w:val="24"/>
                <w:highlight w:val="none"/>
              </w:rPr>
            </w:pPr>
            <w:r>
              <w:rPr>
                <w:color w:val="auto"/>
                <w:sz w:val="24"/>
                <w:highlight w:val="none"/>
              </w:rPr>
              <w:t>①生产用水</w:t>
            </w:r>
          </w:p>
          <w:p w14:paraId="1E28CDA7">
            <w:pPr>
              <w:spacing w:line="520" w:lineRule="exact"/>
              <w:ind w:firstLine="480" w:firstLineChars="200"/>
              <w:rPr>
                <w:rFonts w:hint="default"/>
                <w:color w:val="auto"/>
                <w:sz w:val="24"/>
                <w:highlight w:val="none"/>
                <w:lang w:val="en-US"/>
              </w:rPr>
            </w:pPr>
            <w:r>
              <w:rPr>
                <w:color w:val="auto"/>
                <w:sz w:val="24"/>
                <w:highlight w:val="none"/>
              </w:rPr>
              <w:t>本项目运营期</w:t>
            </w:r>
            <w:r>
              <w:rPr>
                <w:rFonts w:hint="eastAsia"/>
                <w:color w:val="auto"/>
                <w:sz w:val="24"/>
                <w:highlight w:val="none"/>
                <w:lang w:val="en-US" w:eastAsia="zh-CN"/>
              </w:rPr>
              <w:t>生产用水为冷却用水，冷却用水在经过冷却塔和过滤罐后循环使用，不外排。塑料包装袋加工厂房和农用贴片滴灌带加工厂房分别设置一个冷却塔，根据建设单位提供的资料，塑料包装袋加工厂房冷却塔用水量为22m</w:t>
            </w:r>
            <w:r>
              <w:rPr>
                <w:rFonts w:hint="eastAsia"/>
                <w:color w:val="auto"/>
                <w:sz w:val="24"/>
                <w:highlight w:val="none"/>
                <w:vertAlign w:val="superscript"/>
                <w:lang w:val="en-US" w:eastAsia="zh-CN"/>
              </w:rPr>
              <w:t>3</w:t>
            </w:r>
            <w:r>
              <w:rPr>
                <w:rFonts w:hint="eastAsia"/>
                <w:color w:val="auto"/>
                <w:sz w:val="24"/>
                <w:highlight w:val="none"/>
                <w:lang w:val="en-US" w:eastAsia="zh-CN"/>
              </w:rPr>
              <w:t>，日补水量为10%，即2.2m</w:t>
            </w:r>
            <w:r>
              <w:rPr>
                <w:rFonts w:hint="eastAsia"/>
                <w:color w:val="auto"/>
                <w:sz w:val="24"/>
                <w:highlight w:val="none"/>
                <w:vertAlign w:val="superscript"/>
                <w:lang w:val="en-US" w:eastAsia="zh-CN"/>
              </w:rPr>
              <w:t>3</w:t>
            </w:r>
            <w:r>
              <w:rPr>
                <w:rFonts w:hint="eastAsia"/>
                <w:color w:val="auto"/>
                <w:sz w:val="24"/>
                <w:highlight w:val="none"/>
                <w:lang w:val="en-US" w:eastAsia="zh-CN"/>
              </w:rPr>
              <w:t>，塑料包装袋加工厂房冷却塔用水量为10m</w:t>
            </w:r>
            <w:r>
              <w:rPr>
                <w:rFonts w:hint="eastAsia"/>
                <w:color w:val="auto"/>
                <w:sz w:val="24"/>
                <w:highlight w:val="none"/>
                <w:vertAlign w:val="superscript"/>
                <w:lang w:val="en-US" w:eastAsia="zh-CN"/>
              </w:rPr>
              <w:t>3</w:t>
            </w:r>
            <w:r>
              <w:rPr>
                <w:rFonts w:hint="eastAsia"/>
                <w:color w:val="auto"/>
                <w:sz w:val="24"/>
                <w:highlight w:val="none"/>
                <w:lang w:val="en-US" w:eastAsia="zh-CN"/>
              </w:rPr>
              <w:t>，日补水量为10%，即1m</w:t>
            </w:r>
            <w:r>
              <w:rPr>
                <w:rFonts w:hint="eastAsia"/>
                <w:color w:val="auto"/>
                <w:sz w:val="24"/>
                <w:highlight w:val="none"/>
                <w:vertAlign w:val="superscript"/>
                <w:lang w:val="en-US" w:eastAsia="zh-CN"/>
              </w:rPr>
              <w:t>3</w:t>
            </w:r>
            <w:r>
              <w:rPr>
                <w:rFonts w:hint="eastAsia"/>
                <w:color w:val="auto"/>
                <w:sz w:val="24"/>
                <w:highlight w:val="none"/>
                <w:lang w:val="en-US" w:eastAsia="zh-CN"/>
              </w:rPr>
              <w:t>。则冷却塔用水量共计为32m</w:t>
            </w:r>
            <w:r>
              <w:rPr>
                <w:rFonts w:hint="eastAsia"/>
                <w:color w:val="auto"/>
                <w:sz w:val="24"/>
                <w:highlight w:val="none"/>
                <w:vertAlign w:val="superscript"/>
                <w:lang w:val="en-US" w:eastAsia="zh-CN"/>
              </w:rPr>
              <w:t>3</w:t>
            </w:r>
            <w:r>
              <w:rPr>
                <w:rFonts w:hint="eastAsia"/>
                <w:color w:val="auto"/>
                <w:sz w:val="24"/>
                <w:highlight w:val="none"/>
                <w:lang w:val="en-US" w:eastAsia="zh-CN"/>
              </w:rPr>
              <w:t>，补水量为3.2m</w:t>
            </w:r>
            <w:r>
              <w:rPr>
                <w:rFonts w:hint="eastAsia"/>
                <w:color w:val="auto"/>
                <w:sz w:val="24"/>
                <w:highlight w:val="none"/>
                <w:vertAlign w:val="superscript"/>
                <w:lang w:val="en-US" w:eastAsia="zh-CN"/>
              </w:rPr>
              <w:t>3</w:t>
            </w:r>
            <w:r>
              <w:rPr>
                <w:rFonts w:hint="eastAsia"/>
                <w:color w:val="auto"/>
                <w:sz w:val="24"/>
                <w:highlight w:val="none"/>
                <w:lang w:val="en-US" w:eastAsia="zh-CN"/>
              </w:rPr>
              <w:t>。</w:t>
            </w:r>
          </w:p>
          <w:p w14:paraId="3B04EE39">
            <w:pPr>
              <w:keepNext/>
              <w:spacing w:line="520" w:lineRule="exact"/>
              <w:ind w:firstLine="480" w:firstLineChars="200"/>
              <w:rPr>
                <w:color w:val="auto"/>
                <w:kern w:val="0"/>
                <w:sz w:val="24"/>
                <w:highlight w:val="none"/>
              </w:rPr>
            </w:pPr>
            <w:r>
              <w:rPr>
                <w:color w:val="auto"/>
                <w:kern w:val="0"/>
                <w:sz w:val="24"/>
                <w:highlight w:val="none"/>
              </w:rPr>
              <w:t>②生活用水</w:t>
            </w:r>
          </w:p>
          <w:p w14:paraId="4B89422F">
            <w:pPr>
              <w:keepNext/>
              <w:spacing w:line="520" w:lineRule="exact"/>
              <w:ind w:firstLine="480" w:firstLineChars="200"/>
              <w:rPr>
                <w:color w:val="auto"/>
                <w:kern w:val="0"/>
                <w:sz w:val="24"/>
                <w:highlight w:val="none"/>
              </w:rPr>
            </w:pPr>
            <w:r>
              <w:rPr>
                <w:color w:val="auto"/>
                <w:kern w:val="0"/>
                <w:sz w:val="24"/>
                <w:highlight w:val="none"/>
              </w:rPr>
              <w:t>项目劳动定员</w:t>
            </w:r>
            <w:r>
              <w:rPr>
                <w:rFonts w:hint="eastAsia"/>
                <w:color w:val="auto"/>
                <w:kern w:val="0"/>
                <w:sz w:val="24"/>
                <w:highlight w:val="none"/>
                <w:lang w:val="en-US" w:eastAsia="zh-CN"/>
              </w:rPr>
              <w:t>2</w:t>
            </w:r>
            <w:r>
              <w:rPr>
                <w:rFonts w:hint="eastAsia"/>
                <w:color w:val="auto"/>
                <w:kern w:val="0"/>
                <w:sz w:val="24"/>
                <w:highlight w:val="none"/>
              </w:rPr>
              <w:t>5</w:t>
            </w:r>
            <w:r>
              <w:rPr>
                <w:color w:val="auto"/>
                <w:kern w:val="0"/>
                <w:sz w:val="24"/>
                <w:highlight w:val="none"/>
              </w:rPr>
              <w:t>人，</w:t>
            </w:r>
            <w:r>
              <w:rPr>
                <w:rFonts w:hint="eastAsia"/>
                <w:color w:val="auto"/>
                <w:kern w:val="0"/>
                <w:sz w:val="24"/>
                <w:highlight w:val="none"/>
                <w:lang w:val="en-US" w:eastAsia="zh-CN"/>
              </w:rPr>
              <w:t>不在厂区食宿</w:t>
            </w:r>
            <w:r>
              <w:rPr>
                <w:rFonts w:hint="eastAsia"/>
                <w:color w:val="auto"/>
                <w:kern w:val="0"/>
                <w:sz w:val="24"/>
                <w:highlight w:val="none"/>
              </w:rPr>
              <w:t>，项目</w:t>
            </w:r>
            <w:r>
              <w:rPr>
                <w:rFonts w:hint="eastAsia"/>
                <w:color w:val="auto"/>
                <w:sz w:val="24"/>
                <w:highlight w:val="none"/>
              </w:rPr>
              <w:t>年生产</w:t>
            </w:r>
            <w:r>
              <w:rPr>
                <w:rFonts w:hint="eastAsia"/>
                <w:color w:val="auto"/>
                <w:sz w:val="24"/>
                <w:highlight w:val="none"/>
                <w:lang w:val="en-US" w:eastAsia="zh-CN"/>
              </w:rPr>
              <w:t>300</w:t>
            </w:r>
            <w:r>
              <w:rPr>
                <w:color w:val="auto"/>
                <w:sz w:val="24"/>
                <w:highlight w:val="none"/>
              </w:rPr>
              <w:t>天</w:t>
            </w:r>
            <w:r>
              <w:rPr>
                <w:color w:val="auto"/>
                <w:kern w:val="0"/>
                <w:sz w:val="24"/>
                <w:highlight w:val="none"/>
              </w:rPr>
              <w:t>，参照《新疆维吾尔自治区工业和生活用水定额》（2007.7.31）中提供的用水定额，确定用水量按照</w:t>
            </w:r>
            <w:r>
              <w:rPr>
                <w:rFonts w:hint="eastAsia"/>
                <w:color w:val="auto"/>
                <w:kern w:val="0"/>
                <w:sz w:val="24"/>
                <w:highlight w:val="none"/>
                <w:lang w:val="en-US" w:eastAsia="zh-CN"/>
              </w:rPr>
              <w:t>100</w:t>
            </w:r>
            <w:r>
              <w:rPr>
                <w:color w:val="auto"/>
                <w:kern w:val="0"/>
                <w:sz w:val="24"/>
                <w:highlight w:val="none"/>
              </w:rPr>
              <w:t>L/（d.cap）计算，则项目员工生活用水量为</w:t>
            </w:r>
            <w:r>
              <w:rPr>
                <w:rFonts w:hint="eastAsia"/>
                <w:color w:val="auto"/>
                <w:kern w:val="0"/>
                <w:sz w:val="24"/>
                <w:highlight w:val="none"/>
                <w:lang w:val="en-US" w:eastAsia="zh-CN"/>
              </w:rPr>
              <w:t>2.5</w:t>
            </w:r>
            <w:r>
              <w:rPr>
                <w:color w:val="auto"/>
                <w:kern w:val="0"/>
                <w:sz w:val="24"/>
                <w:highlight w:val="none"/>
              </w:rPr>
              <w:t>m</w:t>
            </w:r>
            <w:r>
              <w:rPr>
                <w:color w:val="auto"/>
                <w:kern w:val="0"/>
                <w:sz w:val="24"/>
                <w:highlight w:val="none"/>
                <w:vertAlign w:val="superscript"/>
              </w:rPr>
              <w:t>3</w:t>
            </w:r>
            <w:r>
              <w:rPr>
                <w:color w:val="auto"/>
                <w:kern w:val="0"/>
                <w:sz w:val="24"/>
                <w:highlight w:val="none"/>
              </w:rPr>
              <w:t>/d（</w:t>
            </w:r>
            <w:r>
              <w:rPr>
                <w:rFonts w:hint="eastAsia"/>
                <w:color w:val="auto"/>
                <w:kern w:val="0"/>
                <w:sz w:val="24"/>
                <w:highlight w:val="none"/>
                <w:lang w:val="en-US" w:eastAsia="zh-CN"/>
              </w:rPr>
              <w:t>750</w:t>
            </w:r>
            <w:r>
              <w:rPr>
                <w:color w:val="auto"/>
                <w:kern w:val="0"/>
                <w:sz w:val="24"/>
                <w:highlight w:val="none"/>
              </w:rPr>
              <w:t>m</w:t>
            </w:r>
            <w:r>
              <w:rPr>
                <w:color w:val="auto"/>
                <w:kern w:val="0"/>
                <w:sz w:val="24"/>
                <w:highlight w:val="none"/>
                <w:vertAlign w:val="superscript"/>
              </w:rPr>
              <w:t>3</w:t>
            </w:r>
            <w:r>
              <w:rPr>
                <w:color w:val="auto"/>
                <w:kern w:val="0"/>
                <w:sz w:val="24"/>
                <w:highlight w:val="none"/>
              </w:rPr>
              <w:t>/a）。</w:t>
            </w:r>
          </w:p>
          <w:p w14:paraId="688A75D8">
            <w:pPr>
              <w:spacing w:line="520" w:lineRule="exact"/>
              <w:ind w:firstLine="480" w:firstLineChars="200"/>
              <w:rPr>
                <w:bCs/>
                <w:color w:val="auto"/>
                <w:sz w:val="24"/>
                <w:highlight w:val="none"/>
              </w:rPr>
            </w:pPr>
            <w:r>
              <w:rPr>
                <w:bCs/>
                <w:color w:val="auto"/>
                <w:sz w:val="24"/>
                <w:highlight w:val="none"/>
              </w:rPr>
              <w:t>（</w:t>
            </w:r>
            <w:r>
              <w:rPr>
                <w:rFonts w:hint="eastAsia"/>
                <w:bCs/>
                <w:color w:val="auto"/>
                <w:sz w:val="24"/>
                <w:highlight w:val="none"/>
                <w:lang w:val="en-US" w:eastAsia="zh-CN"/>
              </w:rPr>
              <w:t>4</w:t>
            </w:r>
            <w:r>
              <w:rPr>
                <w:bCs/>
                <w:color w:val="auto"/>
                <w:sz w:val="24"/>
                <w:highlight w:val="none"/>
              </w:rPr>
              <w:t>）排水</w:t>
            </w:r>
          </w:p>
          <w:p w14:paraId="11BEE152">
            <w:pPr>
              <w:widowControl/>
              <w:spacing w:line="520" w:lineRule="exact"/>
              <w:ind w:firstLine="480" w:firstLineChars="200"/>
              <w:rPr>
                <w:color w:val="auto"/>
                <w:kern w:val="0"/>
                <w:sz w:val="24"/>
                <w:szCs w:val="19"/>
                <w:highlight w:val="none"/>
              </w:rPr>
            </w:pPr>
            <w:r>
              <w:rPr>
                <w:color w:val="auto"/>
                <w:kern w:val="0"/>
                <w:sz w:val="24"/>
                <w:highlight w:val="none"/>
              </w:rPr>
              <w:t>项目运营期排放的废水主要为工作人员产生的生活污水</w:t>
            </w:r>
            <w:r>
              <w:rPr>
                <w:rFonts w:hint="eastAsia"/>
                <w:color w:val="auto"/>
                <w:kern w:val="0"/>
                <w:sz w:val="24"/>
                <w:highlight w:val="none"/>
              </w:rPr>
              <w:t>，</w:t>
            </w:r>
            <w:r>
              <w:rPr>
                <w:color w:val="auto"/>
                <w:kern w:val="0"/>
                <w:sz w:val="24"/>
                <w:highlight w:val="none"/>
              </w:rPr>
              <w:t>生活污水产生量按照用水量的8</w:t>
            </w:r>
            <w:r>
              <w:rPr>
                <w:rFonts w:hint="eastAsia"/>
                <w:color w:val="auto"/>
                <w:kern w:val="0"/>
                <w:sz w:val="24"/>
                <w:highlight w:val="none"/>
              </w:rPr>
              <w:t>0</w:t>
            </w:r>
            <w:r>
              <w:rPr>
                <w:color w:val="auto"/>
                <w:kern w:val="0"/>
                <w:sz w:val="24"/>
                <w:highlight w:val="none"/>
              </w:rPr>
              <w:t>%计算，为</w:t>
            </w:r>
            <w:r>
              <w:rPr>
                <w:rFonts w:hint="eastAsia"/>
                <w:color w:val="auto"/>
                <w:kern w:val="0"/>
                <w:sz w:val="24"/>
                <w:highlight w:val="none"/>
                <w:lang w:val="en-US" w:eastAsia="zh-CN"/>
              </w:rPr>
              <w:t>2</w:t>
            </w:r>
            <w:r>
              <w:rPr>
                <w:color w:val="auto"/>
                <w:kern w:val="0"/>
                <w:sz w:val="24"/>
                <w:highlight w:val="none"/>
              </w:rPr>
              <w:t>m</w:t>
            </w:r>
            <w:r>
              <w:rPr>
                <w:color w:val="auto"/>
                <w:kern w:val="0"/>
                <w:sz w:val="24"/>
                <w:highlight w:val="none"/>
                <w:vertAlign w:val="superscript"/>
              </w:rPr>
              <w:t>3</w:t>
            </w:r>
            <w:r>
              <w:rPr>
                <w:color w:val="auto"/>
                <w:kern w:val="0"/>
                <w:sz w:val="24"/>
                <w:highlight w:val="none"/>
              </w:rPr>
              <w:t>/d（</w:t>
            </w:r>
            <w:r>
              <w:rPr>
                <w:rFonts w:hint="eastAsia"/>
                <w:color w:val="auto"/>
                <w:kern w:val="0"/>
                <w:sz w:val="24"/>
                <w:highlight w:val="none"/>
                <w:lang w:val="en-US" w:eastAsia="zh-CN"/>
              </w:rPr>
              <w:t>600</w:t>
            </w:r>
            <w:r>
              <w:rPr>
                <w:color w:val="auto"/>
                <w:kern w:val="0"/>
                <w:sz w:val="24"/>
                <w:highlight w:val="none"/>
              </w:rPr>
              <w:t>m</w:t>
            </w:r>
            <w:r>
              <w:rPr>
                <w:color w:val="auto"/>
                <w:kern w:val="0"/>
                <w:sz w:val="24"/>
                <w:highlight w:val="none"/>
                <w:vertAlign w:val="superscript"/>
              </w:rPr>
              <w:t>3</w:t>
            </w:r>
            <w:r>
              <w:rPr>
                <w:color w:val="auto"/>
                <w:kern w:val="0"/>
                <w:sz w:val="24"/>
                <w:highlight w:val="none"/>
              </w:rPr>
              <w:t>/a）</w:t>
            </w:r>
            <w:r>
              <w:rPr>
                <w:snapToGrid w:val="0"/>
                <w:color w:val="auto"/>
                <w:sz w:val="24"/>
                <w:highlight w:val="none"/>
              </w:rPr>
              <w:t>，排入园区</w:t>
            </w:r>
            <w:r>
              <w:rPr>
                <w:rFonts w:hint="eastAsia"/>
                <w:snapToGrid w:val="0"/>
                <w:color w:val="auto"/>
                <w:sz w:val="24"/>
                <w:highlight w:val="none"/>
              </w:rPr>
              <w:t>污水</w:t>
            </w:r>
            <w:r>
              <w:rPr>
                <w:snapToGrid w:val="0"/>
                <w:color w:val="auto"/>
                <w:sz w:val="24"/>
                <w:highlight w:val="none"/>
              </w:rPr>
              <w:t>管网。</w:t>
            </w:r>
          </w:p>
          <w:p w14:paraId="2480DCB9">
            <w:pPr>
              <w:overflowPunct w:val="0"/>
              <w:spacing w:line="520" w:lineRule="exact"/>
              <w:ind w:firstLine="480" w:firstLineChars="200"/>
              <w:rPr>
                <w:color w:val="auto"/>
                <w:kern w:val="0"/>
                <w:sz w:val="24"/>
                <w:highlight w:val="none"/>
              </w:rPr>
            </w:pPr>
            <w:r>
              <w:rPr>
                <w:color w:val="auto"/>
                <w:sz w:val="24"/>
                <w:highlight w:val="none"/>
              </w:rPr>
              <w:t>项目运营期水平衡具体见表</w:t>
            </w:r>
            <w:r>
              <w:rPr>
                <w:rFonts w:hint="eastAsia"/>
                <w:color w:val="auto"/>
                <w:sz w:val="24"/>
                <w:highlight w:val="none"/>
                <w:lang w:val="en-US" w:eastAsia="zh-CN"/>
              </w:rPr>
              <w:t>2-8</w:t>
            </w:r>
            <w:r>
              <w:rPr>
                <w:color w:val="auto"/>
                <w:sz w:val="24"/>
                <w:highlight w:val="none"/>
              </w:rPr>
              <w:t>，项目水平衡图见图</w:t>
            </w:r>
            <w:r>
              <w:rPr>
                <w:rFonts w:hint="eastAsia"/>
                <w:color w:val="auto"/>
                <w:sz w:val="24"/>
                <w:highlight w:val="none"/>
                <w:lang w:val="en-US" w:eastAsia="zh-CN"/>
              </w:rPr>
              <w:t>2-</w:t>
            </w:r>
            <w:r>
              <w:rPr>
                <w:color w:val="auto"/>
                <w:sz w:val="24"/>
                <w:highlight w:val="none"/>
              </w:rPr>
              <w:t>1。</w:t>
            </w:r>
          </w:p>
          <w:p w14:paraId="6AF56BCC">
            <w:pPr>
              <w:topLinePunct/>
              <w:spacing w:line="520" w:lineRule="exact"/>
              <w:jc w:val="center"/>
              <w:textAlignment w:val="baseline"/>
              <w:rPr>
                <w:b/>
                <w:bCs/>
                <w:color w:val="auto"/>
                <w:highlight w:val="none"/>
              </w:rPr>
            </w:pPr>
            <w:r>
              <w:rPr>
                <w:b/>
                <w:bCs/>
                <w:color w:val="auto"/>
                <w:highlight w:val="none"/>
              </w:rPr>
              <w:t>表</w:t>
            </w:r>
            <w:r>
              <w:rPr>
                <w:rFonts w:hint="eastAsia"/>
                <w:b/>
                <w:bCs/>
                <w:color w:val="auto"/>
                <w:highlight w:val="none"/>
                <w:lang w:val="en-US" w:eastAsia="zh-CN"/>
              </w:rPr>
              <w:t>2-8</w:t>
            </w:r>
            <w:r>
              <w:rPr>
                <w:b/>
                <w:bCs/>
                <w:color w:val="auto"/>
                <w:highlight w:val="none"/>
              </w:rPr>
              <w:t xml:space="preserve">          项目运营期水平衡表</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
            <w:tblGrid>
              <w:gridCol w:w="1151"/>
              <w:gridCol w:w="1000"/>
              <w:gridCol w:w="1289"/>
              <w:gridCol w:w="1289"/>
              <w:gridCol w:w="1574"/>
              <w:gridCol w:w="1001"/>
              <w:gridCol w:w="1092"/>
            </w:tblGrid>
            <w:tr w14:paraId="021006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85" w:type="pct"/>
                  <w:vAlign w:val="center"/>
                </w:tcPr>
                <w:p w14:paraId="51EC1985">
                  <w:pPr>
                    <w:overflowPunct w:val="0"/>
                    <w:adjustRightInd w:val="0"/>
                    <w:snapToGrid w:val="0"/>
                    <w:spacing w:line="240" w:lineRule="exact"/>
                    <w:jc w:val="center"/>
                    <w:rPr>
                      <w:b/>
                      <w:bCs/>
                      <w:color w:val="auto"/>
                      <w:highlight w:val="none"/>
                    </w:rPr>
                  </w:pPr>
                  <w:r>
                    <w:rPr>
                      <w:b/>
                      <w:bCs/>
                      <w:color w:val="auto"/>
                      <w:highlight w:val="none"/>
                    </w:rPr>
                    <w:t>用水项目</w:t>
                  </w:r>
                </w:p>
              </w:tc>
              <w:tc>
                <w:tcPr>
                  <w:tcW w:w="595" w:type="pct"/>
                  <w:vAlign w:val="center"/>
                </w:tcPr>
                <w:p w14:paraId="08199718">
                  <w:pPr>
                    <w:overflowPunct w:val="0"/>
                    <w:adjustRightInd w:val="0"/>
                    <w:snapToGrid w:val="0"/>
                    <w:spacing w:line="240" w:lineRule="exact"/>
                    <w:jc w:val="center"/>
                    <w:rPr>
                      <w:b/>
                      <w:bCs/>
                      <w:color w:val="auto"/>
                      <w:highlight w:val="none"/>
                    </w:rPr>
                  </w:pPr>
                  <w:r>
                    <w:rPr>
                      <w:b/>
                      <w:bCs/>
                      <w:color w:val="auto"/>
                      <w:highlight w:val="none"/>
                    </w:rPr>
                    <w:t>单位</w:t>
                  </w:r>
                </w:p>
              </w:tc>
              <w:tc>
                <w:tcPr>
                  <w:tcW w:w="767" w:type="pct"/>
                  <w:vAlign w:val="center"/>
                </w:tcPr>
                <w:p w14:paraId="4F9A1707">
                  <w:pPr>
                    <w:overflowPunct w:val="0"/>
                    <w:adjustRightInd w:val="0"/>
                    <w:snapToGrid w:val="0"/>
                    <w:spacing w:line="240" w:lineRule="exact"/>
                    <w:jc w:val="center"/>
                    <w:rPr>
                      <w:b/>
                      <w:bCs/>
                      <w:color w:val="auto"/>
                      <w:highlight w:val="none"/>
                    </w:rPr>
                  </w:pPr>
                  <w:r>
                    <w:rPr>
                      <w:b/>
                      <w:bCs/>
                      <w:color w:val="auto"/>
                      <w:highlight w:val="none"/>
                    </w:rPr>
                    <w:t>总用水量</w:t>
                  </w:r>
                </w:p>
              </w:tc>
              <w:tc>
                <w:tcPr>
                  <w:tcW w:w="767" w:type="pct"/>
                  <w:vAlign w:val="center"/>
                </w:tcPr>
                <w:p w14:paraId="14305BFD">
                  <w:pPr>
                    <w:overflowPunct w:val="0"/>
                    <w:adjustRightInd w:val="0"/>
                    <w:snapToGrid w:val="0"/>
                    <w:spacing w:line="240" w:lineRule="exact"/>
                    <w:jc w:val="center"/>
                    <w:rPr>
                      <w:b/>
                      <w:bCs/>
                      <w:color w:val="auto"/>
                      <w:highlight w:val="none"/>
                    </w:rPr>
                  </w:pPr>
                  <w:r>
                    <w:rPr>
                      <w:b/>
                      <w:bCs/>
                      <w:color w:val="auto"/>
                      <w:highlight w:val="none"/>
                    </w:rPr>
                    <w:t>新鲜水补给量</w:t>
                  </w:r>
                </w:p>
              </w:tc>
              <w:tc>
                <w:tcPr>
                  <w:tcW w:w="937" w:type="pct"/>
                  <w:vAlign w:val="center"/>
                </w:tcPr>
                <w:p w14:paraId="506AB755">
                  <w:pPr>
                    <w:overflowPunct w:val="0"/>
                    <w:adjustRightInd w:val="0"/>
                    <w:snapToGrid w:val="0"/>
                    <w:spacing w:line="240" w:lineRule="exact"/>
                    <w:jc w:val="center"/>
                    <w:rPr>
                      <w:b/>
                      <w:bCs/>
                      <w:color w:val="auto"/>
                      <w:highlight w:val="none"/>
                    </w:rPr>
                  </w:pPr>
                  <w:r>
                    <w:rPr>
                      <w:rFonts w:hint="eastAsia"/>
                      <w:b/>
                      <w:bCs/>
                      <w:color w:val="auto"/>
                      <w:highlight w:val="none"/>
                      <w:lang w:val="en-US" w:eastAsia="zh-CN"/>
                    </w:rPr>
                    <w:t>循环</w:t>
                  </w:r>
                  <w:r>
                    <w:rPr>
                      <w:b/>
                      <w:bCs/>
                      <w:color w:val="auto"/>
                      <w:highlight w:val="none"/>
                    </w:rPr>
                    <w:t>水量</w:t>
                  </w:r>
                </w:p>
              </w:tc>
              <w:tc>
                <w:tcPr>
                  <w:tcW w:w="596" w:type="pct"/>
                  <w:vAlign w:val="center"/>
                </w:tcPr>
                <w:p w14:paraId="6A3355AA">
                  <w:pPr>
                    <w:overflowPunct w:val="0"/>
                    <w:adjustRightInd w:val="0"/>
                    <w:snapToGrid w:val="0"/>
                    <w:spacing w:line="240" w:lineRule="exact"/>
                    <w:jc w:val="center"/>
                    <w:rPr>
                      <w:b/>
                      <w:bCs/>
                      <w:color w:val="auto"/>
                      <w:highlight w:val="none"/>
                    </w:rPr>
                  </w:pPr>
                  <w:r>
                    <w:rPr>
                      <w:b/>
                      <w:bCs/>
                      <w:color w:val="auto"/>
                      <w:highlight w:val="none"/>
                    </w:rPr>
                    <w:t>损耗量</w:t>
                  </w:r>
                </w:p>
              </w:tc>
              <w:tc>
                <w:tcPr>
                  <w:tcW w:w="650" w:type="pct"/>
                  <w:vAlign w:val="center"/>
                </w:tcPr>
                <w:p w14:paraId="2426BD92">
                  <w:pPr>
                    <w:overflowPunct w:val="0"/>
                    <w:adjustRightInd w:val="0"/>
                    <w:snapToGrid w:val="0"/>
                    <w:spacing w:line="240" w:lineRule="exact"/>
                    <w:jc w:val="center"/>
                    <w:rPr>
                      <w:b/>
                      <w:bCs/>
                      <w:color w:val="auto"/>
                      <w:highlight w:val="none"/>
                    </w:rPr>
                  </w:pPr>
                  <w:r>
                    <w:rPr>
                      <w:b/>
                      <w:bCs/>
                      <w:color w:val="auto"/>
                      <w:highlight w:val="none"/>
                    </w:rPr>
                    <w:t>排水量</w:t>
                  </w:r>
                </w:p>
              </w:tc>
            </w:tr>
            <w:tr w14:paraId="22F7E82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85" w:type="pct"/>
                  <w:vAlign w:val="center"/>
                </w:tcPr>
                <w:p w14:paraId="4536AB38">
                  <w:pPr>
                    <w:overflowPunct w:val="0"/>
                    <w:adjustRightInd w:val="0"/>
                    <w:snapToGrid w:val="0"/>
                    <w:spacing w:line="240" w:lineRule="exact"/>
                    <w:jc w:val="center"/>
                    <w:rPr>
                      <w:rFonts w:hint="eastAsia" w:eastAsia="宋体"/>
                      <w:color w:val="auto"/>
                      <w:highlight w:val="none"/>
                      <w:lang w:val="en-US" w:eastAsia="zh-CN"/>
                    </w:rPr>
                  </w:pPr>
                  <w:r>
                    <w:rPr>
                      <w:rFonts w:hint="eastAsia"/>
                      <w:color w:val="auto"/>
                      <w:highlight w:val="none"/>
                      <w:lang w:val="en-US" w:eastAsia="zh-CN"/>
                    </w:rPr>
                    <w:t>生产用水</w:t>
                  </w:r>
                </w:p>
              </w:tc>
              <w:tc>
                <w:tcPr>
                  <w:tcW w:w="595" w:type="pct"/>
                  <w:vAlign w:val="center"/>
                </w:tcPr>
                <w:p w14:paraId="710E3932">
                  <w:pPr>
                    <w:overflowPunct w:val="0"/>
                    <w:adjustRightInd w:val="0"/>
                    <w:snapToGrid w:val="0"/>
                    <w:spacing w:line="240" w:lineRule="exact"/>
                    <w:jc w:val="center"/>
                    <w:rPr>
                      <w:bCs/>
                      <w:color w:val="auto"/>
                      <w:highlight w:val="none"/>
                    </w:rPr>
                  </w:pPr>
                  <w:r>
                    <w:rPr>
                      <w:bCs/>
                      <w:color w:val="auto"/>
                      <w:highlight w:val="none"/>
                    </w:rPr>
                    <w:t>m</w:t>
                  </w:r>
                  <w:r>
                    <w:rPr>
                      <w:bCs/>
                      <w:color w:val="auto"/>
                      <w:highlight w:val="none"/>
                      <w:vertAlign w:val="superscript"/>
                    </w:rPr>
                    <w:t>3</w:t>
                  </w:r>
                  <w:r>
                    <w:rPr>
                      <w:bCs/>
                      <w:color w:val="auto"/>
                      <w:highlight w:val="none"/>
                    </w:rPr>
                    <w:t>/a</w:t>
                  </w:r>
                </w:p>
              </w:tc>
              <w:tc>
                <w:tcPr>
                  <w:tcW w:w="767" w:type="pct"/>
                  <w:vAlign w:val="center"/>
                </w:tcPr>
                <w:p w14:paraId="443CAE79">
                  <w:pPr>
                    <w:overflowPunct w:val="0"/>
                    <w:adjustRightInd w:val="0"/>
                    <w:snapToGrid w:val="0"/>
                    <w:spacing w:line="240" w:lineRule="exact"/>
                    <w:jc w:val="center"/>
                    <w:rPr>
                      <w:rFonts w:hint="default"/>
                      <w:color w:val="auto"/>
                      <w:szCs w:val="21"/>
                      <w:highlight w:val="none"/>
                      <w:lang w:val="en-US" w:eastAsia="zh-CN"/>
                    </w:rPr>
                  </w:pPr>
                  <w:r>
                    <w:rPr>
                      <w:rFonts w:hint="eastAsia"/>
                      <w:color w:val="auto"/>
                      <w:szCs w:val="21"/>
                      <w:highlight w:val="none"/>
                      <w:lang w:val="en-US" w:eastAsia="zh-CN"/>
                    </w:rPr>
                    <w:t>35.2</w:t>
                  </w:r>
                </w:p>
              </w:tc>
              <w:tc>
                <w:tcPr>
                  <w:tcW w:w="767" w:type="pct"/>
                  <w:vAlign w:val="center"/>
                </w:tcPr>
                <w:p w14:paraId="0D50DE14">
                  <w:pPr>
                    <w:overflowPunct w:val="0"/>
                    <w:adjustRightInd w:val="0"/>
                    <w:snapToGrid w:val="0"/>
                    <w:spacing w:line="240" w:lineRule="exact"/>
                    <w:jc w:val="center"/>
                    <w:rPr>
                      <w:rFonts w:hint="default"/>
                      <w:color w:val="auto"/>
                      <w:szCs w:val="21"/>
                      <w:highlight w:val="none"/>
                      <w:lang w:val="en-US" w:eastAsia="zh-CN"/>
                    </w:rPr>
                  </w:pPr>
                  <w:r>
                    <w:rPr>
                      <w:rFonts w:hint="eastAsia"/>
                      <w:color w:val="auto"/>
                      <w:szCs w:val="21"/>
                      <w:highlight w:val="none"/>
                      <w:lang w:val="en-US" w:eastAsia="zh-CN"/>
                    </w:rPr>
                    <w:t>3.2</w:t>
                  </w:r>
                </w:p>
              </w:tc>
              <w:tc>
                <w:tcPr>
                  <w:tcW w:w="937" w:type="pct"/>
                  <w:vAlign w:val="center"/>
                </w:tcPr>
                <w:p w14:paraId="46537F94">
                  <w:pPr>
                    <w:overflowPunct w:val="0"/>
                    <w:adjustRightInd w:val="0"/>
                    <w:snapToGrid w:val="0"/>
                    <w:spacing w:line="240" w:lineRule="exact"/>
                    <w:jc w:val="center"/>
                    <w:rPr>
                      <w:rFonts w:hint="default" w:eastAsia="宋体"/>
                      <w:color w:val="auto"/>
                      <w:szCs w:val="21"/>
                      <w:highlight w:val="none"/>
                      <w:lang w:val="en-US" w:eastAsia="zh-CN"/>
                    </w:rPr>
                  </w:pPr>
                  <w:r>
                    <w:rPr>
                      <w:rFonts w:hint="eastAsia"/>
                      <w:color w:val="auto"/>
                      <w:szCs w:val="21"/>
                      <w:highlight w:val="none"/>
                      <w:lang w:val="en-US" w:eastAsia="zh-CN"/>
                    </w:rPr>
                    <w:t>32</w:t>
                  </w:r>
                </w:p>
              </w:tc>
              <w:tc>
                <w:tcPr>
                  <w:tcW w:w="596" w:type="pct"/>
                  <w:vAlign w:val="center"/>
                </w:tcPr>
                <w:p w14:paraId="6592FAFD">
                  <w:pPr>
                    <w:overflowPunct w:val="0"/>
                    <w:adjustRightInd w:val="0"/>
                    <w:snapToGrid w:val="0"/>
                    <w:spacing w:line="240" w:lineRule="exact"/>
                    <w:jc w:val="center"/>
                    <w:rPr>
                      <w:rFonts w:hint="default"/>
                      <w:color w:val="auto"/>
                      <w:szCs w:val="21"/>
                      <w:highlight w:val="none"/>
                      <w:lang w:val="en-US" w:eastAsia="zh-CN"/>
                    </w:rPr>
                  </w:pPr>
                  <w:r>
                    <w:rPr>
                      <w:rFonts w:hint="eastAsia"/>
                      <w:color w:val="auto"/>
                      <w:szCs w:val="21"/>
                      <w:highlight w:val="none"/>
                      <w:lang w:val="en-US" w:eastAsia="zh-CN"/>
                    </w:rPr>
                    <w:t>3.2</w:t>
                  </w:r>
                </w:p>
              </w:tc>
              <w:tc>
                <w:tcPr>
                  <w:tcW w:w="650" w:type="pct"/>
                  <w:vAlign w:val="center"/>
                </w:tcPr>
                <w:p w14:paraId="3554EBBD">
                  <w:pPr>
                    <w:overflowPunct w:val="0"/>
                    <w:adjustRightInd w:val="0"/>
                    <w:snapToGrid w:val="0"/>
                    <w:spacing w:line="240" w:lineRule="exact"/>
                    <w:jc w:val="center"/>
                    <w:rPr>
                      <w:rFonts w:hint="default"/>
                      <w:color w:val="auto"/>
                      <w:szCs w:val="21"/>
                      <w:highlight w:val="none"/>
                      <w:lang w:val="en-US" w:eastAsia="zh-CN"/>
                    </w:rPr>
                  </w:pPr>
                  <w:r>
                    <w:rPr>
                      <w:rFonts w:hint="eastAsia"/>
                      <w:color w:val="auto"/>
                      <w:szCs w:val="21"/>
                      <w:highlight w:val="none"/>
                      <w:lang w:val="en-US" w:eastAsia="zh-CN"/>
                    </w:rPr>
                    <w:t>0</w:t>
                  </w:r>
                </w:p>
              </w:tc>
            </w:tr>
            <w:tr w14:paraId="6E2CAF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85" w:type="pct"/>
                  <w:vAlign w:val="center"/>
                </w:tcPr>
                <w:p w14:paraId="4E59B61C">
                  <w:pPr>
                    <w:overflowPunct w:val="0"/>
                    <w:adjustRightInd w:val="0"/>
                    <w:snapToGrid w:val="0"/>
                    <w:spacing w:line="240" w:lineRule="exact"/>
                    <w:jc w:val="center"/>
                    <w:rPr>
                      <w:color w:val="auto"/>
                      <w:highlight w:val="none"/>
                    </w:rPr>
                  </w:pPr>
                  <w:r>
                    <w:rPr>
                      <w:rFonts w:hint="eastAsia"/>
                      <w:color w:val="auto"/>
                      <w:highlight w:val="none"/>
                    </w:rPr>
                    <w:t>生活用水</w:t>
                  </w:r>
                </w:p>
              </w:tc>
              <w:tc>
                <w:tcPr>
                  <w:tcW w:w="595" w:type="pct"/>
                  <w:vAlign w:val="center"/>
                </w:tcPr>
                <w:p w14:paraId="0CC4FDB1">
                  <w:pPr>
                    <w:overflowPunct w:val="0"/>
                    <w:adjustRightInd w:val="0"/>
                    <w:snapToGrid w:val="0"/>
                    <w:spacing w:line="240" w:lineRule="exact"/>
                    <w:jc w:val="center"/>
                    <w:rPr>
                      <w:bCs/>
                      <w:color w:val="auto"/>
                      <w:highlight w:val="none"/>
                    </w:rPr>
                  </w:pPr>
                  <w:r>
                    <w:rPr>
                      <w:bCs/>
                      <w:color w:val="auto"/>
                      <w:highlight w:val="none"/>
                    </w:rPr>
                    <w:t>m</w:t>
                  </w:r>
                  <w:r>
                    <w:rPr>
                      <w:bCs/>
                      <w:color w:val="auto"/>
                      <w:highlight w:val="none"/>
                      <w:vertAlign w:val="superscript"/>
                    </w:rPr>
                    <w:t>3</w:t>
                  </w:r>
                  <w:r>
                    <w:rPr>
                      <w:bCs/>
                      <w:color w:val="auto"/>
                      <w:highlight w:val="none"/>
                    </w:rPr>
                    <w:t>/a</w:t>
                  </w:r>
                </w:p>
              </w:tc>
              <w:tc>
                <w:tcPr>
                  <w:tcW w:w="767" w:type="pct"/>
                  <w:vAlign w:val="center"/>
                </w:tcPr>
                <w:p w14:paraId="38B4384E">
                  <w:pPr>
                    <w:overflowPunct w:val="0"/>
                    <w:adjustRightInd w:val="0"/>
                    <w:snapToGrid w:val="0"/>
                    <w:spacing w:line="240" w:lineRule="exact"/>
                    <w:jc w:val="center"/>
                    <w:rPr>
                      <w:rFonts w:hint="default" w:eastAsia="宋体"/>
                      <w:color w:val="auto"/>
                      <w:szCs w:val="21"/>
                      <w:highlight w:val="none"/>
                      <w:lang w:val="en-US" w:eastAsia="zh-CN"/>
                    </w:rPr>
                  </w:pPr>
                  <w:r>
                    <w:rPr>
                      <w:rFonts w:hint="eastAsia"/>
                      <w:color w:val="auto"/>
                      <w:szCs w:val="21"/>
                      <w:highlight w:val="none"/>
                      <w:lang w:val="en-US" w:eastAsia="zh-CN"/>
                    </w:rPr>
                    <w:t>750</w:t>
                  </w:r>
                </w:p>
              </w:tc>
              <w:tc>
                <w:tcPr>
                  <w:tcW w:w="767" w:type="pct"/>
                  <w:vAlign w:val="center"/>
                </w:tcPr>
                <w:p w14:paraId="7BFEADE6">
                  <w:pPr>
                    <w:overflowPunct w:val="0"/>
                    <w:adjustRightInd w:val="0"/>
                    <w:snapToGrid w:val="0"/>
                    <w:spacing w:line="240" w:lineRule="exact"/>
                    <w:jc w:val="center"/>
                    <w:rPr>
                      <w:rFonts w:hint="default" w:eastAsia="宋体"/>
                      <w:color w:val="auto"/>
                      <w:szCs w:val="21"/>
                      <w:highlight w:val="none"/>
                      <w:lang w:val="en-US" w:eastAsia="zh-CN"/>
                    </w:rPr>
                  </w:pPr>
                  <w:r>
                    <w:rPr>
                      <w:rFonts w:hint="eastAsia"/>
                      <w:color w:val="auto"/>
                      <w:szCs w:val="21"/>
                      <w:highlight w:val="none"/>
                      <w:lang w:val="en-US" w:eastAsia="zh-CN"/>
                    </w:rPr>
                    <w:t>750</w:t>
                  </w:r>
                </w:p>
              </w:tc>
              <w:tc>
                <w:tcPr>
                  <w:tcW w:w="937" w:type="pct"/>
                  <w:vAlign w:val="center"/>
                </w:tcPr>
                <w:p w14:paraId="3D24C0AD">
                  <w:pPr>
                    <w:overflowPunct w:val="0"/>
                    <w:adjustRightInd w:val="0"/>
                    <w:snapToGrid w:val="0"/>
                    <w:spacing w:line="240" w:lineRule="exact"/>
                    <w:jc w:val="center"/>
                    <w:rPr>
                      <w:color w:val="auto"/>
                      <w:szCs w:val="21"/>
                      <w:highlight w:val="none"/>
                    </w:rPr>
                  </w:pPr>
                  <w:r>
                    <w:rPr>
                      <w:rFonts w:hint="eastAsia"/>
                      <w:color w:val="auto"/>
                      <w:szCs w:val="21"/>
                      <w:highlight w:val="none"/>
                      <w:lang w:val="en-US" w:eastAsia="zh-CN"/>
                    </w:rPr>
                    <w:t>32</w:t>
                  </w:r>
                </w:p>
              </w:tc>
              <w:tc>
                <w:tcPr>
                  <w:tcW w:w="596" w:type="pct"/>
                  <w:vAlign w:val="center"/>
                </w:tcPr>
                <w:p w14:paraId="2EDCC04D">
                  <w:pPr>
                    <w:overflowPunct w:val="0"/>
                    <w:adjustRightInd w:val="0"/>
                    <w:snapToGrid w:val="0"/>
                    <w:spacing w:line="240" w:lineRule="exact"/>
                    <w:jc w:val="center"/>
                    <w:rPr>
                      <w:rFonts w:hint="default" w:eastAsia="宋体"/>
                      <w:color w:val="auto"/>
                      <w:szCs w:val="21"/>
                      <w:highlight w:val="none"/>
                      <w:lang w:val="en-US" w:eastAsia="zh-CN"/>
                    </w:rPr>
                  </w:pPr>
                  <w:r>
                    <w:rPr>
                      <w:rFonts w:hint="eastAsia"/>
                      <w:color w:val="auto"/>
                      <w:szCs w:val="21"/>
                      <w:highlight w:val="none"/>
                      <w:lang w:val="en-US" w:eastAsia="zh-CN"/>
                    </w:rPr>
                    <w:t>150</w:t>
                  </w:r>
                </w:p>
              </w:tc>
              <w:tc>
                <w:tcPr>
                  <w:tcW w:w="650" w:type="pct"/>
                  <w:vAlign w:val="center"/>
                </w:tcPr>
                <w:p w14:paraId="2958F35C">
                  <w:pPr>
                    <w:overflowPunct w:val="0"/>
                    <w:adjustRightInd w:val="0"/>
                    <w:snapToGrid w:val="0"/>
                    <w:spacing w:line="240" w:lineRule="exact"/>
                    <w:jc w:val="center"/>
                    <w:rPr>
                      <w:rFonts w:hint="default" w:eastAsia="宋体"/>
                      <w:color w:val="auto"/>
                      <w:szCs w:val="21"/>
                      <w:highlight w:val="none"/>
                      <w:lang w:val="en-US" w:eastAsia="zh-CN"/>
                    </w:rPr>
                  </w:pPr>
                  <w:r>
                    <w:rPr>
                      <w:rFonts w:hint="eastAsia"/>
                      <w:color w:val="auto"/>
                      <w:szCs w:val="21"/>
                      <w:highlight w:val="none"/>
                      <w:lang w:val="en-US" w:eastAsia="zh-CN"/>
                    </w:rPr>
                    <w:t>600</w:t>
                  </w:r>
                </w:p>
              </w:tc>
            </w:tr>
            <w:tr w14:paraId="08F08B8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85" w:type="pct"/>
                  <w:vAlign w:val="center"/>
                </w:tcPr>
                <w:p w14:paraId="01A26678">
                  <w:pPr>
                    <w:overflowPunct w:val="0"/>
                    <w:adjustRightInd w:val="0"/>
                    <w:snapToGrid w:val="0"/>
                    <w:spacing w:line="240" w:lineRule="exact"/>
                    <w:jc w:val="center"/>
                    <w:rPr>
                      <w:color w:val="auto"/>
                      <w:highlight w:val="none"/>
                    </w:rPr>
                  </w:pPr>
                  <w:r>
                    <w:rPr>
                      <w:color w:val="auto"/>
                      <w:highlight w:val="none"/>
                    </w:rPr>
                    <w:t>合计</w:t>
                  </w:r>
                </w:p>
              </w:tc>
              <w:tc>
                <w:tcPr>
                  <w:tcW w:w="595" w:type="pct"/>
                  <w:vAlign w:val="center"/>
                </w:tcPr>
                <w:p w14:paraId="3924A695">
                  <w:pPr>
                    <w:overflowPunct w:val="0"/>
                    <w:adjustRightInd w:val="0"/>
                    <w:snapToGrid w:val="0"/>
                    <w:spacing w:line="240" w:lineRule="exact"/>
                    <w:jc w:val="center"/>
                    <w:rPr>
                      <w:bCs/>
                      <w:color w:val="auto"/>
                      <w:highlight w:val="none"/>
                    </w:rPr>
                  </w:pPr>
                  <w:r>
                    <w:rPr>
                      <w:bCs/>
                      <w:color w:val="auto"/>
                      <w:highlight w:val="none"/>
                    </w:rPr>
                    <w:t>m</w:t>
                  </w:r>
                  <w:r>
                    <w:rPr>
                      <w:bCs/>
                      <w:color w:val="auto"/>
                      <w:highlight w:val="none"/>
                      <w:vertAlign w:val="superscript"/>
                    </w:rPr>
                    <w:t>3</w:t>
                  </w:r>
                  <w:r>
                    <w:rPr>
                      <w:bCs/>
                      <w:color w:val="auto"/>
                      <w:highlight w:val="none"/>
                    </w:rPr>
                    <w:t>/a</w:t>
                  </w:r>
                </w:p>
              </w:tc>
              <w:tc>
                <w:tcPr>
                  <w:tcW w:w="767" w:type="pct"/>
                  <w:vAlign w:val="center"/>
                </w:tcPr>
                <w:p w14:paraId="0685E1E3">
                  <w:pPr>
                    <w:overflowPunct w:val="0"/>
                    <w:adjustRightInd w:val="0"/>
                    <w:snapToGrid w:val="0"/>
                    <w:spacing w:line="240" w:lineRule="exact"/>
                    <w:jc w:val="center"/>
                    <w:rPr>
                      <w:rFonts w:hint="default" w:eastAsia="宋体"/>
                      <w:color w:val="auto"/>
                      <w:szCs w:val="21"/>
                      <w:highlight w:val="none"/>
                      <w:lang w:val="en-US" w:eastAsia="zh-CN"/>
                    </w:rPr>
                  </w:pPr>
                  <w:r>
                    <w:rPr>
                      <w:rFonts w:hint="eastAsia"/>
                      <w:color w:val="auto"/>
                      <w:szCs w:val="21"/>
                      <w:highlight w:val="none"/>
                      <w:lang w:val="en-US" w:eastAsia="zh-CN"/>
                    </w:rPr>
                    <w:t>785.2</w:t>
                  </w:r>
                </w:p>
              </w:tc>
              <w:tc>
                <w:tcPr>
                  <w:tcW w:w="767" w:type="pct"/>
                  <w:vAlign w:val="center"/>
                </w:tcPr>
                <w:p w14:paraId="0976B1CE">
                  <w:pPr>
                    <w:overflowPunct w:val="0"/>
                    <w:adjustRightInd w:val="0"/>
                    <w:snapToGrid w:val="0"/>
                    <w:spacing w:line="240" w:lineRule="exact"/>
                    <w:jc w:val="center"/>
                    <w:rPr>
                      <w:rFonts w:hint="default" w:eastAsia="宋体"/>
                      <w:color w:val="auto"/>
                      <w:szCs w:val="21"/>
                      <w:highlight w:val="none"/>
                      <w:lang w:val="en-US" w:eastAsia="zh-CN"/>
                    </w:rPr>
                  </w:pPr>
                  <w:r>
                    <w:rPr>
                      <w:rFonts w:hint="eastAsia"/>
                      <w:color w:val="auto"/>
                      <w:szCs w:val="21"/>
                      <w:highlight w:val="none"/>
                      <w:lang w:val="en-US" w:eastAsia="zh-CN"/>
                    </w:rPr>
                    <w:t>753.2</w:t>
                  </w:r>
                </w:p>
              </w:tc>
              <w:tc>
                <w:tcPr>
                  <w:tcW w:w="937" w:type="pct"/>
                  <w:vAlign w:val="center"/>
                </w:tcPr>
                <w:p w14:paraId="00F62822">
                  <w:pPr>
                    <w:overflowPunct w:val="0"/>
                    <w:adjustRightInd w:val="0"/>
                    <w:snapToGrid w:val="0"/>
                    <w:spacing w:line="240" w:lineRule="exact"/>
                    <w:jc w:val="center"/>
                    <w:rPr>
                      <w:rFonts w:hint="default" w:eastAsia="宋体"/>
                      <w:color w:val="auto"/>
                      <w:szCs w:val="21"/>
                      <w:highlight w:val="none"/>
                      <w:lang w:val="en-US" w:eastAsia="zh-CN"/>
                    </w:rPr>
                  </w:pPr>
                  <w:r>
                    <w:rPr>
                      <w:rFonts w:hint="eastAsia"/>
                      <w:color w:val="auto"/>
                      <w:szCs w:val="21"/>
                      <w:highlight w:val="none"/>
                      <w:lang w:val="en-US" w:eastAsia="zh-CN"/>
                    </w:rPr>
                    <w:t>32</w:t>
                  </w:r>
                </w:p>
              </w:tc>
              <w:tc>
                <w:tcPr>
                  <w:tcW w:w="596" w:type="pct"/>
                  <w:vAlign w:val="center"/>
                </w:tcPr>
                <w:p w14:paraId="0785D02A">
                  <w:pPr>
                    <w:overflowPunct w:val="0"/>
                    <w:adjustRightInd w:val="0"/>
                    <w:snapToGrid w:val="0"/>
                    <w:spacing w:line="240" w:lineRule="exact"/>
                    <w:jc w:val="center"/>
                    <w:rPr>
                      <w:rFonts w:hint="default" w:eastAsia="宋体"/>
                      <w:color w:val="auto"/>
                      <w:szCs w:val="21"/>
                      <w:highlight w:val="none"/>
                      <w:lang w:val="en-US" w:eastAsia="zh-CN"/>
                    </w:rPr>
                  </w:pPr>
                  <w:r>
                    <w:rPr>
                      <w:rFonts w:hint="eastAsia"/>
                      <w:color w:val="auto"/>
                      <w:szCs w:val="21"/>
                      <w:highlight w:val="none"/>
                      <w:lang w:val="en-US" w:eastAsia="zh-CN"/>
                    </w:rPr>
                    <w:t>153.2</w:t>
                  </w:r>
                </w:p>
              </w:tc>
              <w:tc>
                <w:tcPr>
                  <w:tcW w:w="650" w:type="pct"/>
                  <w:vAlign w:val="center"/>
                </w:tcPr>
                <w:p w14:paraId="564E6E59">
                  <w:pPr>
                    <w:overflowPunct w:val="0"/>
                    <w:adjustRightInd w:val="0"/>
                    <w:snapToGrid w:val="0"/>
                    <w:spacing w:line="240" w:lineRule="exact"/>
                    <w:jc w:val="center"/>
                    <w:rPr>
                      <w:rFonts w:hint="default" w:eastAsia="宋体"/>
                      <w:color w:val="auto"/>
                      <w:szCs w:val="21"/>
                      <w:highlight w:val="none"/>
                      <w:lang w:val="en-US" w:eastAsia="zh-CN"/>
                    </w:rPr>
                  </w:pPr>
                  <w:r>
                    <w:rPr>
                      <w:rFonts w:hint="eastAsia"/>
                      <w:color w:val="auto"/>
                      <w:szCs w:val="21"/>
                      <w:highlight w:val="none"/>
                      <w:lang w:val="en-US" w:eastAsia="zh-CN"/>
                    </w:rPr>
                    <w:t>600</w:t>
                  </w:r>
                </w:p>
              </w:tc>
            </w:tr>
          </w:tbl>
          <w:p w14:paraId="5E520485">
            <w:pPr>
              <w:pStyle w:val="16"/>
              <w:spacing w:beforeLines="100"/>
              <w:ind w:left="0" w:firstLine="0"/>
              <w:jc w:val="center"/>
              <w:rPr>
                <w:b/>
                <w:bCs/>
                <w:color w:val="auto"/>
                <w:sz w:val="24"/>
                <w:highlight w:val="none"/>
              </w:rPr>
            </w:pPr>
          </w:p>
          <w:p w14:paraId="4EE96341">
            <w:pPr>
              <w:pStyle w:val="16"/>
              <w:spacing w:beforeLines="100"/>
              <w:ind w:left="0" w:firstLine="0"/>
              <w:jc w:val="center"/>
              <w:rPr>
                <w:b/>
                <w:bCs/>
                <w:color w:val="auto"/>
                <w:sz w:val="24"/>
                <w:highlight w:val="none"/>
              </w:rPr>
            </w:pPr>
            <w:r>
              <w:drawing>
                <wp:inline distT="0" distB="0" distL="114300" distR="114300">
                  <wp:extent cx="4459605" cy="2404745"/>
                  <wp:effectExtent l="0" t="0" r="5715" b="317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7"/>
                          <a:stretch>
                            <a:fillRect/>
                          </a:stretch>
                        </pic:blipFill>
                        <pic:spPr>
                          <a:xfrm>
                            <a:off x="0" y="0"/>
                            <a:ext cx="4459605" cy="2404745"/>
                          </a:xfrm>
                          <a:prstGeom prst="rect">
                            <a:avLst/>
                          </a:prstGeom>
                          <a:noFill/>
                          <a:ln>
                            <a:noFill/>
                          </a:ln>
                        </pic:spPr>
                      </pic:pic>
                    </a:graphicData>
                  </a:graphic>
                </wp:inline>
              </w:drawing>
            </w:r>
          </w:p>
          <w:p w14:paraId="47C8A7FB">
            <w:pPr>
              <w:pStyle w:val="16"/>
              <w:spacing w:beforeLines="100" w:line="360" w:lineRule="auto"/>
              <w:ind w:left="0" w:firstLine="0"/>
              <w:jc w:val="center"/>
              <w:rPr>
                <w:rFonts w:hint="eastAsia"/>
                <w:b/>
                <w:bCs/>
                <w:color w:val="auto"/>
                <w:sz w:val="24"/>
                <w:highlight w:val="none"/>
              </w:rPr>
            </w:pPr>
            <w:r>
              <w:rPr>
                <w:rFonts w:hint="eastAsia"/>
                <w:b/>
                <w:bCs/>
                <w:color w:val="auto"/>
                <w:sz w:val="24"/>
                <w:highlight w:val="none"/>
              </w:rPr>
              <w:t>图</w:t>
            </w:r>
            <w:r>
              <w:rPr>
                <w:rFonts w:hint="eastAsia"/>
                <w:b/>
                <w:bCs/>
                <w:color w:val="auto"/>
                <w:sz w:val="24"/>
                <w:highlight w:val="none"/>
                <w:lang w:val="en-US" w:eastAsia="zh-CN"/>
              </w:rPr>
              <w:t>2-1</w:t>
            </w:r>
            <w:r>
              <w:rPr>
                <w:rFonts w:hint="eastAsia"/>
                <w:b/>
                <w:bCs/>
                <w:color w:val="auto"/>
                <w:sz w:val="24"/>
                <w:highlight w:val="none"/>
              </w:rPr>
              <w:t xml:space="preserve">           项目水平衡图（单位：m</w:t>
            </w:r>
            <w:r>
              <w:rPr>
                <w:rFonts w:hint="eastAsia"/>
                <w:b/>
                <w:bCs/>
                <w:color w:val="auto"/>
                <w:sz w:val="24"/>
                <w:highlight w:val="none"/>
                <w:vertAlign w:val="superscript"/>
              </w:rPr>
              <w:t>3</w:t>
            </w:r>
            <w:r>
              <w:rPr>
                <w:rFonts w:hint="eastAsia"/>
                <w:b/>
                <w:bCs/>
                <w:color w:val="auto"/>
                <w:sz w:val="24"/>
                <w:highlight w:val="none"/>
              </w:rPr>
              <w:t>/a）</w:t>
            </w:r>
          </w:p>
          <w:p w14:paraId="6450CBCB">
            <w:pPr>
              <w:spacing w:line="360" w:lineRule="auto"/>
              <w:ind w:firstLine="480" w:firstLineChars="200"/>
              <w:rPr>
                <w:rFonts w:hint="eastAsia" w:eastAsia="宋体"/>
                <w:bCs/>
                <w:color w:val="auto"/>
                <w:sz w:val="24"/>
                <w:highlight w:val="none"/>
                <w:lang w:eastAsia="zh-CN"/>
              </w:rPr>
            </w:pPr>
            <w:r>
              <w:rPr>
                <w:bCs/>
                <w:color w:val="auto"/>
                <w:sz w:val="24"/>
                <w:highlight w:val="none"/>
              </w:rPr>
              <w:t>（</w:t>
            </w:r>
            <w:r>
              <w:rPr>
                <w:rFonts w:hint="eastAsia"/>
                <w:bCs/>
                <w:color w:val="auto"/>
                <w:sz w:val="24"/>
                <w:highlight w:val="none"/>
                <w:lang w:val="en-US" w:eastAsia="zh-CN"/>
              </w:rPr>
              <w:t>5</w:t>
            </w:r>
            <w:r>
              <w:rPr>
                <w:bCs/>
                <w:color w:val="auto"/>
                <w:sz w:val="24"/>
                <w:highlight w:val="none"/>
              </w:rPr>
              <w:t>）</w:t>
            </w:r>
            <w:r>
              <w:rPr>
                <w:rFonts w:hint="eastAsia"/>
                <w:bCs/>
                <w:color w:val="auto"/>
                <w:sz w:val="24"/>
                <w:highlight w:val="none"/>
                <w:lang w:val="en-US" w:eastAsia="zh-CN"/>
              </w:rPr>
              <w:t>劳动定员</w:t>
            </w:r>
          </w:p>
          <w:p w14:paraId="23907051">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b/>
                <w:bCs/>
                <w:color w:val="auto"/>
                <w:sz w:val="24"/>
                <w:highlight w:val="none"/>
              </w:rPr>
            </w:pPr>
            <w:r>
              <w:rPr>
                <w:rFonts w:hint="default" w:ascii="Times New Roman" w:hAnsi="Times New Roman" w:eastAsia="宋体" w:cs="Times New Roman"/>
                <w:color w:val="auto"/>
                <w:kern w:val="0"/>
                <w:sz w:val="24"/>
                <w:szCs w:val="24"/>
                <w:lang w:val="en-GB" w:eastAsia="zh-CN" w:bidi="ar"/>
              </w:rPr>
              <w:t>项目定员</w:t>
            </w:r>
            <w:r>
              <w:rPr>
                <w:rFonts w:hint="eastAsia" w:ascii="Times New Roman" w:hAnsi="Times New Roman" w:eastAsia="宋体" w:cs="Times New Roman"/>
                <w:color w:val="auto"/>
                <w:kern w:val="0"/>
                <w:sz w:val="24"/>
                <w:szCs w:val="24"/>
                <w:lang w:val="en-US" w:eastAsia="zh-CN" w:bidi="ar"/>
              </w:rPr>
              <w:t>25</w:t>
            </w:r>
            <w:r>
              <w:rPr>
                <w:rFonts w:hint="default" w:ascii="Times New Roman" w:hAnsi="Times New Roman" w:eastAsia="宋体" w:cs="Times New Roman"/>
                <w:color w:val="auto"/>
                <w:kern w:val="0"/>
                <w:sz w:val="24"/>
                <w:szCs w:val="24"/>
                <w:lang w:val="en-GB" w:eastAsia="zh-CN" w:bidi="ar"/>
              </w:rPr>
              <w:t>人，年生产天数</w:t>
            </w:r>
            <w:r>
              <w:rPr>
                <w:rFonts w:hint="eastAsia" w:ascii="Times New Roman" w:hAnsi="Times New Roman" w:eastAsia="宋体" w:cs="Times New Roman"/>
                <w:color w:val="auto"/>
                <w:kern w:val="0"/>
                <w:sz w:val="24"/>
                <w:szCs w:val="24"/>
                <w:lang w:val="en-US" w:eastAsia="zh-CN" w:bidi="ar"/>
              </w:rPr>
              <w:t>30</w:t>
            </w:r>
            <w:r>
              <w:rPr>
                <w:rFonts w:hint="default" w:ascii="Times New Roman" w:hAnsi="Times New Roman" w:eastAsia="宋体" w:cs="Times New Roman"/>
                <w:color w:val="auto"/>
                <w:kern w:val="0"/>
                <w:sz w:val="24"/>
                <w:szCs w:val="24"/>
                <w:lang w:val="en-US" w:eastAsia="zh-CN" w:bidi="ar"/>
              </w:rPr>
              <w:t>0</w:t>
            </w:r>
            <w:r>
              <w:rPr>
                <w:rFonts w:hint="default" w:ascii="Times New Roman" w:hAnsi="Times New Roman" w:eastAsia="宋体" w:cs="Times New Roman"/>
                <w:color w:val="auto"/>
                <w:kern w:val="0"/>
                <w:sz w:val="24"/>
                <w:szCs w:val="24"/>
                <w:lang w:val="en-GB" w:eastAsia="zh-CN" w:bidi="ar"/>
              </w:rPr>
              <w:t>天，每班</w:t>
            </w:r>
            <w:r>
              <w:rPr>
                <w:rFonts w:hint="eastAsia" w:ascii="Times New Roman" w:hAnsi="Times New Roman" w:eastAsia="宋体" w:cs="Times New Roman"/>
                <w:color w:val="auto"/>
                <w:kern w:val="0"/>
                <w:sz w:val="24"/>
                <w:szCs w:val="24"/>
                <w:lang w:val="en-US" w:eastAsia="zh-CN" w:bidi="ar"/>
              </w:rPr>
              <w:t>8</w:t>
            </w:r>
            <w:r>
              <w:rPr>
                <w:rFonts w:hint="default" w:ascii="Times New Roman" w:hAnsi="Times New Roman" w:eastAsia="宋体" w:cs="Times New Roman"/>
                <w:color w:val="auto"/>
                <w:kern w:val="0"/>
                <w:sz w:val="24"/>
                <w:szCs w:val="24"/>
                <w:lang w:val="en-GB" w:eastAsia="zh-CN" w:bidi="ar"/>
              </w:rPr>
              <w:t>小时，每天</w:t>
            </w:r>
            <w:r>
              <w:rPr>
                <w:rFonts w:hint="eastAsia" w:ascii="Times New Roman" w:hAnsi="Times New Roman" w:cs="Times New Roman"/>
                <w:color w:val="auto"/>
                <w:kern w:val="0"/>
                <w:sz w:val="24"/>
                <w:szCs w:val="24"/>
                <w:lang w:val="en-US" w:eastAsia="zh-CN" w:bidi="ar"/>
              </w:rPr>
              <w:t>1</w:t>
            </w:r>
            <w:r>
              <w:rPr>
                <w:rFonts w:hint="default" w:ascii="Times New Roman" w:hAnsi="Times New Roman" w:eastAsia="宋体" w:cs="Times New Roman"/>
                <w:color w:val="auto"/>
                <w:kern w:val="0"/>
                <w:sz w:val="24"/>
                <w:szCs w:val="24"/>
                <w:lang w:val="en-US" w:eastAsia="zh-CN" w:bidi="ar"/>
              </w:rPr>
              <w:t>班</w:t>
            </w:r>
            <w:r>
              <w:rPr>
                <w:rFonts w:hint="default" w:ascii="Times New Roman" w:hAnsi="Times New Roman" w:eastAsia="宋体" w:cs="Times New Roman"/>
                <w:color w:val="auto"/>
                <w:kern w:val="0"/>
                <w:sz w:val="24"/>
                <w:szCs w:val="24"/>
                <w:lang w:val="en-GB" w:eastAsia="zh-CN" w:bidi="ar"/>
              </w:rPr>
              <w:t>，年工作</w:t>
            </w:r>
            <w:r>
              <w:rPr>
                <w:rFonts w:hint="eastAsia" w:ascii="Times New Roman" w:hAnsi="Times New Roman" w:cs="Times New Roman"/>
                <w:color w:val="auto"/>
                <w:kern w:val="0"/>
                <w:sz w:val="24"/>
                <w:szCs w:val="24"/>
                <w:lang w:val="en-US" w:eastAsia="zh-CN" w:bidi="ar"/>
              </w:rPr>
              <w:t>24</w:t>
            </w:r>
            <w:r>
              <w:rPr>
                <w:rFonts w:hint="eastAsia" w:ascii="Times New Roman" w:hAnsi="Times New Roman" w:eastAsia="宋体" w:cs="Times New Roman"/>
                <w:color w:val="auto"/>
                <w:kern w:val="0"/>
                <w:sz w:val="24"/>
                <w:szCs w:val="24"/>
                <w:lang w:val="en-US" w:eastAsia="zh-CN" w:bidi="ar"/>
              </w:rPr>
              <w:t>00</w:t>
            </w:r>
            <w:r>
              <w:rPr>
                <w:rFonts w:hint="default" w:ascii="Times New Roman" w:hAnsi="Times New Roman" w:eastAsia="宋体" w:cs="Times New Roman"/>
                <w:color w:val="auto"/>
                <w:kern w:val="0"/>
                <w:sz w:val="24"/>
                <w:szCs w:val="24"/>
                <w:lang w:val="en-GB" w:eastAsia="zh-CN" w:bidi="ar"/>
              </w:rPr>
              <w:t>h。</w:t>
            </w:r>
          </w:p>
        </w:tc>
      </w:tr>
      <w:tr w14:paraId="7CAF36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438" w:type="dxa"/>
            <w:vAlign w:val="center"/>
          </w:tcPr>
          <w:p w14:paraId="61700D4F">
            <w:pPr>
              <w:pStyle w:val="29"/>
              <w:adjustRightInd w:val="0"/>
              <w:snapToGrid w:val="0"/>
              <w:spacing w:before="0" w:beforeAutospacing="0" w:after="0" w:afterAutospacing="0"/>
              <w:jc w:val="center"/>
              <w:rPr>
                <w:rFonts w:ascii="Times New Roman" w:hAnsi="Times New Roman" w:eastAsiaTheme="minorEastAsia"/>
                <w:color w:val="auto"/>
                <w:szCs w:val="24"/>
                <w:highlight w:val="none"/>
              </w:rPr>
            </w:pPr>
            <w:r>
              <w:rPr>
                <w:rFonts w:ascii="Times New Roman" w:hAnsiTheme="minorEastAsia" w:eastAsiaTheme="minorEastAsia"/>
                <w:color w:val="auto"/>
                <w:szCs w:val="24"/>
                <w:highlight w:val="none"/>
              </w:rPr>
              <w:t>工艺流程和产排污环节</w:t>
            </w:r>
          </w:p>
        </w:tc>
        <w:tc>
          <w:tcPr>
            <w:tcW w:w="8622" w:type="dxa"/>
            <w:vAlign w:val="top"/>
          </w:tcPr>
          <w:p w14:paraId="7BC74FF8">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b/>
                <w:bCs/>
                <w:color w:val="auto"/>
                <w:kern w:val="0"/>
                <w:sz w:val="24"/>
                <w:highlight w:val="none"/>
              </w:rPr>
            </w:pPr>
            <w:r>
              <w:rPr>
                <w:rFonts w:eastAsiaTheme="minorEastAsia"/>
                <w:b/>
                <w:bCs/>
                <w:color w:val="auto"/>
                <w:kern w:val="0"/>
                <w:sz w:val="24"/>
                <w:highlight w:val="none"/>
              </w:rPr>
              <w:t>1</w:t>
            </w:r>
            <w:r>
              <w:rPr>
                <w:rFonts w:hAnsiTheme="minorEastAsia" w:eastAsiaTheme="minorEastAsia"/>
                <w:b/>
                <w:bCs/>
                <w:color w:val="auto"/>
                <w:kern w:val="0"/>
                <w:sz w:val="24"/>
                <w:highlight w:val="none"/>
              </w:rPr>
              <w:t>、施工期工艺流程及产污环节</w:t>
            </w:r>
          </w:p>
          <w:p w14:paraId="68C9CB90">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color w:val="auto"/>
                <w:kern w:val="2"/>
                <w:sz w:val="24"/>
                <w:szCs w:val="24"/>
              </w:rPr>
            </w:pPr>
            <w:r>
              <w:rPr>
                <w:rFonts w:hint="default" w:ascii="Times New Roman" w:hAnsi="Times New Roman" w:eastAsia="宋体" w:cs="Times New Roman"/>
                <w:color w:val="auto"/>
                <w:kern w:val="0"/>
                <w:sz w:val="24"/>
                <w:szCs w:val="24"/>
                <w:lang w:val="en-US" w:eastAsia="zh-CN" w:bidi="ar"/>
              </w:rPr>
              <w:t>本项目租赁已建好厂房</w:t>
            </w:r>
            <w:r>
              <w:rPr>
                <w:rFonts w:hint="eastAsia" w:ascii="Times New Roman" w:hAnsi="Times New Roman" w:eastAsia="宋体" w:cs="Times New Roman"/>
                <w:color w:val="auto"/>
                <w:kern w:val="0"/>
                <w:sz w:val="24"/>
                <w:szCs w:val="24"/>
                <w:lang w:val="en-US" w:eastAsia="zh-CN" w:bidi="ar"/>
              </w:rPr>
              <w:t>，主要施工工程为</w:t>
            </w:r>
            <w:r>
              <w:rPr>
                <w:rFonts w:hint="default" w:ascii="Times New Roman" w:hAnsi="Times New Roman" w:eastAsia="宋体" w:cs="Times New Roman"/>
                <w:color w:val="auto"/>
                <w:kern w:val="0"/>
                <w:sz w:val="24"/>
                <w:szCs w:val="24"/>
                <w:lang w:val="en-US" w:eastAsia="zh-CN" w:bidi="ar"/>
              </w:rPr>
              <w:t>安装生产设备，并新建</w:t>
            </w:r>
            <w:r>
              <w:rPr>
                <w:rFonts w:hint="eastAsia" w:ascii="Times New Roman" w:hAnsi="Times New Roman" w:eastAsia="宋体" w:cs="Times New Roman"/>
                <w:color w:val="auto"/>
                <w:kern w:val="0"/>
                <w:sz w:val="24"/>
                <w:szCs w:val="24"/>
                <w:lang w:val="en-US" w:eastAsia="zh-CN" w:bidi="ar"/>
              </w:rPr>
              <w:t>危废</w:t>
            </w:r>
            <w:r>
              <w:rPr>
                <w:rFonts w:hint="eastAsia" w:ascii="Times New Roman" w:hAnsi="Times New Roman" w:cs="Times New Roman"/>
                <w:color w:val="auto"/>
                <w:kern w:val="0"/>
                <w:sz w:val="24"/>
                <w:szCs w:val="24"/>
                <w:lang w:val="en-US" w:eastAsia="zh-CN" w:bidi="ar"/>
              </w:rPr>
              <w:t>贮存库</w:t>
            </w:r>
            <w:r>
              <w:rPr>
                <w:rFonts w:hint="default" w:ascii="Times New Roman" w:hAnsi="Times New Roman" w:eastAsia="宋体" w:cs="Times New Roman"/>
                <w:color w:val="auto"/>
                <w:kern w:val="0"/>
                <w:sz w:val="24"/>
                <w:szCs w:val="24"/>
                <w:lang w:val="en-US" w:eastAsia="zh-CN" w:bidi="ar"/>
              </w:rPr>
              <w:t>，施工期主要工艺流程及产污环节见下图。</w:t>
            </w:r>
          </w:p>
          <w:p w14:paraId="42183CB4">
            <w:pPr>
              <w:pStyle w:val="29"/>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kern w:val="2"/>
                <w:sz w:val="21"/>
                <w:szCs w:val="21"/>
              </w:rPr>
            </w:pPr>
            <w:r>
              <w:rPr>
                <w:color w:val="auto"/>
              </w:rPr>
              <mc:AlternateContent>
                <mc:Choice Requires="wpc">
                  <w:drawing>
                    <wp:anchor distT="0" distB="0" distL="114300" distR="114300" simplePos="0" relativeHeight="251664384" behindDoc="0" locked="0" layoutInCell="1" allowOverlap="1">
                      <wp:simplePos x="0" y="0"/>
                      <wp:positionH relativeFrom="column">
                        <wp:posOffset>68580</wp:posOffset>
                      </wp:positionH>
                      <wp:positionV relativeFrom="paragraph">
                        <wp:posOffset>26035</wp:posOffset>
                      </wp:positionV>
                      <wp:extent cx="5137785" cy="1290320"/>
                      <wp:effectExtent l="0" t="0" r="0" b="0"/>
                      <wp:wrapNone/>
                      <wp:docPr id="112" name="画布 1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9" name="矩形 69"/>
                              <wps:cNvSpPr/>
                              <wps:spPr>
                                <a:xfrm>
                                  <a:off x="741045" y="0"/>
                                  <a:ext cx="1497330" cy="430530"/>
                                </a:xfrm>
                                <a:prstGeom prst="rect">
                                  <a:avLst/>
                                </a:prstGeom>
                                <a:noFill/>
                                <a:ln>
                                  <a:noFill/>
                                </a:ln>
                              </wps:spPr>
                              <wps:txbx>
                                <w:txbxContent>
                                  <w:p w14:paraId="6ABDCCBF">
                                    <w:pPr>
                                      <w:jc w:val="center"/>
                                      <w:rPr>
                                        <w:rFonts w:hint="eastAsia"/>
                                        <w:szCs w:val="21"/>
                                      </w:rPr>
                                    </w:pPr>
                                    <w:r>
                                      <w:rPr>
                                        <w:rFonts w:hint="eastAsia"/>
                                        <w:szCs w:val="21"/>
                                      </w:rPr>
                                      <w:t>废气（扬尘等）、废水、</w:t>
                                    </w:r>
                                  </w:p>
                                  <w:p w14:paraId="28638947">
                                    <w:pPr>
                                      <w:jc w:val="center"/>
                                      <w:rPr>
                                        <w:rFonts w:hint="eastAsia"/>
                                        <w:sz w:val="18"/>
                                        <w:szCs w:val="18"/>
                                      </w:rPr>
                                    </w:pPr>
                                    <w:r>
                                      <w:rPr>
                                        <w:rFonts w:hint="eastAsia"/>
                                        <w:szCs w:val="21"/>
                                      </w:rPr>
                                      <w:t>噪声、固废</w:t>
                                    </w:r>
                                  </w:p>
                                </w:txbxContent>
                              </wps:txbx>
                              <wps:bodyPr upright="1"/>
                            </wps:wsp>
                            <wps:wsp>
                              <wps:cNvPr id="70" name="矩形 70"/>
                              <wps:cNvSpPr/>
                              <wps:spPr>
                                <a:xfrm>
                                  <a:off x="24768" y="929640"/>
                                  <a:ext cx="799564" cy="297180"/>
                                </a:xfrm>
                                <a:prstGeom prst="rect">
                                  <a:avLst/>
                                </a:prstGeom>
                                <a:noFill/>
                                <a:ln w="9525" cap="flat" cmpd="sng">
                                  <a:solidFill>
                                    <a:srgbClr val="000000"/>
                                  </a:solidFill>
                                  <a:prstDash val="solid"/>
                                  <a:miter/>
                                  <a:headEnd type="none" w="med" len="med"/>
                                  <a:tailEnd type="none" w="med" len="med"/>
                                </a:ln>
                              </wps:spPr>
                              <wps:txbx>
                                <w:txbxContent>
                                  <w:p w14:paraId="7A2CD877">
                                    <w:pPr>
                                      <w:jc w:val="center"/>
                                      <w:rPr>
                                        <w:rFonts w:hint="eastAsia"/>
                                      </w:rPr>
                                    </w:pPr>
                                    <w:r>
                                      <w:rPr>
                                        <w:rFonts w:hint="eastAsia"/>
                                      </w:rPr>
                                      <w:t>基础工程</w:t>
                                    </w:r>
                                  </w:p>
                                </w:txbxContent>
                              </wps:txbx>
                              <wps:bodyPr upright="1"/>
                            </wps:wsp>
                            <wps:wsp>
                              <wps:cNvPr id="71" name="矩形 71"/>
                              <wps:cNvSpPr/>
                              <wps:spPr>
                                <a:xfrm>
                                  <a:off x="1134110" y="925195"/>
                                  <a:ext cx="738505" cy="297180"/>
                                </a:xfrm>
                                <a:prstGeom prst="rect">
                                  <a:avLst/>
                                </a:prstGeom>
                                <a:noFill/>
                                <a:ln w="9525" cap="flat" cmpd="sng">
                                  <a:solidFill>
                                    <a:srgbClr val="000000"/>
                                  </a:solidFill>
                                  <a:prstDash val="solid"/>
                                  <a:miter/>
                                  <a:headEnd type="none" w="med" len="med"/>
                                  <a:tailEnd type="none" w="med" len="med"/>
                                </a:ln>
                              </wps:spPr>
                              <wps:txbx>
                                <w:txbxContent>
                                  <w:p w14:paraId="3EF342AA">
                                    <w:pPr>
                                      <w:jc w:val="center"/>
                                      <w:rPr>
                                        <w:rFonts w:hint="eastAsia"/>
                                      </w:rPr>
                                    </w:pPr>
                                    <w:r>
                                      <w:rPr>
                                        <w:rFonts w:hint="eastAsia"/>
                                      </w:rPr>
                                      <w:t>主体工程</w:t>
                                    </w:r>
                                  </w:p>
                                </w:txbxContent>
                              </wps:txbx>
                              <wps:bodyPr upright="1"/>
                            </wps:wsp>
                            <wps:wsp>
                              <wps:cNvPr id="72" name="矩形 72"/>
                              <wps:cNvSpPr/>
                              <wps:spPr>
                                <a:xfrm>
                                  <a:off x="2114811" y="926465"/>
                                  <a:ext cx="763999" cy="297180"/>
                                </a:xfrm>
                                <a:prstGeom prst="rect">
                                  <a:avLst/>
                                </a:prstGeom>
                                <a:noFill/>
                                <a:ln w="9525" cap="flat" cmpd="sng">
                                  <a:solidFill>
                                    <a:srgbClr val="000000"/>
                                  </a:solidFill>
                                  <a:prstDash val="solid"/>
                                  <a:miter/>
                                  <a:headEnd type="none" w="med" len="med"/>
                                  <a:tailEnd type="none" w="med" len="med"/>
                                </a:ln>
                              </wps:spPr>
                              <wps:txbx>
                                <w:txbxContent>
                                  <w:p w14:paraId="4C78F169">
                                    <w:pPr>
                                      <w:rPr>
                                        <w:rFonts w:hint="eastAsia"/>
                                      </w:rPr>
                                    </w:pPr>
                                    <w:r>
                                      <w:rPr>
                                        <w:rFonts w:hint="eastAsia"/>
                                      </w:rPr>
                                      <w:t>设施安装</w:t>
                                    </w:r>
                                  </w:p>
                                </w:txbxContent>
                              </wps:txbx>
                              <wps:bodyPr upright="1"/>
                            </wps:wsp>
                            <wps:wsp>
                              <wps:cNvPr id="73" name="矩形 73"/>
                              <wps:cNvSpPr/>
                              <wps:spPr>
                                <a:xfrm>
                                  <a:off x="4097655" y="923925"/>
                                  <a:ext cx="773430" cy="297180"/>
                                </a:xfrm>
                                <a:prstGeom prst="rect">
                                  <a:avLst/>
                                </a:prstGeom>
                                <a:noFill/>
                                <a:ln w="9525" cap="flat" cmpd="sng">
                                  <a:solidFill>
                                    <a:srgbClr val="000000"/>
                                  </a:solidFill>
                                  <a:prstDash val="solid"/>
                                  <a:miter/>
                                  <a:headEnd type="none" w="med" len="med"/>
                                  <a:tailEnd type="none" w="med" len="med"/>
                                </a:ln>
                              </wps:spPr>
                              <wps:txbx>
                                <w:txbxContent>
                                  <w:p w14:paraId="032E2EF0">
                                    <w:pPr>
                                      <w:jc w:val="center"/>
                                      <w:rPr>
                                        <w:rFonts w:hint="eastAsia"/>
                                      </w:rPr>
                                    </w:pPr>
                                    <w:r>
                                      <w:rPr>
                                        <w:rFonts w:hint="eastAsia"/>
                                      </w:rPr>
                                      <w:t>工程验收</w:t>
                                    </w:r>
                                  </w:p>
                                </w:txbxContent>
                              </wps:txbx>
                              <wps:bodyPr upright="1"/>
                            </wps:wsp>
                            <wps:wsp>
                              <wps:cNvPr id="74" name="直接连接符 74"/>
                              <wps:cNvCnPr/>
                              <wps:spPr>
                                <a:xfrm flipV="1">
                                  <a:off x="394970" y="756285"/>
                                  <a:ext cx="635" cy="173355"/>
                                </a:xfrm>
                                <a:prstGeom prst="line">
                                  <a:avLst/>
                                </a:prstGeom>
                                <a:ln w="9525" cap="flat" cmpd="sng">
                                  <a:solidFill>
                                    <a:srgbClr val="000000"/>
                                  </a:solidFill>
                                  <a:prstDash val="solid"/>
                                  <a:headEnd type="none" w="med" len="med"/>
                                  <a:tailEnd type="none" w="med" len="med"/>
                                </a:ln>
                              </wps:spPr>
                              <wps:bodyPr upright="1"/>
                            </wps:wsp>
                            <wps:wsp>
                              <wps:cNvPr id="75" name="直接连接符 75"/>
                              <wps:cNvCnPr/>
                              <wps:spPr>
                                <a:xfrm flipV="1">
                                  <a:off x="3497580" y="470535"/>
                                  <a:ext cx="635" cy="447675"/>
                                </a:xfrm>
                                <a:prstGeom prst="line">
                                  <a:avLst/>
                                </a:prstGeom>
                                <a:ln w="9525" cap="flat" cmpd="sng">
                                  <a:solidFill>
                                    <a:srgbClr val="000000"/>
                                  </a:solidFill>
                                  <a:prstDash val="dashDot"/>
                                  <a:headEnd type="none" w="med" len="med"/>
                                  <a:tailEnd type="triangle" w="med" len="med"/>
                                </a:ln>
                              </wps:spPr>
                              <wps:bodyPr upright="1"/>
                            </wps:wsp>
                            <wps:wsp>
                              <wps:cNvPr id="76" name="直接连接符 76"/>
                              <wps:cNvCnPr/>
                              <wps:spPr>
                                <a:xfrm flipV="1">
                                  <a:off x="396289" y="760730"/>
                                  <a:ext cx="2081152" cy="635"/>
                                </a:xfrm>
                                <a:prstGeom prst="line">
                                  <a:avLst/>
                                </a:prstGeom>
                                <a:ln w="9525" cap="flat" cmpd="sng">
                                  <a:solidFill>
                                    <a:srgbClr val="000000"/>
                                  </a:solidFill>
                                  <a:prstDash val="solid"/>
                                  <a:headEnd type="none" w="med" len="med"/>
                                  <a:tailEnd type="none" w="med" len="med"/>
                                </a:ln>
                              </wps:spPr>
                              <wps:bodyPr upright="1"/>
                            </wps:wsp>
                            <wps:wsp>
                              <wps:cNvPr id="77" name="直接连接符 77"/>
                              <wps:cNvCnPr/>
                              <wps:spPr>
                                <a:xfrm flipV="1">
                                  <a:off x="2473325" y="752475"/>
                                  <a:ext cx="1905" cy="167005"/>
                                </a:xfrm>
                                <a:prstGeom prst="line">
                                  <a:avLst/>
                                </a:prstGeom>
                                <a:ln w="9525" cap="flat" cmpd="sng">
                                  <a:solidFill>
                                    <a:srgbClr val="000000"/>
                                  </a:solidFill>
                                  <a:prstDash val="solid"/>
                                  <a:headEnd type="none" w="med" len="med"/>
                                  <a:tailEnd type="none" w="med" len="med"/>
                                </a:ln>
                              </wps:spPr>
                              <wps:bodyPr upright="1"/>
                            </wps:wsp>
                            <wps:wsp>
                              <wps:cNvPr id="78" name="直接连接符 78"/>
                              <wps:cNvCnPr/>
                              <wps:spPr>
                                <a:xfrm>
                                  <a:off x="1878330" y="1073785"/>
                                  <a:ext cx="226060" cy="635"/>
                                </a:xfrm>
                                <a:prstGeom prst="line">
                                  <a:avLst/>
                                </a:prstGeom>
                                <a:ln w="9525" cap="flat" cmpd="sng">
                                  <a:solidFill>
                                    <a:srgbClr val="000000"/>
                                  </a:solidFill>
                                  <a:prstDash val="solid"/>
                                  <a:headEnd type="none" w="med" len="med"/>
                                  <a:tailEnd type="triangle" w="med" len="med"/>
                                </a:ln>
                              </wps:spPr>
                              <wps:bodyPr upright="1"/>
                            </wps:wsp>
                            <wps:wsp>
                              <wps:cNvPr id="79" name="直接连接符 79"/>
                              <wps:cNvCnPr/>
                              <wps:spPr>
                                <a:xfrm>
                                  <a:off x="833755" y="1079500"/>
                                  <a:ext cx="313055" cy="635"/>
                                </a:xfrm>
                                <a:prstGeom prst="line">
                                  <a:avLst/>
                                </a:prstGeom>
                                <a:ln w="9525" cap="flat" cmpd="sng">
                                  <a:solidFill>
                                    <a:srgbClr val="000000"/>
                                  </a:solidFill>
                                  <a:prstDash val="solid"/>
                                  <a:headEnd type="none" w="med" len="med"/>
                                  <a:tailEnd type="triangle" w="med" len="med"/>
                                </a:ln>
                              </wps:spPr>
                              <wps:bodyPr upright="1"/>
                            </wps:wsp>
                            <wps:wsp>
                              <wps:cNvPr id="80" name="直接连接符 80"/>
                              <wps:cNvCnPr/>
                              <wps:spPr>
                                <a:xfrm flipV="1">
                                  <a:off x="1450340" y="471170"/>
                                  <a:ext cx="9525" cy="285115"/>
                                </a:xfrm>
                                <a:prstGeom prst="line">
                                  <a:avLst/>
                                </a:prstGeom>
                                <a:ln w="9525" cap="flat" cmpd="sng">
                                  <a:solidFill>
                                    <a:srgbClr val="000000"/>
                                  </a:solidFill>
                                  <a:prstDash val="dashDot"/>
                                  <a:headEnd type="none" w="med" len="med"/>
                                  <a:tailEnd type="triangle" w="med" len="med"/>
                                </a:ln>
                              </wps:spPr>
                              <wps:bodyPr upright="1"/>
                            </wps:wsp>
                            <wps:wsp>
                              <wps:cNvPr id="81" name="矩形 81"/>
                              <wps:cNvSpPr/>
                              <wps:spPr>
                                <a:xfrm>
                                  <a:off x="2846070" y="118745"/>
                                  <a:ext cx="1285240" cy="309245"/>
                                </a:xfrm>
                                <a:prstGeom prst="rect">
                                  <a:avLst/>
                                </a:prstGeom>
                                <a:noFill/>
                                <a:ln>
                                  <a:noFill/>
                                </a:ln>
                              </wps:spPr>
                              <wps:txbx>
                                <w:txbxContent>
                                  <w:p w14:paraId="28060410">
                                    <w:pPr>
                                      <w:jc w:val="center"/>
                                      <w:rPr>
                                        <w:rFonts w:hint="eastAsia"/>
                                        <w:szCs w:val="21"/>
                                      </w:rPr>
                                    </w:pPr>
                                    <w:r>
                                      <w:rPr>
                                        <w:rFonts w:hint="eastAsia"/>
                                        <w:szCs w:val="21"/>
                                      </w:rPr>
                                      <w:t>废气、噪声、固废</w:t>
                                    </w:r>
                                  </w:p>
                                </w:txbxContent>
                              </wps:txbx>
                              <wps:bodyPr upright="1"/>
                            </wps:wsp>
                            <wps:wsp>
                              <wps:cNvPr id="100" name="直接连接符 100"/>
                              <wps:cNvCnPr/>
                              <wps:spPr>
                                <a:xfrm>
                                  <a:off x="2889607" y="1071245"/>
                                  <a:ext cx="215927" cy="0"/>
                                </a:xfrm>
                                <a:prstGeom prst="line">
                                  <a:avLst/>
                                </a:prstGeom>
                                <a:ln w="9525" cap="flat" cmpd="sng">
                                  <a:solidFill>
                                    <a:srgbClr val="000000"/>
                                  </a:solidFill>
                                  <a:prstDash val="solid"/>
                                  <a:headEnd type="none" w="med" len="med"/>
                                  <a:tailEnd type="triangle" w="med" len="med"/>
                                </a:ln>
                              </wps:spPr>
                              <wps:bodyPr upright="1"/>
                            </wps:wsp>
                            <wps:wsp>
                              <wps:cNvPr id="101" name="矩形 101"/>
                              <wps:cNvSpPr/>
                              <wps:spPr>
                                <a:xfrm>
                                  <a:off x="3106420" y="923925"/>
                                  <a:ext cx="762000" cy="292100"/>
                                </a:xfrm>
                                <a:prstGeom prst="rect">
                                  <a:avLst/>
                                </a:prstGeom>
                                <a:noFill/>
                                <a:ln w="9525" cap="flat" cmpd="sng">
                                  <a:solidFill>
                                    <a:srgbClr val="000000"/>
                                  </a:solidFill>
                                  <a:prstDash val="solid"/>
                                  <a:miter/>
                                  <a:headEnd type="none" w="med" len="med"/>
                                  <a:tailEnd type="none" w="med" len="med"/>
                                </a:ln>
                              </wps:spPr>
                              <wps:txbx>
                                <w:txbxContent>
                                  <w:p w14:paraId="622CA210">
                                    <w:pPr>
                                      <w:rPr>
                                        <w:rFonts w:hint="eastAsia"/>
                                      </w:rPr>
                                    </w:pPr>
                                    <w:r>
                                      <w:rPr>
                                        <w:rFonts w:hint="eastAsia"/>
                                      </w:rPr>
                                      <w:t>装饰工程</w:t>
                                    </w:r>
                                  </w:p>
                                </w:txbxContent>
                              </wps:txbx>
                              <wps:bodyPr upright="1"/>
                            </wps:wsp>
                            <wps:wsp>
                              <wps:cNvPr id="106" name="直接连接符 106"/>
                              <wps:cNvCnPr/>
                              <wps:spPr>
                                <a:xfrm>
                                  <a:off x="3872865" y="1075690"/>
                                  <a:ext cx="215900" cy="0"/>
                                </a:xfrm>
                                <a:prstGeom prst="line">
                                  <a:avLst/>
                                </a:prstGeom>
                                <a:ln w="9525" cap="flat" cmpd="sng">
                                  <a:solidFill>
                                    <a:srgbClr val="000000"/>
                                  </a:solidFill>
                                  <a:prstDash val="solid"/>
                                  <a:headEnd type="none" w="med" len="med"/>
                                  <a:tailEnd type="triangle" w="med" len="med"/>
                                </a:ln>
                              </wps:spPr>
                              <wps:bodyPr upright="1"/>
                            </wps:wsp>
                          </wpc:wpc>
                        </a:graphicData>
                      </a:graphic>
                    </wp:anchor>
                  </w:drawing>
                </mc:Choice>
                <mc:Fallback>
                  <w:pict>
                    <v:group id="_x0000_s1026" o:spid="_x0000_s1026" o:spt="203" style="position:absolute;left:0pt;margin-left:5.4pt;margin-top:2.05pt;height:101.6pt;width:404.55pt;z-index:251664384;mso-width-relative:page;mso-height-relative:page;" coordsize="5137785,1290320" editas="canvas" o:gfxdata="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">
                      <o:lock v:ext="edit" aspectratio="f"/>
                      <v:shape id="_x0000_s1026" o:spid="_x0000_s1026" style="position:absolute;left:0;top:0;height:1290320;width:5137785;" filled="f" stroked="f" coordsize="21600,21600" o:gfxdata="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">
                        <v:fill on="f" focussize="0,0"/>
                        <v:stroke on="f"/>
                        <v:imagedata o:title=""/>
                        <o:lock v:ext="edit" aspectratio="t"/>
                      </v:shape>
                      <v:rect id="_x0000_s1026" o:spid="_x0000_s1026" o:spt="1" style="position:absolute;left:741045;top:0;height:430530;width:1497330;" filled="f" stroked="f" coordsize="21600,21600" o:gfxdata="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5FyhP9kAAAAI&#10;AQAADwAAAAAAAAABACAAAAAiAAAAZHJzL2Rvd25yZXYueG1sUEsBAhQAFAAAAAgAh07iQC3KdHWp&#10;AQAASAMAAA4AAAAAAAAAAQAgAAAAKAEAAGRycy9lMm9Eb2MueG1sUEsFBgAAAAAGAAYAWQEAAEMF&#10;AAAAAA==&#10;">
                        <v:fill on="f" focussize="0,0"/>
                        <v:stroke on="f"/>
                        <v:imagedata o:title=""/>
                        <o:lock v:ext="edit" aspectratio="f"/>
                        <v:textbox>
                          <w:txbxContent>
                            <w:p w14:paraId="6ABDCCBF">
                              <w:pPr>
                                <w:jc w:val="center"/>
                                <w:rPr>
                                  <w:rFonts w:hint="eastAsia"/>
                                  <w:szCs w:val="21"/>
                                </w:rPr>
                              </w:pPr>
                              <w:r>
                                <w:rPr>
                                  <w:rFonts w:hint="eastAsia"/>
                                  <w:szCs w:val="21"/>
                                </w:rPr>
                                <w:t>废气（扬尘等）、废水、</w:t>
                              </w:r>
                            </w:p>
                            <w:p w14:paraId="28638947">
                              <w:pPr>
                                <w:jc w:val="center"/>
                                <w:rPr>
                                  <w:rFonts w:hint="eastAsia"/>
                                  <w:sz w:val="18"/>
                                  <w:szCs w:val="18"/>
                                </w:rPr>
                              </w:pPr>
                              <w:r>
                                <w:rPr>
                                  <w:rFonts w:hint="eastAsia"/>
                                  <w:szCs w:val="21"/>
                                </w:rPr>
                                <w:t>噪声、固废</w:t>
                              </w:r>
                            </w:p>
                          </w:txbxContent>
                        </v:textbox>
                      </v:rect>
                      <v:rect id="_x0000_s1026" o:spid="_x0000_s1026" o:spt="1" style="position:absolute;left:24768;top:929640;height:297180;width:799564;" filled="f" stroked="t" coordsize="21600,21600" o:gfxdata="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&#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JxKe/1gAAAAgBAAAPAAAAAAAAAAEAIAAAACIAAABk&#10;cnMvZG93bnJldi54bWxQSwECFAAUAAAACACHTuJALpp/gggCAAAKBAAADgAAAAAAAAABACAAAAAl&#10;AQAAZHJzL2Uyb0RvYy54bWxQSwUGAAAAAAYABgBZAQAAnwUAAAAA&#10;">
                        <v:fill on="f" focussize="0,0"/>
                        <v:stroke color="#000000" joinstyle="miter"/>
                        <v:imagedata o:title=""/>
                        <o:lock v:ext="edit" aspectratio="f"/>
                        <v:textbox>
                          <w:txbxContent>
                            <w:p w14:paraId="7A2CD877">
                              <w:pPr>
                                <w:jc w:val="center"/>
                                <w:rPr>
                                  <w:rFonts w:hint="eastAsia"/>
                                </w:rPr>
                              </w:pPr>
                              <w:r>
                                <w:rPr>
                                  <w:rFonts w:hint="eastAsia"/>
                                </w:rPr>
                                <w:t>基础工程</w:t>
                              </w:r>
                            </w:p>
                          </w:txbxContent>
                        </v:textbox>
                      </v:rect>
                      <v:rect id="_x0000_s1026" o:spid="_x0000_s1026" o:spt="1" style="position:absolute;left:1134110;top:925195;height:297180;width:738505;" filled="f" stroked="t" coordsize="21600,21600" o:gfxdata="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icSnv9YAAAAIAQAADwAAAAAAAAABACAAAAAiAAAA&#10;ZHJzL2Rvd25yZXYueG1sUEsBAhQAFAAAAAgAh07iQMIgdbwJAgAADAQAAA4AAAAAAAAAAQAgAAAA&#10;JQEAAGRycy9lMm9Eb2MueG1sUEsFBgAAAAAGAAYAWQEAAKAFAAAAAA==&#10;">
                        <v:fill on="f" focussize="0,0"/>
                        <v:stroke color="#000000" joinstyle="miter"/>
                        <v:imagedata o:title=""/>
                        <o:lock v:ext="edit" aspectratio="f"/>
                        <v:textbox>
                          <w:txbxContent>
                            <w:p w14:paraId="3EF342AA">
                              <w:pPr>
                                <w:jc w:val="center"/>
                                <w:rPr>
                                  <w:rFonts w:hint="eastAsia"/>
                                </w:rPr>
                              </w:pPr>
                              <w:r>
                                <w:rPr>
                                  <w:rFonts w:hint="eastAsia"/>
                                </w:rPr>
                                <w:t>主体工程</w:t>
                              </w:r>
                            </w:p>
                          </w:txbxContent>
                        </v:textbox>
                      </v:rect>
                      <v:rect id="_x0000_s1026" o:spid="_x0000_s1026" o:spt="1" style="position:absolute;left:2114811;top:926465;height:297180;width:763999;" filled="f" stroked="t" coordsize="21600,21600" o:gfxdata="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nEp7/WAAAACAEAAA8AAAAAAAAAAQAgAAAAIgAA&#10;AGRycy9kb3ducmV2LnhtbFBLAQIUABQAAAAIAIdO4kBOhXAlCgIAAAwEAAAOAAAAAAAAAAEAIAAA&#10;ACUBAABkcnMvZTJvRG9jLnhtbFBLBQYAAAAABgAGAFkBAAChBQAAAAA=&#10;">
                        <v:fill on="f" focussize="0,0"/>
                        <v:stroke color="#000000" joinstyle="miter"/>
                        <v:imagedata o:title=""/>
                        <o:lock v:ext="edit" aspectratio="f"/>
                        <v:textbox>
                          <w:txbxContent>
                            <w:p w14:paraId="4C78F169">
                              <w:pPr>
                                <w:rPr>
                                  <w:rFonts w:hint="eastAsia"/>
                                </w:rPr>
                              </w:pPr>
                              <w:r>
                                <w:rPr>
                                  <w:rFonts w:hint="eastAsia"/>
                                </w:rPr>
                                <w:t>设施安装</w:t>
                              </w:r>
                            </w:p>
                          </w:txbxContent>
                        </v:textbox>
                      </v:rect>
                      <v:rect id="_x0000_s1026" o:spid="_x0000_s1026" o:spt="1" style="position:absolute;left:4097655;top:923925;height:297180;width:773430;" filled="f" stroked="t" coordsize="21600,21600" o:gfxdata="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xKe/1gAAAAgBAAAPAAAAAAAAAAEAIAAAACIA&#10;AABkcnMvZG93bnJldi54bWxQSwECFAAUAAAACACHTuJA9TgRuwsCAAAMBAAADgAAAAAAAAABACAA&#10;AAAlAQAAZHJzL2Uyb0RvYy54bWxQSwUGAAAAAAYABgBZAQAAogUAAAAA&#10;">
                        <v:fill on="f" focussize="0,0"/>
                        <v:stroke color="#000000" joinstyle="miter"/>
                        <v:imagedata o:title=""/>
                        <o:lock v:ext="edit" aspectratio="f"/>
                        <v:textbox>
                          <w:txbxContent>
                            <w:p w14:paraId="032E2EF0">
                              <w:pPr>
                                <w:jc w:val="center"/>
                                <w:rPr>
                                  <w:rFonts w:hint="eastAsia"/>
                                </w:rPr>
                              </w:pPr>
                              <w:r>
                                <w:rPr>
                                  <w:rFonts w:hint="eastAsia"/>
                                </w:rPr>
                                <w:t>工程验收</w:t>
                              </w:r>
                            </w:p>
                          </w:txbxContent>
                        </v:textbox>
                      </v:rect>
                      <v:line id="_x0000_s1026" o:spid="_x0000_s1026" o:spt="20" style="position:absolute;left:394970;top:756285;flip:y;height:173355;width:635;" filled="f" stroked="t" coordsize="21600,21600" o:gfxdata="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ACLVRdUAAAAIAQAADwAAAAAAAAABACAAAAAi&#10;AAAAZHJzL2Rvd25yZXYueG1sUEsBAhQAFAAAAAgAh07iQJbWyjENAgAA+wMAAA4AAAAAAAAAAQAg&#10;AAAAJAEAAGRycy9lMm9Eb2MueG1sUEsFBgAAAAAGAAYAWQEAAKMFAAAAAA==&#10;">
                        <v:fill on="f" focussize="0,0"/>
                        <v:stroke color="#000000" joinstyle="round"/>
                        <v:imagedata o:title=""/>
                        <o:lock v:ext="edit" aspectratio="f"/>
                      </v:line>
                      <v:line id="_x0000_s1026" o:spid="_x0000_s1026" o:spt="20" style="position:absolute;left:3497580;top:470535;flip:y;height:447675;width:635;" filled="f" stroked="t" coordsize="21600,21600" o:gfxdata="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NQD45vWAAAACAEAAA8AAAAA&#10;AAAAAQAgAAAAIgAAAGRycy9kb3ducmV2LnhtbFBLAQIUABQAAAAIAIdO4kBul5gpFgIAAAIEAAAO&#10;AAAAAAAAAAEAIAAAACUBAABkcnMvZTJvRG9jLnhtbFBLBQYAAAAABgAGAFkBAACtBQAAAAA=&#10;">
                        <v:fill on="f" focussize="0,0"/>
                        <v:stroke color="#000000" joinstyle="round" dashstyle="dashDot" endarrow="block"/>
                        <v:imagedata o:title=""/>
                        <o:lock v:ext="edit" aspectratio="f"/>
                      </v:line>
                      <v:line id="_x0000_s1026" o:spid="_x0000_s1026" o:spt="20" style="position:absolute;left:396289;top:760730;flip:y;height:635;width:2081152;" filled="f" stroked="t" coordsize="21600,21600" o:gfxdata="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ACLVRdUAAAAIAQAADwAAAAAAAAABACAAAAAiAAAA&#10;ZHJzL2Rvd25yZXYueG1sUEsBAhQAFAAAAAgAh07iQIQYkNgKAgAA/AMAAA4AAAAAAAAAAQAgAAAA&#10;JAEAAGRycy9lMm9Eb2MueG1sUEsFBgAAAAAGAAYAWQEAAKAFAAAAAA==&#10;">
                        <v:fill on="f" focussize="0,0"/>
                        <v:stroke color="#000000" joinstyle="round"/>
                        <v:imagedata o:title=""/>
                        <o:lock v:ext="edit" aspectratio="f"/>
                      </v:line>
                      <v:line id="_x0000_s1026" o:spid="_x0000_s1026" o:spt="20" style="position:absolute;left:2473325;top:752475;flip:y;height:167005;width:1905;" filled="f" stroked="t" coordsize="21600,21600" o:gfxdata="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AItVF1QAAAAgBAAAPAAAAAAAAAAEAIAAAACIAAABk&#10;cnMvZG93bnJldi54bWxQSwECFAAUAAAACACHTuJAd9TGdwkCAAD9AwAADgAAAAAAAAABACAAAAAk&#10;AQAAZHJzL2Uyb0RvYy54bWxQSwUGAAAAAAYABgBZAQAAnwUAAAAA&#10;">
                        <v:fill on="f" focussize="0,0"/>
                        <v:stroke color="#000000" joinstyle="round"/>
                        <v:imagedata o:title=""/>
                        <o:lock v:ext="edit" aspectratio="f"/>
                      </v:line>
                      <v:line id="_x0000_s1026" o:spid="_x0000_s1026" o:spt="20" style="position:absolute;left:1878330;top:1073785;height:635;width:226060;" filled="f" stroked="t" coordsize="21600,21600" o:gfxdata="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nQs132AAAAAgBAAAPAAAAAAAAAAEAIAAA&#10;ACIAAABkcnMvZG93bnJldi54bWxQSwECFAAUAAAACACHTuJA5kMHrAwCAAD3AwAADgAAAAAAAAAB&#10;ACAAAAAnAQAAZHJzL2Uyb0RvYy54bWxQSwUGAAAAAAYABgBZAQAApQUAAAAA&#10;">
                        <v:fill on="f" focussize="0,0"/>
                        <v:stroke color="#000000" joinstyle="round" endarrow="block"/>
                        <v:imagedata o:title=""/>
                        <o:lock v:ext="edit" aspectratio="f"/>
                      </v:line>
                      <v:line id="_x0000_s1026" o:spid="_x0000_s1026" o:spt="20" style="position:absolute;left:833755;top:1079500;height:635;width:313055;" filled="f" stroked="t" coordsize="21600,21600" o:gfxdata="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CdCzXfYAAAACAEAAA8AAAAAAAAAAQAgAAAAIgAA&#10;AGRycy9kb3ducmV2LnhtbFBLAQIUABQAAAAIAIdO4kDiGm7XCAIAAPYDAAAOAAAAAAAAAAEAIAAA&#10;ACcBAABkcnMvZTJvRG9jLnhtbFBLBQYAAAAABgAGAFkBAAChBQAAAAA=&#10;">
                        <v:fill on="f" focussize="0,0"/>
                        <v:stroke color="#000000" joinstyle="round" endarrow="block"/>
                        <v:imagedata o:title=""/>
                        <o:lock v:ext="edit" aspectratio="f"/>
                      </v:line>
                      <v:line id="_x0000_s1026" o:spid="_x0000_s1026" o:spt="20" style="position:absolute;left:1450340;top:471170;flip:y;height:285115;width:9525;" filled="f" stroked="t" coordsize="21600,21600" o:gfxdata="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NQD45vWAAAACAEAAA8AAAAAAAAAAQAg&#10;AAAAIgAAAGRycy9kb3ducmV2LnhtbFBLAQIUABQAAAAIAIdO4kA0emo4EAIAAAMEAAAOAAAAAAAA&#10;AAEAIAAAACUBAABkcnMvZTJvRG9jLnhtbFBLBQYAAAAABgAGAFkBAACnBQAAAAA=&#10;">
                        <v:fill on="f" focussize="0,0"/>
                        <v:stroke color="#000000" joinstyle="round" dashstyle="dashDot" endarrow="block"/>
                        <v:imagedata o:title=""/>
                        <o:lock v:ext="edit" aspectratio="f"/>
                      </v:line>
                      <v:rect id="_x0000_s1026" o:spid="_x0000_s1026" o:spt="1" style="position:absolute;left:2846070;top:118745;height:309245;width:1285240;" filled="f" stroked="f" coordsize="21600,21600" o:gfxdata="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5Fyh&#10;P9kAAAAIAQAADwAAAAAAAAABACAAAAAiAAAAZHJzL2Rvd25yZXYueG1sUEsBAhQAFAAAAAgAh07i&#10;QGhoZPKvAQAATgMAAA4AAAAAAAAAAQAgAAAAKAEAAGRycy9lMm9Eb2MueG1sUEsFBgAAAAAGAAYA&#10;WQEAAEkFAAAAAA==&#10;">
                        <v:fill on="f" focussize="0,0"/>
                        <v:stroke on="f"/>
                        <v:imagedata o:title=""/>
                        <o:lock v:ext="edit" aspectratio="f"/>
                        <v:textbox>
                          <w:txbxContent>
                            <w:p w14:paraId="28060410">
                              <w:pPr>
                                <w:jc w:val="center"/>
                                <w:rPr>
                                  <w:rFonts w:hint="eastAsia"/>
                                  <w:szCs w:val="21"/>
                                </w:rPr>
                              </w:pPr>
                              <w:r>
                                <w:rPr>
                                  <w:rFonts w:hint="eastAsia"/>
                                  <w:szCs w:val="21"/>
                                </w:rPr>
                                <w:t>废气、噪声、固废</w:t>
                              </w:r>
                            </w:p>
                          </w:txbxContent>
                        </v:textbox>
                      </v:rect>
                      <v:line id="_x0000_s1026" o:spid="_x0000_s1026" o:spt="20" style="position:absolute;left:2889607;top:1071245;height:0;width:215927;" filled="f" stroked="t" coordsize="21600,21600" o:gfxdata="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J0LNd9gAAAAIAQAADwAAAAAAAAABACAAAAAi&#10;AAAAZHJzL2Rvd25yZXYueG1sUEsBAhQAFAAAAAgAh07iQAVAImgKAgAA9wMAAA4AAAAAAAAAAQAg&#10;AAAAJwEAAGRycy9lMm9Eb2MueG1sUEsFBgAAAAAGAAYAWQEAAKMFAAAAAA==&#10;">
                        <v:fill on="f" focussize="0,0"/>
                        <v:stroke color="#000000" joinstyle="round" endarrow="block"/>
                        <v:imagedata o:title=""/>
                        <o:lock v:ext="edit" aspectratio="f"/>
                      </v:line>
                      <v:rect id="_x0000_s1026" o:spid="_x0000_s1026" o:spt="1" style="position:absolute;left:3106420;top:923925;height:292100;width:762000;" filled="f" stroked="t" coordsize="21600,21600" o:gfxdata="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JxKe/1gAAAAgBAAAPAAAAAAAAAAEAIAAAACIAAABkcnMv&#10;ZG93bnJldi54bWxQSwECFAAUAAAACACHTuJAJLii4wUCAAAOBAAADgAAAAAAAAABACAAAAAlAQAA&#10;ZHJzL2Uyb0RvYy54bWxQSwUGAAAAAAYABgBZAQAAnAUAAAAA&#10;">
                        <v:fill on="f" focussize="0,0"/>
                        <v:stroke color="#000000" joinstyle="miter"/>
                        <v:imagedata o:title=""/>
                        <o:lock v:ext="edit" aspectratio="f"/>
                        <v:textbox>
                          <w:txbxContent>
                            <w:p w14:paraId="622CA210">
                              <w:pPr>
                                <w:rPr>
                                  <w:rFonts w:hint="eastAsia"/>
                                </w:rPr>
                              </w:pPr>
                              <w:r>
                                <w:rPr>
                                  <w:rFonts w:hint="eastAsia"/>
                                </w:rPr>
                                <w:t>装饰工程</w:t>
                              </w:r>
                            </w:p>
                          </w:txbxContent>
                        </v:textbox>
                      </v:rect>
                      <v:line id="_x0000_s1026" o:spid="_x0000_s1026" o:spt="20" style="position:absolute;left:3872865;top:1075690;height:0;width:215900;" filled="f" stroked="t" coordsize="21600,21600" o:gfxdata="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nQs132AAAAAgBAAAPAAAAAAAAAAEAIAAA&#10;ACIAAABkcnMvZG93bnJldi54bWxQSwECFAAUAAAACACHTuJAc6iqtgwCAAD3AwAADgAAAAAAAAAB&#10;ACAAAAAnAQAAZHJzL2Uyb0RvYy54bWxQSwUGAAAAAAYABgBZAQAApQUAAAAA&#10;">
                        <v:fill on="f" focussize="0,0"/>
                        <v:stroke color="#000000" joinstyle="round" endarrow="block"/>
                        <v:imagedata o:title=""/>
                        <o:lock v:ext="edit" aspectratio="f"/>
                      </v:line>
                    </v:group>
                  </w:pict>
                </mc:Fallback>
              </mc:AlternateContent>
            </w:r>
          </w:p>
          <w:p w14:paraId="357768D1">
            <w:pPr>
              <w:pStyle w:val="29"/>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kern w:val="2"/>
                <w:sz w:val="21"/>
                <w:szCs w:val="21"/>
              </w:rPr>
            </w:pPr>
          </w:p>
          <w:p w14:paraId="09744224">
            <w:pPr>
              <w:pStyle w:val="29"/>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kern w:val="2"/>
                <w:sz w:val="21"/>
                <w:szCs w:val="21"/>
              </w:rPr>
            </w:pPr>
          </w:p>
          <w:p w14:paraId="524186F0">
            <w:pPr>
              <w:pStyle w:val="29"/>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kern w:val="2"/>
                <w:sz w:val="21"/>
                <w:szCs w:val="21"/>
              </w:rPr>
            </w:pPr>
          </w:p>
          <w:p w14:paraId="38CE23D2">
            <w:pPr>
              <w:pStyle w:val="29"/>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kern w:val="2"/>
                <w:sz w:val="21"/>
                <w:szCs w:val="21"/>
              </w:rPr>
            </w:pPr>
          </w:p>
          <w:p w14:paraId="34C28DA6">
            <w:pPr>
              <w:pStyle w:val="29"/>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kern w:val="2"/>
                <w:sz w:val="21"/>
                <w:szCs w:val="21"/>
              </w:rPr>
            </w:pPr>
          </w:p>
          <w:p w14:paraId="56B4976C">
            <w:pPr>
              <w:keepNext w:val="0"/>
              <w:keepLines w:val="0"/>
              <w:widowControl w:val="0"/>
              <w:suppressLineNumbers w:val="0"/>
              <w:adjustRightInd w:val="0"/>
              <w:spacing w:before="0" w:beforeAutospacing="0" w:after="0" w:afterAutospacing="0" w:line="360" w:lineRule="auto"/>
              <w:ind w:left="0" w:right="0"/>
              <w:jc w:val="center"/>
              <w:outlineLvl w:val="0"/>
              <w:rPr>
                <w:rFonts w:hint="default" w:ascii="Times New Roman" w:hAnsi="Times New Roman" w:cs="Times New Roman"/>
                <w:color w:val="auto"/>
                <w:kern w:val="2"/>
                <w:sz w:val="21"/>
                <w:szCs w:val="21"/>
              </w:rPr>
            </w:pPr>
            <w:bookmarkStart w:id="9" w:name="_Toc30991"/>
            <w:r>
              <w:rPr>
                <w:rFonts w:hint="eastAsia" w:ascii="宋体" w:hAnsi="宋体" w:eastAsia="宋体" w:cs="宋体"/>
                <w:b/>
                <w:bCs w:val="0"/>
                <w:color w:val="auto"/>
                <w:kern w:val="0"/>
                <w:sz w:val="21"/>
                <w:szCs w:val="21"/>
                <w:lang w:val="en-US" w:eastAsia="zh-CN" w:bidi="ar"/>
              </w:rPr>
              <w:t>图</w:t>
            </w:r>
            <w:r>
              <w:rPr>
                <w:rFonts w:hint="default" w:ascii="Times New Roman" w:hAnsi="Times New Roman" w:cs="Times New Roman"/>
                <w:b/>
                <w:bCs w:val="0"/>
                <w:color w:val="auto"/>
                <w:kern w:val="0"/>
                <w:sz w:val="21"/>
                <w:szCs w:val="21"/>
                <w:lang w:val="en-US" w:eastAsia="zh-CN" w:bidi="ar"/>
              </w:rPr>
              <w:t>2</w:t>
            </w:r>
            <w:r>
              <w:rPr>
                <w:rFonts w:hint="default" w:ascii="Times New Roman" w:hAnsi="Times New Roman" w:eastAsia="宋体" w:cs="Times New Roman"/>
                <w:b/>
                <w:bCs w:val="0"/>
                <w:color w:val="auto"/>
                <w:kern w:val="0"/>
                <w:sz w:val="21"/>
                <w:szCs w:val="21"/>
                <w:lang w:val="en-US" w:eastAsia="zh-CN" w:bidi="ar"/>
              </w:rPr>
              <w:t>-2</w:t>
            </w:r>
            <w:r>
              <w:rPr>
                <w:rFonts w:hint="default" w:ascii="Times New Roman" w:hAnsi="Times New Roman" w:cs="Times New Roman"/>
                <w:b/>
                <w:bCs w:val="0"/>
                <w:color w:val="auto"/>
                <w:kern w:val="0"/>
                <w:sz w:val="21"/>
                <w:szCs w:val="21"/>
                <w:lang w:val="en-US" w:eastAsia="zh-CN" w:bidi="ar"/>
              </w:rPr>
              <w:t xml:space="preserve">  </w:t>
            </w:r>
            <w:r>
              <w:rPr>
                <w:rFonts w:hint="eastAsia" w:ascii="宋体" w:hAnsi="宋体" w:eastAsia="宋体" w:cs="宋体"/>
                <w:b/>
                <w:bCs w:val="0"/>
                <w:color w:val="auto"/>
                <w:kern w:val="0"/>
                <w:sz w:val="21"/>
                <w:szCs w:val="21"/>
                <w:lang w:val="en-US" w:eastAsia="zh-CN" w:bidi="ar"/>
              </w:rPr>
              <w:t>施工期工艺流程及产污节点图</w:t>
            </w:r>
            <w:bookmarkEnd w:id="9"/>
          </w:p>
          <w:p w14:paraId="7F242806">
            <w:pPr>
              <w:pStyle w:val="29"/>
              <w:keepNext w:val="0"/>
              <w:keepLines w:val="0"/>
              <w:widowControl w:val="0"/>
              <w:suppressLineNumbers w:val="0"/>
              <w:spacing w:before="0" w:beforeAutospacing="0" w:after="0" w:afterAutospacing="0" w:line="360" w:lineRule="auto"/>
              <w:ind w:left="0" w:right="0" w:firstLine="460" w:firstLineChars="192"/>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废气：土建工程的土方挖填、运输过程产生的扬尘、装修废气及施工设备和运输设备产生的废气。</w:t>
            </w:r>
          </w:p>
          <w:p w14:paraId="417A6A84">
            <w:pPr>
              <w:pStyle w:val="29"/>
              <w:keepNext w:val="0"/>
              <w:keepLines w:val="0"/>
              <w:widowControl w:val="0"/>
              <w:suppressLineNumbers w:val="0"/>
              <w:spacing w:before="0" w:beforeAutospacing="0" w:after="0" w:afterAutospacing="0" w:line="360" w:lineRule="auto"/>
              <w:ind w:left="0" w:right="0" w:firstLine="460" w:firstLineChars="192"/>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废水：主要为施工废水。施工废水主要来源于混凝土冲洗、养护等作业中多余或</w:t>
            </w:r>
            <w:r>
              <w:rPr>
                <w:rFonts w:hint="eastAsia" w:ascii="Times New Roman" w:hAnsi="Times New Roman" w:cs="Times New Roman"/>
                <w:color w:val="auto"/>
                <w:kern w:val="2"/>
                <w:sz w:val="24"/>
                <w:szCs w:val="24"/>
                <w:lang w:val="en-US" w:eastAsia="zh-CN" w:bidi="ar"/>
              </w:rPr>
              <w:t>泄漏</w:t>
            </w:r>
            <w:r>
              <w:rPr>
                <w:rFonts w:hint="default" w:ascii="Times New Roman" w:hAnsi="Times New Roman" w:eastAsia="宋体" w:cs="Times New Roman"/>
                <w:color w:val="auto"/>
                <w:kern w:val="2"/>
                <w:sz w:val="24"/>
                <w:szCs w:val="24"/>
                <w:lang w:val="en-US" w:eastAsia="zh-CN" w:bidi="ar"/>
              </w:rPr>
              <w:t>的废水，清洗机具、运输车辆等少量废水。</w:t>
            </w:r>
          </w:p>
          <w:p w14:paraId="4E4B2CDD">
            <w:pPr>
              <w:pStyle w:val="29"/>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噪声：冲击机、底板及结构阶段的电焊机、空压机等，运输车辆产生的噪声、设备安装过程中产生的噪声。</w:t>
            </w:r>
          </w:p>
          <w:p w14:paraId="7EEB46FD">
            <w:pPr>
              <w:keepNext w:val="0"/>
              <w:keepLines w:val="0"/>
              <w:widowControl w:val="0"/>
              <w:suppressLineNumbers w:val="0"/>
              <w:topLinePunct/>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bCs/>
                <w:color w:val="auto"/>
                <w:kern w:val="0"/>
                <w:sz w:val="24"/>
                <w:szCs w:val="24"/>
              </w:rPr>
            </w:pPr>
            <w:r>
              <w:rPr>
                <w:rFonts w:hint="default" w:ascii="Times New Roman" w:hAnsi="Times New Roman" w:eastAsia="宋体" w:cs="Times New Roman"/>
                <w:color w:val="auto"/>
                <w:kern w:val="2"/>
                <w:sz w:val="24"/>
                <w:szCs w:val="24"/>
                <w:lang w:val="en-US" w:eastAsia="zh-CN" w:bidi="ar"/>
              </w:rPr>
              <w:t>固废：主要来源于施工过程中开挖的土石方、建筑垃圾及施工人员产生的生活垃圾。</w:t>
            </w:r>
          </w:p>
          <w:p w14:paraId="397E25CC">
            <w:pPr>
              <w:keepNext w:val="0"/>
              <w:keepLines w:val="0"/>
              <w:widowControl w:val="0"/>
              <w:suppressLineNumbers w:val="0"/>
              <w:topLinePunct/>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bCs/>
                <w:color w:val="auto"/>
                <w:kern w:val="0"/>
                <w:sz w:val="24"/>
                <w:szCs w:val="24"/>
              </w:rPr>
            </w:pPr>
            <w:r>
              <w:rPr>
                <w:rFonts w:hint="default" w:ascii="Times New Roman" w:hAnsi="Times New Roman" w:eastAsia="宋体" w:cs="Times New Roman"/>
                <w:color w:val="auto"/>
                <w:kern w:val="0"/>
                <w:sz w:val="24"/>
                <w:szCs w:val="24"/>
                <w:lang w:val="en-US" w:eastAsia="zh-CN" w:bidi="ar"/>
              </w:rPr>
              <w:t>项目施工期主要污染源分析见下表。</w:t>
            </w:r>
          </w:p>
          <w:p w14:paraId="114665CE">
            <w:pPr>
              <w:keepNext w:val="0"/>
              <w:keepLines w:val="0"/>
              <w:widowControl w:val="0"/>
              <w:suppressLineNumbers w:val="0"/>
              <w:adjustRightInd w:val="0"/>
              <w:snapToGrid w:val="0"/>
              <w:spacing w:before="0" w:beforeAutospacing="0" w:after="0" w:afterAutospacing="0"/>
              <w:ind w:left="0" w:right="0"/>
              <w:jc w:val="center"/>
              <w:rPr>
                <w:color w:val="auto"/>
              </w:rPr>
            </w:pPr>
            <w:r>
              <w:rPr>
                <w:rFonts w:hint="eastAsia" w:ascii="宋体" w:hAnsi="宋体" w:eastAsia="宋体" w:cs="宋体"/>
                <w:b/>
                <w:bCs w:val="0"/>
                <w:color w:val="auto"/>
                <w:kern w:val="2"/>
                <w:sz w:val="21"/>
                <w:szCs w:val="21"/>
                <w:lang w:val="en-US" w:eastAsia="zh-CN" w:bidi="ar"/>
              </w:rPr>
              <w:t>表</w:t>
            </w:r>
            <w:r>
              <w:rPr>
                <w:rFonts w:hint="default" w:ascii="Times New Roman" w:hAnsi="Times New Roman" w:cs="Times New Roman"/>
                <w:b/>
                <w:bCs w:val="0"/>
                <w:color w:val="auto"/>
                <w:kern w:val="2"/>
                <w:sz w:val="21"/>
                <w:szCs w:val="21"/>
                <w:lang w:val="en-US" w:eastAsia="zh-CN" w:bidi="ar"/>
              </w:rPr>
              <w:t>2-</w:t>
            </w:r>
            <w:r>
              <w:rPr>
                <w:rFonts w:hint="eastAsia" w:ascii="Times New Roman" w:hAnsi="Times New Roman" w:eastAsia="宋体" w:cs="Times New Roman"/>
                <w:b/>
                <w:bCs w:val="0"/>
                <w:color w:val="auto"/>
                <w:kern w:val="2"/>
                <w:sz w:val="21"/>
                <w:szCs w:val="21"/>
                <w:lang w:val="en-US" w:eastAsia="zh-CN" w:bidi="ar"/>
              </w:rPr>
              <w:t>9</w:t>
            </w:r>
            <w:r>
              <w:rPr>
                <w:rFonts w:hint="default" w:ascii="Times New Roman" w:hAnsi="Times New Roman"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施工期主要污染工序一览表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5"/>
              <w:gridCol w:w="1846"/>
              <w:gridCol w:w="1846"/>
              <w:gridCol w:w="3469"/>
            </w:tblGrid>
            <w:tr w14:paraId="744AD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35" w:type="pct"/>
                  <w:tcBorders>
                    <w:top w:val="single" w:color="auto" w:sz="4" w:space="0"/>
                    <w:left w:val="single" w:color="auto" w:sz="4" w:space="0"/>
                    <w:bottom w:val="single" w:color="auto" w:sz="4" w:space="0"/>
                    <w:right w:val="single" w:color="auto" w:sz="4" w:space="0"/>
                  </w:tcBorders>
                  <w:noWrap w:val="0"/>
                  <w:vAlign w:val="center"/>
                </w:tcPr>
                <w:p w14:paraId="026F4FB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污染类别</w:t>
                  </w:r>
                </w:p>
              </w:tc>
              <w:tc>
                <w:tcPr>
                  <w:tcW w:w="1099" w:type="pct"/>
                  <w:tcBorders>
                    <w:top w:val="single" w:color="auto" w:sz="4" w:space="0"/>
                    <w:left w:val="single" w:color="auto" w:sz="4" w:space="0"/>
                    <w:bottom w:val="single" w:color="auto" w:sz="4" w:space="0"/>
                    <w:right w:val="single" w:color="auto" w:sz="4" w:space="0"/>
                  </w:tcBorders>
                  <w:noWrap w:val="0"/>
                  <w:vAlign w:val="center"/>
                </w:tcPr>
                <w:p w14:paraId="3C94E6B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污染源名称</w:t>
                  </w:r>
                </w:p>
              </w:tc>
              <w:tc>
                <w:tcPr>
                  <w:tcW w:w="1099" w:type="pct"/>
                  <w:tcBorders>
                    <w:top w:val="single" w:color="auto" w:sz="4" w:space="0"/>
                    <w:left w:val="single" w:color="auto" w:sz="4" w:space="0"/>
                    <w:bottom w:val="single" w:color="auto" w:sz="4" w:space="0"/>
                    <w:right w:val="single" w:color="auto" w:sz="4" w:space="0"/>
                  </w:tcBorders>
                  <w:noWrap w:val="0"/>
                  <w:vAlign w:val="center"/>
                </w:tcPr>
                <w:p w14:paraId="73F128F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产生工序</w:t>
                  </w:r>
                </w:p>
              </w:tc>
              <w:tc>
                <w:tcPr>
                  <w:tcW w:w="2065" w:type="pct"/>
                  <w:tcBorders>
                    <w:top w:val="single" w:color="auto" w:sz="4" w:space="0"/>
                    <w:left w:val="single" w:color="auto" w:sz="4" w:space="0"/>
                    <w:bottom w:val="single" w:color="auto" w:sz="4" w:space="0"/>
                    <w:right w:val="single" w:color="auto" w:sz="4" w:space="0"/>
                  </w:tcBorders>
                  <w:noWrap w:val="0"/>
                  <w:vAlign w:val="center"/>
                </w:tcPr>
                <w:p w14:paraId="45D6E14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主要污染因子</w:t>
                  </w:r>
                </w:p>
              </w:tc>
            </w:tr>
            <w:tr w14:paraId="5ACB7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35" w:type="pct"/>
                  <w:vMerge w:val="restart"/>
                  <w:tcBorders>
                    <w:top w:val="nil"/>
                    <w:left w:val="single" w:color="auto" w:sz="4" w:space="0"/>
                    <w:bottom w:val="single" w:color="auto" w:sz="4" w:space="0"/>
                    <w:right w:val="single" w:color="auto" w:sz="4" w:space="0"/>
                  </w:tcBorders>
                  <w:noWrap w:val="0"/>
                  <w:vAlign w:val="center"/>
                </w:tcPr>
                <w:p w14:paraId="0C80F27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废气</w:t>
                  </w:r>
                </w:p>
              </w:tc>
              <w:tc>
                <w:tcPr>
                  <w:tcW w:w="1099" w:type="pct"/>
                  <w:tcBorders>
                    <w:top w:val="single" w:color="auto" w:sz="4" w:space="0"/>
                    <w:left w:val="single" w:color="auto" w:sz="4" w:space="0"/>
                    <w:bottom w:val="single" w:color="auto" w:sz="4" w:space="0"/>
                    <w:right w:val="single" w:color="auto" w:sz="4" w:space="0"/>
                  </w:tcBorders>
                  <w:noWrap w:val="0"/>
                  <w:vAlign w:val="center"/>
                </w:tcPr>
                <w:p w14:paraId="321A439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堆场、施工场地</w:t>
                  </w:r>
                </w:p>
              </w:tc>
              <w:tc>
                <w:tcPr>
                  <w:tcW w:w="1099" w:type="pct"/>
                  <w:tcBorders>
                    <w:top w:val="single" w:color="auto" w:sz="4" w:space="0"/>
                    <w:left w:val="single" w:color="auto" w:sz="4" w:space="0"/>
                    <w:bottom w:val="single" w:color="auto" w:sz="4" w:space="0"/>
                    <w:right w:val="single" w:color="auto" w:sz="4" w:space="0"/>
                  </w:tcBorders>
                  <w:noWrap w:val="0"/>
                  <w:vAlign w:val="center"/>
                </w:tcPr>
                <w:p w14:paraId="11BA0C7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施工过程</w:t>
                  </w:r>
                </w:p>
              </w:tc>
              <w:tc>
                <w:tcPr>
                  <w:tcW w:w="2065" w:type="pct"/>
                  <w:tcBorders>
                    <w:top w:val="single" w:color="auto" w:sz="4" w:space="0"/>
                    <w:left w:val="single" w:color="auto" w:sz="4" w:space="0"/>
                    <w:bottom w:val="single" w:color="auto" w:sz="4" w:space="0"/>
                    <w:right w:val="single" w:color="auto" w:sz="4" w:space="0"/>
                  </w:tcBorders>
                  <w:noWrap w:val="0"/>
                  <w:vAlign w:val="center"/>
                </w:tcPr>
                <w:p w14:paraId="308F332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粉尘</w:t>
                  </w:r>
                </w:p>
              </w:tc>
            </w:tr>
            <w:tr w14:paraId="165F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35" w:type="pct"/>
                  <w:vMerge w:val="continue"/>
                  <w:tcBorders>
                    <w:top w:val="nil"/>
                    <w:left w:val="single" w:color="auto" w:sz="4" w:space="0"/>
                    <w:bottom w:val="single" w:color="auto" w:sz="4" w:space="0"/>
                    <w:right w:val="single" w:color="auto" w:sz="4" w:space="0"/>
                  </w:tcBorders>
                  <w:noWrap w:val="0"/>
                  <w:vAlign w:val="center"/>
                </w:tcPr>
                <w:p w14:paraId="3D0EEE9E">
                  <w:pPr>
                    <w:rPr>
                      <w:rFonts w:hint="default" w:ascii="Times New Roman" w:hAnsi="Times New Roman" w:eastAsia="宋体" w:cs="Times New Roman"/>
                      <w:color w:val="auto"/>
                      <w:sz w:val="21"/>
                      <w:szCs w:val="21"/>
                    </w:rPr>
                  </w:pPr>
                </w:p>
              </w:tc>
              <w:tc>
                <w:tcPr>
                  <w:tcW w:w="1099" w:type="pct"/>
                  <w:tcBorders>
                    <w:top w:val="single" w:color="auto" w:sz="4" w:space="0"/>
                    <w:left w:val="single" w:color="auto" w:sz="4" w:space="0"/>
                    <w:bottom w:val="single" w:color="auto" w:sz="4" w:space="0"/>
                    <w:right w:val="single" w:color="auto" w:sz="4" w:space="0"/>
                  </w:tcBorders>
                  <w:noWrap w:val="0"/>
                  <w:vAlign w:val="center"/>
                </w:tcPr>
                <w:p w14:paraId="2456C4C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机械动力设备</w:t>
                  </w:r>
                </w:p>
              </w:tc>
              <w:tc>
                <w:tcPr>
                  <w:tcW w:w="1099" w:type="pct"/>
                  <w:tcBorders>
                    <w:top w:val="single" w:color="auto" w:sz="4" w:space="0"/>
                    <w:left w:val="single" w:color="auto" w:sz="4" w:space="0"/>
                    <w:bottom w:val="single" w:color="auto" w:sz="4" w:space="0"/>
                    <w:right w:val="single" w:color="auto" w:sz="4" w:space="0"/>
                  </w:tcBorders>
                  <w:noWrap w:val="0"/>
                  <w:vAlign w:val="center"/>
                </w:tcPr>
                <w:p w14:paraId="129E0B3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机械设备运行</w:t>
                  </w:r>
                </w:p>
              </w:tc>
              <w:tc>
                <w:tcPr>
                  <w:tcW w:w="2065" w:type="pct"/>
                  <w:tcBorders>
                    <w:top w:val="single" w:color="auto" w:sz="4" w:space="0"/>
                    <w:left w:val="single" w:color="auto" w:sz="4" w:space="0"/>
                    <w:bottom w:val="single" w:color="auto" w:sz="4" w:space="0"/>
                    <w:right w:val="single" w:color="auto" w:sz="4" w:space="0"/>
                  </w:tcBorders>
                  <w:noWrap w:val="0"/>
                  <w:vAlign w:val="center"/>
                </w:tcPr>
                <w:p w14:paraId="4484460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尾气</w:t>
                  </w:r>
                  <w:r>
                    <w:rPr>
                      <w:rFonts w:hint="eastAsia" w:cs="Times New Roman"/>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SO</w:t>
                  </w:r>
                  <w:r>
                    <w:rPr>
                      <w:rFonts w:hint="default" w:ascii="Times New Roman" w:hAnsi="Times New Roman" w:eastAsia="宋体" w:cs="Times New Roman"/>
                      <w:color w:val="auto"/>
                      <w:kern w:val="2"/>
                      <w:sz w:val="21"/>
                      <w:szCs w:val="21"/>
                      <w:vertAlign w:val="subscript"/>
                      <w:lang w:val="en-US" w:eastAsia="zh-CN" w:bidi="ar"/>
                    </w:rPr>
                    <w:t>2</w:t>
                  </w:r>
                  <w:r>
                    <w:rPr>
                      <w:rFonts w:hint="default" w:ascii="Times New Roman" w:hAnsi="Times New Roman" w:eastAsia="宋体" w:cs="Times New Roman"/>
                      <w:color w:val="auto"/>
                      <w:kern w:val="2"/>
                      <w:sz w:val="21"/>
                      <w:szCs w:val="21"/>
                      <w:lang w:val="en-US" w:eastAsia="zh-CN" w:bidi="ar"/>
                    </w:rPr>
                    <w:t>、颗粒物、总烃、CO、NO</w:t>
                  </w:r>
                  <w:r>
                    <w:rPr>
                      <w:rFonts w:hint="default" w:ascii="Times New Roman" w:hAnsi="Times New Roman" w:eastAsia="宋体" w:cs="Times New Roman"/>
                      <w:color w:val="auto"/>
                      <w:kern w:val="2"/>
                      <w:sz w:val="21"/>
                      <w:szCs w:val="21"/>
                      <w:vertAlign w:val="subscript"/>
                      <w:lang w:val="en-US" w:eastAsia="zh-CN" w:bidi="ar"/>
                    </w:rPr>
                    <w:t>x</w:t>
                  </w:r>
                  <w:r>
                    <w:rPr>
                      <w:rFonts w:hint="eastAsia" w:cs="Times New Roman"/>
                      <w:color w:val="auto"/>
                      <w:kern w:val="2"/>
                      <w:sz w:val="21"/>
                      <w:szCs w:val="21"/>
                      <w:vertAlign w:val="subscript"/>
                      <w:lang w:val="en-US" w:eastAsia="zh-CN" w:bidi="ar"/>
                    </w:rPr>
                    <w:t>）</w:t>
                  </w:r>
                </w:p>
              </w:tc>
            </w:tr>
            <w:tr w14:paraId="128C4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35" w:type="pct"/>
                  <w:tcBorders>
                    <w:top w:val="single" w:color="auto" w:sz="4" w:space="0"/>
                    <w:left w:val="single" w:color="auto" w:sz="4" w:space="0"/>
                    <w:bottom w:val="single" w:color="auto" w:sz="4" w:space="0"/>
                    <w:right w:val="single" w:color="auto" w:sz="4" w:space="0"/>
                  </w:tcBorders>
                  <w:noWrap w:val="0"/>
                  <w:vAlign w:val="center"/>
                </w:tcPr>
                <w:p w14:paraId="622FFED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废水</w:t>
                  </w:r>
                </w:p>
              </w:tc>
              <w:tc>
                <w:tcPr>
                  <w:tcW w:w="1099" w:type="pct"/>
                  <w:tcBorders>
                    <w:top w:val="single" w:color="auto" w:sz="4" w:space="0"/>
                    <w:left w:val="single" w:color="auto" w:sz="4" w:space="0"/>
                    <w:bottom w:val="single" w:color="auto" w:sz="4" w:space="0"/>
                    <w:right w:val="single" w:color="auto" w:sz="4" w:space="0"/>
                  </w:tcBorders>
                  <w:noWrap w:val="0"/>
                  <w:vAlign w:val="center"/>
                </w:tcPr>
                <w:p w14:paraId="0B63A34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施工废水</w:t>
                  </w:r>
                </w:p>
              </w:tc>
              <w:tc>
                <w:tcPr>
                  <w:tcW w:w="1099" w:type="pct"/>
                  <w:tcBorders>
                    <w:top w:val="single" w:color="auto" w:sz="4" w:space="0"/>
                    <w:left w:val="single" w:color="auto" w:sz="4" w:space="0"/>
                    <w:bottom w:val="single" w:color="auto" w:sz="4" w:space="0"/>
                    <w:right w:val="single" w:color="auto" w:sz="4" w:space="0"/>
                  </w:tcBorders>
                  <w:noWrap w:val="0"/>
                  <w:vAlign w:val="center"/>
                </w:tcPr>
                <w:p w14:paraId="7E72E63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施工作业过程</w:t>
                  </w:r>
                </w:p>
              </w:tc>
              <w:tc>
                <w:tcPr>
                  <w:tcW w:w="2065" w:type="pct"/>
                  <w:tcBorders>
                    <w:top w:val="single" w:color="auto" w:sz="4" w:space="0"/>
                    <w:left w:val="single" w:color="auto" w:sz="4" w:space="0"/>
                    <w:bottom w:val="single" w:color="auto" w:sz="4" w:space="0"/>
                    <w:right w:val="single" w:color="auto" w:sz="4" w:space="0"/>
                  </w:tcBorders>
                  <w:noWrap w:val="0"/>
                  <w:vAlign w:val="center"/>
                </w:tcPr>
                <w:p w14:paraId="4F5545B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SS</w:t>
                  </w:r>
                </w:p>
              </w:tc>
            </w:tr>
            <w:tr w14:paraId="4FEB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35" w:type="pct"/>
                  <w:vMerge w:val="restart"/>
                  <w:tcBorders>
                    <w:top w:val="nil"/>
                    <w:left w:val="single" w:color="auto" w:sz="4" w:space="0"/>
                    <w:bottom w:val="single" w:color="auto" w:sz="4" w:space="0"/>
                    <w:right w:val="single" w:color="auto" w:sz="4" w:space="0"/>
                  </w:tcBorders>
                  <w:noWrap w:val="0"/>
                  <w:vAlign w:val="center"/>
                </w:tcPr>
                <w:p w14:paraId="27F038A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噪声</w:t>
                  </w:r>
                </w:p>
              </w:tc>
              <w:tc>
                <w:tcPr>
                  <w:tcW w:w="1099" w:type="pct"/>
                  <w:tcBorders>
                    <w:top w:val="single" w:color="auto" w:sz="4" w:space="0"/>
                    <w:left w:val="single" w:color="auto" w:sz="4" w:space="0"/>
                    <w:bottom w:val="single" w:color="auto" w:sz="4" w:space="0"/>
                    <w:right w:val="single" w:color="auto" w:sz="4" w:space="0"/>
                  </w:tcBorders>
                  <w:noWrap w:val="0"/>
                  <w:vAlign w:val="center"/>
                </w:tcPr>
                <w:p w14:paraId="08209AC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施工设备</w:t>
                  </w:r>
                </w:p>
              </w:tc>
              <w:tc>
                <w:tcPr>
                  <w:tcW w:w="1099" w:type="pct"/>
                  <w:tcBorders>
                    <w:top w:val="single" w:color="auto" w:sz="4" w:space="0"/>
                    <w:left w:val="single" w:color="auto" w:sz="4" w:space="0"/>
                    <w:bottom w:val="single" w:color="auto" w:sz="4" w:space="0"/>
                    <w:right w:val="single" w:color="auto" w:sz="4" w:space="0"/>
                  </w:tcBorders>
                  <w:noWrap w:val="0"/>
                  <w:vAlign w:val="center"/>
                </w:tcPr>
                <w:p w14:paraId="0D9B33F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施工设备运行</w:t>
                  </w:r>
                </w:p>
              </w:tc>
              <w:tc>
                <w:tcPr>
                  <w:tcW w:w="2065" w:type="pct"/>
                  <w:tcBorders>
                    <w:top w:val="single" w:color="auto" w:sz="4" w:space="0"/>
                    <w:left w:val="single" w:color="auto" w:sz="4" w:space="0"/>
                    <w:bottom w:val="single" w:color="auto" w:sz="4" w:space="0"/>
                    <w:right w:val="single" w:color="auto" w:sz="4" w:space="0"/>
                  </w:tcBorders>
                  <w:noWrap w:val="0"/>
                  <w:vAlign w:val="center"/>
                </w:tcPr>
                <w:p w14:paraId="29A3C8B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机械噪声</w:t>
                  </w:r>
                </w:p>
              </w:tc>
            </w:tr>
            <w:tr w14:paraId="2E04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35" w:type="pct"/>
                  <w:vMerge w:val="continue"/>
                  <w:tcBorders>
                    <w:top w:val="nil"/>
                    <w:left w:val="single" w:color="auto" w:sz="4" w:space="0"/>
                    <w:bottom w:val="single" w:color="auto" w:sz="4" w:space="0"/>
                    <w:right w:val="single" w:color="auto" w:sz="4" w:space="0"/>
                  </w:tcBorders>
                  <w:noWrap w:val="0"/>
                  <w:vAlign w:val="center"/>
                </w:tcPr>
                <w:p w14:paraId="68070FDD">
                  <w:pPr>
                    <w:rPr>
                      <w:rFonts w:hint="default" w:ascii="Times New Roman" w:hAnsi="Times New Roman" w:eastAsia="宋体" w:cs="Times New Roman"/>
                      <w:color w:val="auto"/>
                      <w:sz w:val="21"/>
                      <w:szCs w:val="21"/>
                    </w:rPr>
                  </w:pPr>
                </w:p>
              </w:tc>
              <w:tc>
                <w:tcPr>
                  <w:tcW w:w="1099" w:type="pct"/>
                  <w:tcBorders>
                    <w:top w:val="single" w:color="auto" w:sz="4" w:space="0"/>
                    <w:left w:val="single" w:color="auto" w:sz="4" w:space="0"/>
                    <w:bottom w:val="single" w:color="auto" w:sz="4" w:space="0"/>
                    <w:right w:val="single" w:color="auto" w:sz="4" w:space="0"/>
                  </w:tcBorders>
                  <w:noWrap w:val="0"/>
                  <w:vAlign w:val="center"/>
                </w:tcPr>
                <w:p w14:paraId="3B76D9D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运输车辆</w:t>
                  </w:r>
                </w:p>
              </w:tc>
              <w:tc>
                <w:tcPr>
                  <w:tcW w:w="1099" w:type="pct"/>
                  <w:tcBorders>
                    <w:top w:val="single" w:color="auto" w:sz="4" w:space="0"/>
                    <w:left w:val="single" w:color="auto" w:sz="4" w:space="0"/>
                    <w:bottom w:val="single" w:color="auto" w:sz="4" w:space="0"/>
                    <w:right w:val="single" w:color="auto" w:sz="4" w:space="0"/>
                  </w:tcBorders>
                  <w:noWrap w:val="0"/>
                  <w:vAlign w:val="center"/>
                </w:tcPr>
                <w:p w14:paraId="7D1BCF2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运输车辆行驶</w:t>
                  </w:r>
                </w:p>
              </w:tc>
              <w:tc>
                <w:tcPr>
                  <w:tcW w:w="2065" w:type="pct"/>
                  <w:tcBorders>
                    <w:top w:val="single" w:color="auto" w:sz="4" w:space="0"/>
                    <w:left w:val="single" w:color="auto" w:sz="4" w:space="0"/>
                    <w:bottom w:val="single" w:color="auto" w:sz="4" w:space="0"/>
                    <w:right w:val="single" w:color="auto" w:sz="4" w:space="0"/>
                  </w:tcBorders>
                  <w:noWrap w:val="0"/>
                  <w:vAlign w:val="center"/>
                </w:tcPr>
                <w:p w14:paraId="69F1B41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交通噪声</w:t>
                  </w:r>
                </w:p>
              </w:tc>
            </w:tr>
            <w:tr w14:paraId="2B45E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35" w:type="pct"/>
                  <w:vMerge w:val="continue"/>
                  <w:tcBorders>
                    <w:top w:val="nil"/>
                    <w:left w:val="single" w:color="auto" w:sz="4" w:space="0"/>
                    <w:bottom w:val="single" w:color="auto" w:sz="4" w:space="0"/>
                    <w:right w:val="single" w:color="auto" w:sz="4" w:space="0"/>
                  </w:tcBorders>
                  <w:noWrap w:val="0"/>
                  <w:vAlign w:val="center"/>
                </w:tcPr>
                <w:p w14:paraId="18B7AA5A">
                  <w:pPr>
                    <w:rPr>
                      <w:rFonts w:hint="default" w:ascii="Times New Roman" w:hAnsi="Times New Roman" w:eastAsia="宋体" w:cs="Times New Roman"/>
                      <w:color w:val="auto"/>
                      <w:sz w:val="21"/>
                      <w:szCs w:val="21"/>
                    </w:rPr>
                  </w:pPr>
                </w:p>
              </w:tc>
              <w:tc>
                <w:tcPr>
                  <w:tcW w:w="1099" w:type="pct"/>
                  <w:tcBorders>
                    <w:top w:val="single" w:color="auto" w:sz="4" w:space="0"/>
                    <w:left w:val="single" w:color="auto" w:sz="4" w:space="0"/>
                    <w:bottom w:val="single" w:color="auto" w:sz="4" w:space="0"/>
                    <w:right w:val="single" w:color="auto" w:sz="4" w:space="0"/>
                  </w:tcBorders>
                  <w:noWrap w:val="0"/>
                  <w:vAlign w:val="center"/>
                </w:tcPr>
                <w:p w14:paraId="71BE27D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施工人员</w:t>
                  </w:r>
                </w:p>
              </w:tc>
              <w:tc>
                <w:tcPr>
                  <w:tcW w:w="1099" w:type="pct"/>
                  <w:tcBorders>
                    <w:top w:val="single" w:color="auto" w:sz="4" w:space="0"/>
                    <w:left w:val="single" w:color="auto" w:sz="4" w:space="0"/>
                    <w:bottom w:val="single" w:color="auto" w:sz="4" w:space="0"/>
                    <w:right w:val="single" w:color="auto" w:sz="4" w:space="0"/>
                  </w:tcBorders>
                  <w:noWrap w:val="0"/>
                  <w:vAlign w:val="center"/>
                </w:tcPr>
                <w:p w14:paraId="05FA0ED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人员施工、生活</w:t>
                  </w:r>
                </w:p>
              </w:tc>
              <w:tc>
                <w:tcPr>
                  <w:tcW w:w="2065" w:type="pct"/>
                  <w:tcBorders>
                    <w:top w:val="single" w:color="auto" w:sz="4" w:space="0"/>
                    <w:left w:val="single" w:color="auto" w:sz="4" w:space="0"/>
                    <w:bottom w:val="single" w:color="auto" w:sz="4" w:space="0"/>
                    <w:right w:val="single" w:color="auto" w:sz="4" w:space="0"/>
                  </w:tcBorders>
                  <w:noWrap w:val="0"/>
                  <w:vAlign w:val="center"/>
                </w:tcPr>
                <w:p w14:paraId="0885435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生活噪声</w:t>
                  </w:r>
                </w:p>
              </w:tc>
            </w:tr>
            <w:tr w14:paraId="3517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35" w:type="pct"/>
                  <w:vMerge w:val="restart"/>
                  <w:tcBorders>
                    <w:top w:val="nil"/>
                    <w:left w:val="single" w:color="auto" w:sz="4" w:space="0"/>
                    <w:bottom w:val="single" w:color="auto" w:sz="4" w:space="0"/>
                    <w:right w:val="single" w:color="auto" w:sz="4" w:space="0"/>
                  </w:tcBorders>
                  <w:noWrap w:val="0"/>
                  <w:vAlign w:val="center"/>
                </w:tcPr>
                <w:p w14:paraId="2EB3104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固体废物</w:t>
                  </w:r>
                </w:p>
              </w:tc>
              <w:tc>
                <w:tcPr>
                  <w:tcW w:w="1099" w:type="pct"/>
                  <w:tcBorders>
                    <w:top w:val="single" w:color="auto" w:sz="4" w:space="0"/>
                    <w:left w:val="single" w:color="auto" w:sz="4" w:space="0"/>
                    <w:bottom w:val="single" w:color="auto" w:sz="4" w:space="0"/>
                    <w:right w:val="single" w:color="auto" w:sz="4" w:space="0"/>
                  </w:tcBorders>
                  <w:noWrap w:val="0"/>
                  <w:vAlign w:val="center"/>
                </w:tcPr>
                <w:p w14:paraId="1AAE1F1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建筑垃圾</w:t>
                  </w:r>
                </w:p>
              </w:tc>
              <w:tc>
                <w:tcPr>
                  <w:tcW w:w="1099" w:type="pct"/>
                  <w:tcBorders>
                    <w:top w:val="single" w:color="auto" w:sz="4" w:space="0"/>
                    <w:left w:val="single" w:color="auto" w:sz="4" w:space="0"/>
                    <w:bottom w:val="single" w:color="auto" w:sz="4" w:space="0"/>
                    <w:right w:val="single" w:color="auto" w:sz="4" w:space="0"/>
                  </w:tcBorders>
                  <w:noWrap w:val="0"/>
                  <w:vAlign w:val="center"/>
                </w:tcPr>
                <w:p w14:paraId="4086753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施工过程</w:t>
                  </w:r>
                </w:p>
              </w:tc>
              <w:tc>
                <w:tcPr>
                  <w:tcW w:w="2065" w:type="pct"/>
                  <w:tcBorders>
                    <w:top w:val="single" w:color="auto" w:sz="4" w:space="0"/>
                    <w:left w:val="single" w:color="auto" w:sz="4" w:space="0"/>
                    <w:bottom w:val="single" w:color="auto" w:sz="4" w:space="0"/>
                    <w:right w:val="single" w:color="auto" w:sz="4" w:space="0"/>
                  </w:tcBorders>
                  <w:noWrap w:val="0"/>
                  <w:vAlign w:val="center"/>
                </w:tcPr>
                <w:p w14:paraId="3E6734B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土石方、建材等建筑垃圾</w:t>
                  </w:r>
                </w:p>
              </w:tc>
            </w:tr>
            <w:tr w14:paraId="039C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35" w:type="pct"/>
                  <w:vMerge w:val="continue"/>
                  <w:tcBorders>
                    <w:top w:val="nil"/>
                    <w:left w:val="single" w:color="auto" w:sz="4" w:space="0"/>
                    <w:bottom w:val="single" w:color="auto" w:sz="4" w:space="0"/>
                    <w:right w:val="single" w:color="auto" w:sz="4" w:space="0"/>
                  </w:tcBorders>
                  <w:noWrap w:val="0"/>
                  <w:vAlign w:val="center"/>
                </w:tcPr>
                <w:p w14:paraId="5FD75A7F">
                  <w:pPr>
                    <w:rPr>
                      <w:rFonts w:hint="default" w:ascii="Times New Roman" w:hAnsi="Times New Roman" w:eastAsia="宋体" w:cs="Times New Roman"/>
                      <w:color w:val="auto"/>
                      <w:sz w:val="21"/>
                      <w:szCs w:val="21"/>
                    </w:rPr>
                  </w:pPr>
                </w:p>
              </w:tc>
              <w:tc>
                <w:tcPr>
                  <w:tcW w:w="1099" w:type="pct"/>
                  <w:tcBorders>
                    <w:top w:val="single" w:color="auto" w:sz="4" w:space="0"/>
                    <w:left w:val="single" w:color="auto" w:sz="4" w:space="0"/>
                    <w:bottom w:val="single" w:color="auto" w:sz="4" w:space="0"/>
                    <w:right w:val="single" w:color="auto" w:sz="4" w:space="0"/>
                  </w:tcBorders>
                  <w:noWrap w:val="0"/>
                  <w:vAlign w:val="center"/>
                </w:tcPr>
                <w:p w14:paraId="70D45FB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生活固废</w:t>
                  </w:r>
                </w:p>
              </w:tc>
              <w:tc>
                <w:tcPr>
                  <w:tcW w:w="1099" w:type="pct"/>
                  <w:tcBorders>
                    <w:top w:val="single" w:color="auto" w:sz="4" w:space="0"/>
                    <w:left w:val="single" w:color="auto" w:sz="4" w:space="0"/>
                    <w:bottom w:val="single" w:color="auto" w:sz="4" w:space="0"/>
                    <w:right w:val="single" w:color="auto" w:sz="4" w:space="0"/>
                  </w:tcBorders>
                  <w:noWrap w:val="0"/>
                  <w:vAlign w:val="center"/>
                </w:tcPr>
                <w:p w14:paraId="00C6114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施工人员生活</w:t>
                  </w:r>
                </w:p>
              </w:tc>
              <w:tc>
                <w:tcPr>
                  <w:tcW w:w="2065" w:type="pct"/>
                  <w:tcBorders>
                    <w:top w:val="single" w:color="auto" w:sz="4" w:space="0"/>
                    <w:left w:val="single" w:color="auto" w:sz="4" w:space="0"/>
                    <w:bottom w:val="single" w:color="auto" w:sz="4" w:space="0"/>
                    <w:right w:val="single" w:color="auto" w:sz="4" w:space="0"/>
                  </w:tcBorders>
                  <w:noWrap w:val="0"/>
                  <w:vAlign w:val="center"/>
                </w:tcPr>
                <w:p w14:paraId="187AB51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生活垃圾</w:t>
                  </w:r>
                </w:p>
              </w:tc>
            </w:tr>
          </w:tbl>
          <w:p w14:paraId="6ECCD706">
            <w:pPr>
              <w:spacing w:line="500" w:lineRule="exact"/>
              <w:rPr>
                <w:rFonts w:hAnsiTheme="minorEastAsia" w:eastAsiaTheme="minorEastAsia"/>
                <w:b/>
                <w:bCs/>
                <w:color w:val="auto"/>
                <w:kern w:val="0"/>
                <w:sz w:val="24"/>
                <w:highlight w:val="none"/>
              </w:rPr>
            </w:pPr>
            <w:r>
              <w:rPr>
                <w:rFonts w:eastAsiaTheme="minorEastAsia"/>
                <w:b/>
                <w:bCs/>
                <w:color w:val="auto"/>
                <w:kern w:val="0"/>
                <w:sz w:val="24"/>
                <w:highlight w:val="none"/>
              </w:rPr>
              <w:t>2</w:t>
            </w:r>
            <w:r>
              <w:rPr>
                <w:rFonts w:hAnsiTheme="minorEastAsia" w:eastAsiaTheme="minorEastAsia"/>
                <w:b/>
                <w:bCs/>
                <w:color w:val="auto"/>
                <w:kern w:val="0"/>
                <w:sz w:val="24"/>
                <w:highlight w:val="none"/>
              </w:rPr>
              <w:t>、运营期工艺流程及产污环节</w:t>
            </w:r>
          </w:p>
          <w:p w14:paraId="0FA79060">
            <w:pPr>
              <w:spacing w:line="500" w:lineRule="exact"/>
              <w:ind w:firstLine="480" w:firstLineChars="200"/>
              <w:rPr>
                <w:b/>
                <w:bCs/>
                <w:color w:val="auto"/>
                <w:sz w:val="24"/>
                <w:highlight w:val="none"/>
              </w:rPr>
            </w:pPr>
            <w:r>
              <w:rPr>
                <w:color w:val="auto"/>
                <w:sz w:val="24"/>
                <w:highlight w:val="none"/>
              </w:rPr>
              <w:t>（1）</w:t>
            </w:r>
            <w:r>
              <w:rPr>
                <w:rFonts w:hint="eastAsia"/>
                <w:color w:val="auto"/>
                <w:sz w:val="24"/>
                <w:highlight w:val="none"/>
              </w:rPr>
              <w:t>塑料包装袋生产工艺及产污环节</w:t>
            </w:r>
          </w:p>
          <w:p w14:paraId="07F9EC7B">
            <w:pPr>
              <w:spacing w:before="156" w:line="360" w:lineRule="auto"/>
              <w:rPr>
                <w:b/>
                <w:bCs/>
                <w:color w:val="auto"/>
                <w:sz w:val="24"/>
                <w:highlight w:val="none"/>
              </w:rPr>
            </w:pPr>
            <w:r>
              <w:rPr>
                <w:color w:val="auto"/>
                <w:sz w:val="24"/>
                <w:highlight w:val="none"/>
              </w:rPr>
              <mc:AlternateContent>
                <mc:Choice Requires="wpc">
                  <w:drawing>
                    <wp:inline distT="0" distB="0" distL="114300" distR="114300">
                      <wp:extent cx="5429885" cy="3148965"/>
                      <wp:effectExtent l="7620" t="0" r="0" b="0"/>
                      <wp:docPr id="58" name="画布 221"/>
                      <wp:cNvGraphicFramePr/>
                      <a:graphic xmlns:a="http://schemas.openxmlformats.org/drawingml/2006/main">
                        <a:graphicData uri="http://schemas.microsoft.com/office/word/2010/wordprocessingCanvas">
                          <wpc:wpc>
                            <wpc:bg>
                              <a:noFill/>
                            </wpc:bg>
                            <wpc:whole>
                              <a:ln>
                                <a:noFill/>
                              </a:ln>
                            </wpc:whole>
                            <wps:wsp>
                              <wps:cNvPr id="82" name="文本框 222"/>
                              <wps:cNvSpPr txBox="1"/>
                              <wps:spPr>
                                <a:xfrm>
                                  <a:off x="556895" y="664845"/>
                                  <a:ext cx="830580" cy="309880"/>
                                </a:xfrm>
                                <a:prstGeom prst="rect">
                                  <a:avLst/>
                                </a:prstGeom>
                                <a:noFill/>
                                <a:ln w="15875" cap="flat" cmpd="sng">
                                  <a:solidFill>
                                    <a:srgbClr val="000000"/>
                                  </a:solidFill>
                                  <a:prstDash val="solid"/>
                                  <a:miter/>
                                  <a:headEnd type="none" w="med" len="med"/>
                                  <a:tailEnd type="none" w="med" len="med"/>
                                </a:ln>
                              </wps:spPr>
                              <wps:txbx>
                                <w:txbxContent>
                                  <w:p w14:paraId="12BA3ACF">
                                    <w:pPr>
                                      <w:keepNext w:val="0"/>
                                      <w:keepLines w:val="0"/>
                                      <w:pageBreakBefore w:val="0"/>
                                      <w:widowControl w:val="0"/>
                                      <w:kinsoku/>
                                      <w:wordWrap/>
                                      <w:overflowPunct/>
                                      <w:topLinePunct w:val="0"/>
                                      <w:bidi w:val="0"/>
                                      <w:adjustRightInd/>
                                      <w:snapToGrid/>
                                      <w:spacing w:line="240" w:lineRule="auto"/>
                                      <w:jc w:val="center"/>
                                      <w:textAlignment w:val="auto"/>
                                      <w:rPr>
                                        <w:rFonts w:hint="eastAsia" w:eastAsia="宋体"/>
                                        <w:szCs w:val="21"/>
                                        <w:lang w:val="en-US" w:eastAsia="zh-CN"/>
                                      </w:rPr>
                                    </w:pPr>
                                    <w:r>
                                      <w:rPr>
                                        <w:rFonts w:hint="eastAsia"/>
                                        <w:szCs w:val="21"/>
                                        <w:lang w:val="en-US" w:eastAsia="zh-CN"/>
                                      </w:rPr>
                                      <w:t>原辅料</w:t>
                                    </w:r>
                                  </w:p>
                                </w:txbxContent>
                              </wps:txbx>
                              <wps:bodyPr upright="1"/>
                            </wps:wsp>
                            <wps:wsp>
                              <wps:cNvPr id="83" name="直线 227"/>
                              <wps:cNvCnPr/>
                              <wps:spPr>
                                <a:xfrm flipV="1">
                                  <a:off x="4300855" y="1929130"/>
                                  <a:ext cx="635" cy="256540"/>
                                </a:xfrm>
                                <a:prstGeom prst="line">
                                  <a:avLst/>
                                </a:prstGeom>
                                <a:ln w="15875" cap="flat" cmpd="sng">
                                  <a:solidFill>
                                    <a:srgbClr val="000000"/>
                                  </a:solidFill>
                                  <a:prstDash val="solid"/>
                                  <a:headEnd type="none" w="med" len="med"/>
                                  <a:tailEnd type="triangle" w="med" len="med"/>
                                </a:ln>
                              </wps:spPr>
                              <wps:bodyPr upright="1"/>
                            </wps:wsp>
                            <wps:wsp>
                              <wps:cNvPr id="84" name="直线 228"/>
                              <wps:cNvCnPr/>
                              <wps:spPr>
                                <a:xfrm flipV="1">
                                  <a:off x="4505325" y="1924685"/>
                                  <a:ext cx="635" cy="254000"/>
                                </a:xfrm>
                                <a:prstGeom prst="line">
                                  <a:avLst/>
                                </a:prstGeom>
                                <a:ln w="15875" cap="flat" cmpd="sng">
                                  <a:solidFill>
                                    <a:srgbClr val="000000"/>
                                  </a:solidFill>
                                  <a:prstDash val="solid"/>
                                  <a:headEnd type="triangle" w="med" len="med"/>
                                  <a:tailEnd type="none" w="med" len="med"/>
                                </a:ln>
                              </wps:spPr>
                              <wps:bodyPr upright="1"/>
                            </wps:wsp>
                            <wps:wsp>
                              <wps:cNvPr id="86" name="文本框 257"/>
                              <wps:cNvSpPr txBox="1"/>
                              <wps:spPr>
                                <a:xfrm>
                                  <a:off x="4328795" y="47625"/>
                                  <a:ext cx="563880" cy="280670"/>
                                </a:xfrm>
                                <a:prstGeom prst="rect">
                                  <a:avLst/>
                                </a:prstGeom>
                                <a:noFill/>
                                <a:ln w="9525" cap="flat" cmpd="sng">
                                  <a:solidFill>
                                    <a:srgbClr val="000000"/>
                                  </a:solidFill>
                                  <a:prstDash val="dashDot"/>
                                  <a:miter/>
                                  <a:headEnd type="none" w="med" len="med"/>
                                  <a:tailEnd type="none" w="med" len="med"/>
                                </a:ln>
                              </wps:spPr>
                              <wps:txbx>
                                <w:txbxContent>
                                  <w:p w14:paraId="70AF860A">
                                    <w:pPr>
                                      <w:jc w:val="center"/>
                                      <w:rPr>
                                        <w:szCs w:val="21"/>
                                      </w:rPr>
                                    </w:pPr>
                                    <w:r>
                                      <w:rPr>
                                        <w:rFonts w:hint="eastAsia"/>
                                        <w:szCs w:val="21"/>
                                      </w:rPr>
                                      <w:t>噪声</w:t>
                                    </w:r>
                                  </w:p>
                                </w:txbxContent>
                              </wps:txbx>
                              <wps:bodyPr upright="1"/>
                            </wps:wsp>
                            <wps:wsp>
                              <wps:cNvPr id="87" name="直线 223"/>
                              <wps:cNvCnPr>
                                <a:stCxn id="82" idx="3"/>
                              </wps:cNvCnPr>
                              <wps:spPr>
                                <a:xfrm flipV="1">
                                  <a:off x="1387475" y="815975"/>
                                  <a:ext cx="431165" cy="3810"/>
                                </a:xfrm>
                                <a:prstGeom prst="line">
                                  <a:avLst/>
                                </a:prstGeom>
                                <a:ln w="15875" cap="flat" cmpd="sng">
                                  <a:solidFill>
                                    <a:srgbClr val="000000"/>
                                  </a:solidFill>
                                  <a:prstDash val="solid"/>
                                  <a:headEnd type="none" w="med" len="med"/>
                                  <a:tailEnd type="triangle" w="med" len="med"/>
                                </a:ln>
                              </wps:spPr>
                              <wps:bodyPr upright="1"/>
                            </wps:wsp>
                            <wps:wsp>
                              <wps:cNvPr id="88" name="文本框 222"/>
                              <wps:cNvSpPr txBox="1"/>
                              <wps:spPr>
                                <a:xfrm>
                                  <a:off x="1829435" y="662305"/>
                                  <a:ext cx="864870" cy="301625"/>
                                </a:xfrm>
                                <a:prstGeom prst="rect">
                                  <a:avLst/>
                                </a:prstGeom>
                                <a:noFill/>
                                <a:ln w="15875" cap="flat" cmpd="sng">
                                  <a:solidFill>
                                    <a:srgbClr val="000000"/>
                                  </a:solidFill>
                                  <a:prstDash val="solid"/>
                                  <a:miter/>
                                  <a:headEnd type="none" w="med" len="med"/>
                                  <a:tailEnd type="none" w="med" len="med"/>
                                </a:ln>
                              </wps:spPr>
                              <wps:txbx>
                                <w:txbxContent>
                                  <w:p w14:paraId="09C7502F">
                                    <w:pPr>
                                      <w:keepNext w:val="0"/>
                                      <w:keepLines w:val="0"/>
                                      <w:pageBreakBefore w:val="0"/>
                                      <w:widowControl w:val="0"/>
                                      <w:kinsoku/>
                                      <w:wordWrap/>
                                      <w:overflowPunct/>
                                      <w:topLinePunct w:val="0"/>
                                      <w:bidi w:val="0"/>
                                      <w:adjustRightInd/>
                                      <w:snapToGrid/>
                                      <w:spacing w:line="240" w:lineRule="auto"/>
                                      <w:jc w:val="center"/>
                                      <w:textAlignment w:val="auto"/>
                                      <w:rPr>
                                        <w:rFonts w:hint="eastAsia" w:eastAsia="宋体"/>
                                        <w:szCs w:val="21"/>
                                        <w:lang w:val="en-US" w:eastAsia="zh-CN"/>
                                      </w:rPr>
                                    </w:pPr>
                                    <w:r>
                                      <w:rPr>
                                        <w:rFonts w:hint="eastAsia"/>
                                        <w:szCs w:val="21"/>
                                      </w:rPr>
                                      <w:t>混料</w:t>
                                    </w:r>
                                    <w:r>
                                      <w:rPr>
                                        <w:rFonts w:hint="eastAsia"/>
                                        <w:szCs w:val="21"/>
                                        <w:lang w:val="en-US" w:eastAsia="zh-CN"/>
                                      </w:rPr>
                                      <w:t>搅拌</w:t>
                                    </w:r>
                                  </w:p>
                                </w:txbxContent>
                              </wps:txbx>
                              <wps:bodyPr upright="1"/>
                            </wps:wsp>
                            <wps:wsp>
                              <wps:cNvPr id="91" name="直线 223"/>
                              <wps:cNvCnPr/>
                              <wps:spPr>
                                <a:xfrm>
                                  <a:off x="4707890" y="956945"/>
                                  <a:ext cx="635" cy="1248410"/>
                                </a:xfrm>
                                <a:prstGeom prst="line">
                                  <a:avLst/>
                                </a:prstGeom>
                                <a:ln w="15875" cap="flat" cmpd="sng">
                                  <a:solidFill>
                                    <a:srgbClr val="000000"/>
                                  </a:solidFill>
                                  <a:prstDash val="solid"/>
                                  <a:headEnd type="none" w="med" len="med"/>
                                  <a:tailEnd type="triangle" w="med" len="med"/>
                                </a:ln>
                              </wps:spPr>
                              <wps:bodyPr upright="1"/>
                            </wps:wsp>
                            <wps:wsp>
                              <wps:cNvPr id="92" name="文本框 222"/>
                              <wps:cNvSpPr txBox="1"/>
                              <wps:spPr>
                                <a:xfrm>
                                  <a:off x="4208780" y="2189480"/>
                                  <a:ext cx="1032510" cy="266065"/>
                                </a:xfrm>
                                <a:prstGeom prst="rect">
                                  <a:avLst/>
                                </a:prstGeom>
                                <a:noFill/>
                                <a:ln w="15875" cap="flat" cmpd="sng">
                                  <a:solidFill>
                                    <a:srgbClr val="000000"/>
                                  </a:solidFill>
                                  <a:prstDash val="solid"/>
                                  <a:miter/>
                                  <a:headEnd type="none" w="med" len="med"/>
                                  <a:tailEnd type="none" w="med" len="med"/>
                                </a:ln>
                              </wps:spPr>
                              <wps:txbx>
                                <w:txbxContent>
                                  <w:p w14:paraId="0FA4CE3F">
                                    <w:pPr>
                                      <w:keepNext w:val="0"/>
                                      <w:keepLines w:val="0"/>
                                      <w:pageBreakBefore w:val="0"/>
                                      <w:widowControl w:val="0"/>
                                      <w:kinsoku/>
                                      <w:wordWrap/>
                                      <w:overflowPunct/>
                                      <w:topLinePunct w:val="0"/>
                                      <w:bidi w:val="0"/>
                                      <w:adjustRightInd/>
                                      <w:snapToGrid/>
                                      <w:jc w:val="center"/>
                                      <w:textAlignment w:val="auto"/>
                                      <w:rPr>
                                        <w:rFonts w:hint="default"/>
                                        <w:sz w:val="21"/>
                                        <w:szCs w:val="21"/>
                                        <w:lang w:val="en-US" w:eastAsia="zh-CN"/>
                                      </w:rPr>
                                    </w:pPr>
                                    <w:r>
                                      <w:rPr>
                                        <w:rFonts w:hint="eastAsia"/>
                                        <w:sz w:val="21"/>
                                        <w:szCs w:val="21"/>
                                        <w:lang w:val="en-US" w:eastAsia="zh-CN"/>
                                      </w:rPr>
                                      <w:t>冷却定型</w:t>
                                    </w:r>
                                  </w:p>
                                  <w:p w14:paraId="01765D4E">
                                    <w:pPr>
                                      <w:rPr>
                                        <w:sz w:val="21"/>
                                        <w:szCs w:val="21"/>
                                      </w:rPr>
                                    </w:pPr>
                                  </w:p>
                                </w:txbxContent>
                              </wps:txbx>
                              <wps:bodyPr upright="1"/>
                            </wps:wsp>
                            <wps:wsp>
                              <wps:cNvPr id="93" name="文本框 222"/>
                              <wps:cNvSpPr txBox="1"/>
                              <wps:spPr>
                                <a:xfrm>
                                  <a:off x="3609340" y="1593850"/>
                                  <a:ext cx="910590" cy="320040"/>
                                </a:xfrm>
                                <a:prstGeom prst="rect">
                                  <a:avLst/>
                                </a:prstGeom>
                                <a:noFill/>
                                <a:ln w="15875" cap="flat" cmpd="sng">
                                  <a:solidFill>
                                    <a:srgbClr val="000000"/>
                                  </a:solidFill>
                                  <a:prstDash val="solid"/>
                                  <a:miter/>
                                  <a:headEnd type="none" w="med" len="med"/>
                                  <a:tailEnd type="none" w="med" len="med"/>
                                </a:ln>
                              </wps:spPr>
                              <wps:txbx>
                                <w:txbxContent>
                                  <w:p w14:paraId="206F9305">
                                    <w:pPr>
                                      <w:spacing w:line="360" w:lineRule="auto"/>
                                      <w:jc w:val="center"/>
                                      <w:rPr>
                                        <w:szCs w:val="21"/>
                                      </w:rPr>
                                    </w:pPr>
                                    <w:r>
                                      <w:rPr>
                                        <w:rFonts w:hint="eastAsia"/>
                                        <w:szCs w:val="21"/>
                                      </w:rPr>
                                      <w:t>冷却水</w:t>
                                    </w:r>
                                  </w:p>
                                </w:txbxContent>
                              </wps:txbx>
                              <wps:bodyPr upright="1"/>
                            </wps:wsp>
                            <wps:wsp>
                              <wps:cNvPr id="95" name="文本框 222"/>
                              <wps:cNvSpPr txBox="1"/>
                              <wps:spPr>
                                <a:xfrm>
                                  <a:off x="3160395" y="2188845"/>
                                  <a:ext cx="621030" cy="270510"/>
                                </a:xfrm>
                                <a:prstGeom prst="rect">
                                  <a:avLst/>
                                </a:prstGeom>
                                <a:noFill/>
                                <a:ln w="15875" cap="flat" cmpd="sng">
                                  <a:solidFill>
                                    <a:srgbClr val="000000"/>
                                  </a:solidFill>
                                  <a:prstDash val="solid"/>
                                  <a:miter/>
                                  <a:headEnd type="none" w="med" len="med"/>
                                  <a:tailEnd type="none" w="med" len="med"/>
                                </a:ln>
                              </wps:spPr>
                              <wps:txbx>
                                <w:txbxContent>
                                  <w:p w14:paraId="4C654A6D">
                                    <w:pPr>
                                      <w:jc w:val="center"/>
                                      <w:rPr>
                                        <w:rFonts w:hint="default"/>
                                        <w:sz w:val="21"/>
                                        <w:szCs w:val="21"/>
                                        <w:lang w:val="en-US"/>
                                      </w:rPr>
                                    </w:pPr>
                                    <w:r>
                                      <w:rPr>
                                        <w:rFonts w:hint="eastAsia"/>
                                        <w:sz w:val="21"/>
                                        <w:szCs w:val="21"/>
                                        <w:lang w:val="en-US" w:eastAsia="zh-CN"/>
                                      </w:rPr>
                                      <w:t>印刷</w:t>
                                    </w:r>
                                  </w:p>
                                </w:txbxContent>
                              </wps:txbx>
                              <wps:bodyPr upright="1"/>
                            </wps:wsp>
                            <wps:wsp>
                              <wps:cNvPr id="97" name="文本框 222"/>
                              <wps:cNvSpPr txBox="1"/>
                              <wps:spPr>
                                <a:xfrm>
                                  <a:off x="1161415" y="2178685"/>
                                  <a:ext cx="603885" cy="270510"/>
                                </a:xfrm>
                                <a:prstGeom prst="rect">
                                  <a:avLst/>
                                </a:prstGeom>
                                <a:noFill/>
                                <a:ln w="15875" cap="flat" cmpd="sng">
                                  <a:solidFill>
                                    <a:srgbClr val="000000"/>
                                  </a:solidFill>
                                  <a:prstDash val="solid"/>
                                  <a:miter/>
                                  <a:headEnd type="none" w="med" len="med"/>
                                  <a:tailEnd type="none" w="med" len="med"/>
                                </a:ln>
                              </wps:spPr>
                              <wps:txbx>
                                <w:txbxContent>
                                  <w:p w14:paraId="53976FA7">
                                    <w:pPr>
                                      <w:spacing w:line="360" w:lineRule="auto"/>
                                      <w:jc w:val="center"/>
                                      <w:rPr>
                                        <w:rFonts w:hint="eastAsia" w:eastAsia="宋体"/>
                                        <w:szCs w:val="21"/>
                                        <w:lang w:val="en-US" w:eastAsia="zh-CN"/>
                                      </w:rPr>
                                    </w:pPr>
                                    <w:r>
                                      <w:rPr>
                                        <w:rFonts w:hint="eastAsia"/>
                                        <w:szCs w:val="21"/>
                                        <w:lang w:val="en-US" w:eastAsia="zh-CN"/>
                                      </w:rPr>
                                      <w:t>检验</w:t>
                                    </w:r>
                                  </w:p>
                                </w:txbxContent>
                              </wps:txbx>
                              <wps:bodyPr upright="1"/>
                            </wps:wsp>
                            <wps:wsp>
                              <wps:cNvPr id="98" name="直线 223"/>
                              <wps:cNvCnPr/>
                              <wps:spPr>
                                <a:xfrm flipH="1" flipV="1">
                                  <a:off x="2769870" y="2329180"/>
                                  <a:ext cx="399415" cy="635"/>
                                </a:xfrm>
                                <a:prstGeom prst="line">
                                  <a:avLst/>
                                </a:prstGeom>
                                <a:ln w="15875" cap="flat" cmpd="sng">
                                  <a:solidFill>
                                    <a:srgbClr val="000000"/>
                                  </a:solidFill>
                                  <a:prstDash val="solid"/>
                                  <a:headEnd type="none" w="med" len="med"/>
                                  <a:tailEnd type="triangle" w="med" len="med"/>
                                </a:ln>
                              </wps:spPr>
                              <wps:bodyPr upright="1"/>
                            </wps:wsp>
                            <wps:wsp>
                              <wps:cNvPr id="99" name="文本框 222"/>
                              <wps:cNvSpPr txBox="1"/>
                              <wps:spPr>
                                <a:xfrm>
                                  <a:off x="0" y="2172335"/>
                                  <a:ext cx="773430" cy="279400"/>
                                </a:xfrm>
                                <a:prstGeom prst="rect">
                                  <a:avLst/>
                                </a:prstGeom>
                                <a:noFill/>
                                <a:ln w="15875" cap="flat" cmpd="sng">
                                  <a:solidFill>
                                    <a:srgbClr val="000000"/>
                                  </a:solidFill>
                                  <a:prstDash val="solid"/>
                                  <a:miter/>
                                  <a:headEnd type="none" w="med" len="med"/>
                                  <a:tailEnd type="none" w="med" len="med"/>
                                </a:ln>
                              </wps:spPr>
                              <wps:txbx>
                                <w:txbxContent>
                                  <w:p w14:paraId="5BF9FB03">
                                    <w:pPr>
                                      <w:spacing w:line="360" w:lineRule="auto"/>
                                      <w:jc w:val="center"/>
                                      <w:rPr>
                                        <w:rFonts w:hint="default" w:eastAsia="宋体"/>
                                        <w:szCs w:val="21"/>
                                        <w:lang w:val="en-US" w:eastAsia="zh-CN"/>
                                      </w:rPr>
                                    </w:pPr>
                                    <w:r>
                                      <w:rPr>
                                        <w:rFonts w:hint="eastAsia"/>
                                        <w:szCs w:val="21"/>
                                        <w:lang w:val="en-US" w:eastAsia="zh-CN"/>
                                      </w:rPr>
                                      <w:t>成品入库</w:t>
                                    </w:r>
                                  </w:p>
                                </w:txbxContent>
                              </wps:txbx>
                              <wps:bodyPr upright="1"/>
                            </wps:wsp>
                            <wps:wsp>
                              <wps:cNvPr id="102" name="直线 256"/>
                              <wps:cNvCnPr/>
                              <wps:spPr>
                                <a:xfrm flipV="1">
                                  <a:off x="2246630" y="352425"/>
                                  <a:ext cx="3175" cy="304165"/>
                                </a:xfrm>
                                <a:prstGeom prst="line">
                                  <a:avLst/>
                                </a:prstGeom>
                                <a:ln w="9525" cap="flat" cmpd="sng">
                                  <a:solidFill>
                                    <a:srgbClr val="000000"/>
                                  </a:solidFill>
                                  <a:prstDash val="dashDot"/>
                                  <a:headEnd type="none" w="med" len="med"/>
                                  <a:tailEnd type="triangle" w="med" len="med"/>
                                </a:ln>
                              </wps:spPr>
                              <wps:bodyPr upright="1"/>
                            </wps:wsp>
                            <wps:wsp>
                              <wps:cNvPr id="103" name="文本框 257"/>
                              <wps:cNvSpPr txBox="1"/>
                              <wps:spPr>
                                <a:xfrm>
                                  <a:off x="1647825" y="69850"/>
                                  <a:ext cx="1205230" cy="280670"/>
                                </a:xfrm>
                                <a:prstGeom prst="rect">
                                  <a:avLst/>
                                </a:prstGeom>
                                <a:noFill/>
                                <a:ln w="9525" cap="flat" cmpd="sng">
                                  <a:solidFill>
                                    <a:srgbClr val="000000"/>
                                  </a:solidFill>
                                  <a:prstDash val="dashDot"/>
                                  <a:miter/>
                                  <a:headEnd type="none" w="med" len="med"/>
                                  <a:tailEnd type="none" w="med" len="med"/>
                                </a:ln>
                              </wps:spPr>
                              <wps:txbx>
                                <w:txbxContent>
                                  <w:p w14:paraId="5743B0AD">
                                    <w:pPr>
                                      <w:jc w:val="center"/>
                                      <w:rPr>
                                        <w:szCs w:val="21"/>
                                      </w:rPr>
                                    </w:pPr>
                                    <w:r>
                                      <w:rPr>
                                        <w:rFonts w:hint="eastAsia"/>
                                        <w:szCs w:val="21"/>
                                        <w:lang w:val="en-US" w:eastAsia="zh-CN"/>
                                      </w:rPr>
                                      <w:t>固废</w:t>
                                    </w:r>
                                    <w:r>
                                      <w:rPr>
                                        <w:rFonts w:hint="eastAsia"/>
                                        <w:szCs w:val="21"/>
                                        <w:lang w:eastAsia="zh-CN"/>
                                      </w:rPr>
                                      <w:t>、</w:t>
                                    </w:r>
                                    <w:r>
                                      <w:rPr>
                                        <w:rFonts w:hint="eastAsia"/>
                                        <w:szCs w:val="21"/>
                                        <w:lang w:val="en-US" w:eastAsia="zh-CN"/>
                                      </w:rPr>
                                      <w:t>废气</w:t>
                                    </w:r>
                                    <w:r>
                                      <w:rPr>
                                        <w:rFonts w:hint="eastAsia"/>
                                        <w:szCs w:val="21"/>
                                      </w:rPr>
                                      <w:t>、噪声</w:t>
                                    </w:r>
                                  </w:p>
                                </w:txbxContent>
                              </wps:txbx>
                              <wps:bodyPr upright="1"/>
                            </wps:wsp>
                            <wps:wsp>
                              <wps:cNvPr id="107" name="文本框 257"/>
                              <wps:cNvSpPr txBox="1"/>
                              <wps:spPr>
                                <a:xfrm>
                                  <a:off x="3210560" y="2753360"/>
                                  <a:ext cx="537210" cy="280670"/>
                                </a:xfrm>
                                <a:prstGeom prst="rect">
                                  <a:avLst/>
                                </a:prstGeom>
                                <a:noFill/>
                                <a:ln w="9525" cap="flat" cmpd="sng">
                                  <a:solidFill>
                                    <a:srgbClr val="000000"/>
                                  </a:solidFill>
                                  <a:prstDash val="dashDot"/>
                                  <a:miter/>
                                  <a:headEnd type="none" w="med" len="med"/>
                                  <a:tailEnd type="none" w="med" len="med"/>
                                </a:ln>
                              </wps:spPr>
                              <wps:txbx>
                                <w:txbxContent>
                                  <w:p w14:paraId="0931D912">
                                    <w:pPr>
                                      <w:jc w:val="center"/>
                                      <w:rPr>
                                        <w:rFonts w:hint="eastAsia" w:eastAsia="宋体"/>
                                        <w:szCs w:val="21"/>
                                        <w:lang w:val="en-US" w:eastAsia="zh-CN"/>
                                      </w:rPr>
                                    </w:pPr>
                                    <w:r>
                                      <w:rPr>
                                        <w:rFonts w:hint="eastAsia"/>
                                        <w:szCs w:val="21"/>
                                        <w:lang w:val="en-US" w:eastAsia="zh-CN"/>
                                      </w:rPr>
                                      <w:t>废气</w:t>
                                    </w:r>
                                  </w:p>
                                </w:txbxContent>
                              </wps:txbx>
                              <wps:bodyPr upright="1"/>
                            </wps:wsp>
                            <wps:wsp>
                              <wps:cNvPr id="109" name="文本框 257"/>
                              <wps:cNvSpPr txBox="1"/>
                              <wps:spPr>
                                <a:xfrm>
                                  <a:off x="1226820" y="2749550"/>
                                  <a:ext cx="502920" cy="280670"/>
                                </a:xfrm>
                                <a:prstGeom prst="rect">
                                  <a:avLst/>
                                </a:prstGeom>
                                <a:noFill/>
                                <a:ln w="9525" cap="flat" cmpd="sng">
                                  <a:solidFill>
                                    <a:srgbClr val="000000"/>
                                  </a:solidFill>
                                  <a:prstDash val="dashDot"/>
                                  <a:miter/>
                                  <a:headEnd type="none" w="med" len="med"/>
                                  <a:tailEnd type="none" w="med" len="med"/>
                                </a:ln>
                              </wps:spPr>
                              <wps:txbx>
                                <w:txbxContent>
                                  <w:p w14:paraId="5C7E40D3">
                                    <w:pPr>
                                      <w:jc w:val="center"/>
                                      <w:rPr>
                                        <w:szCs w:val="21"/>
                                      </w:rPr>
                                    </w:pPr>
                                    <w:r>
                                      <w:rPr>
                                        <w:rFonts w:hint="eastAsia"/>
                                        <w:szCs w:val="21"/>
                                        <w:lang w:val="en-US" w:eastAsia="zh-CN"/>
                                      </w:rPr>
                                      <w:t>固废</w:t>
                                    </w:r>
                                  </w:p>
                                </w:txbxContent>
                              </wps:txbx>
                              <wps:bodyPr upright="1"/>
                            </wps:wsp>
                            <wps:wsp>
                              <wps:cNvPr id="110" name="文本框 222"/>
                              <wps:cNvSpPr txBox="1"/>
                              <wps:spPr>
                                <a:xfrm>
                                  <a:off x="3119120" y="643890"/>
                                  <a:ext cx="737870" cy="320040"/>
                                </a:xfrm>
                                <a:prstGeom prst="rect">
                                  <a:avLst/>
                                </a:prstGeom>
                                <a:noFill/>
                                <a:ln w="15875" cap="flat" cmpd="sng">
                                  <a:solidFill>
                                    <a:srgbClr val="000000"/>
                                  </a:solidFill>
                                  <a:prstDash val="solid"/>
                                  <a:miter/>
                                  <a:headEnd type="none" w="med" len="med"/>
                                  <a:tailEnd type="none" w="med" len="med"/>
                                </a:ln>
                              </wps:spPr>
                              <wps:txbx>
                                <w:txbxContent>
                                  <w:p w14:paraId="1F14F946">
                                    <w:pPr>
                                      <w:spacing w:line="360" w:lineRule="auto"/>
                                      <w:jc w:val="center"/>
                                      <w:rPr>
                                        <w:szCs w:val="21"/>
                                      </w:rPr>
                                    </w:pPr>
                                    <w:r>
                                      <w:rPr>
                                        <w:rFonts w:hint="eastAsia"/>
                                        <w:szCs w:val="21"/>
                                        <w:lang w:val="en-US" w:eastAsia="zh-CN"/>
                                      </w:rPr>
                                      <w:t>挤出熔融</w:t>
                                    </w:r>
                                    <w:r>
                                      <w:rPr>
                                        <w:rFonts w:hint="eastAsia"/>
                                        <w:szCs w:val="21"/>
                                      </w:rPr>
                                      <w:t>料</w:t>
                                    </w:r>
                                  </w:p>
                                </w:txbxContent>
                              </wps:txbx>
                              <wps:bodyPr upright="1"/>
                            </wps:wsp>
                            <wps:wsp>
                              <wps:cNvPr id="30" name="文本框 257"/>
                              <wps:cNvSpPr txBox="1"/>
                              <wps:spPr>
                                <a:xfrm>
                                  <a:off x="3053715" y="65405"/>
                                  <a:ext cx="891540" cy="280670"/>
                                </a:xfrm>
                                <a:prstGeom prst="rect">
                                  <a:avLst/>
                                </a:prstGeom>
                                <a:noFill/>
                                <a:ln w="9525" cap="flat" cmpd="sng">
                                  <a:solidFill>
                                    <a:srgbClr val="000000"/>
                                  </a:solidFill>
                                  <a:prstDash val="dashDot"/>
                                  <a:miter/>
                                  <a:headEnd type="none" w="med" len="med"/>
                                  <a:tailEnd type="none" w="med" len="med"/>
                                </a:ln>
                              </wps:spPr>
                              <wps:txbx>
                                <w:txbxContent>
                                  <w:p w14:paraId="538462C1">
                                    <w:pPr>
                                      <w:jc w:val="center"/>
                                      <w:rPr>
                                        <w:szCs w:val="21"/>
                                      </w:rPr>
                                    </w:pPr>
                                    <w:r>
                                      <w:rPr>
                                        <w:rFonts w:hint="eastAsia"/>
                                        <w:szCs w:val="21"/>
                                        <w:lang w:val="en-US" w:eastAsia="zh-CN"/>
                                      </w:rPr>
                                      <w:t>废气</w:t>
                                    </w:r>
                                    <w:r>
                                      <w:rPr>
                                        <w:rFonts w:hint="eastAsia"/>
                                        <w:szCs w:val="21"/>
                                      </w:rPr>
                                      <w:t>、噪声</w:t>
                                    </w:r>
                                  </w:p>
                                </w:txbxContent>
                              </wps:txbx>
                              <wps:bodyPr upright="1"/>
                            </wps:wsp>
                            <wps:wsp>
                              <wps:cNvPr id="11" name="直线 223"/>
                              <wps:cNvCnPr/>
                              <wps:spPr>
                                <a:xfrm flipV="1">
                                  <a:off x="2690495" y="809625"/>
                                  <a:ext cx="431165" cy="3810"/>
                                </a:xfrm>
                                <a:prstGeom prst="line">
                                  <a:avLst/>
                                </a:prstGeom>
                                <a:ln w="15875" cap="flat" cmpd="sng">
                                  <a:solidFill>
                                    <a:srgbClr val="000000"/>
                                  </a:solidFill>
                                  <a:prstDash val="solid"/>
                                  <a:headEnd type="none" w="med" len="med"/>
                                  <a:tailEnd type="triangle" w="med" len="med"/>
                                </a:ln>
                              </wps:spPr>
                              <wps:bodyPr upright="1"/>
                            </wps:wsp>
                            <wps:wsp>
                              <wps:cNvPr id="13" name="直线 223"/>
                              <wps:cNvCnPr/>
                              <wps:spPr>
                                <a:xfrm flipV="1">
                                  <a:off x="3860165" y="795655"/>
                                  <a:ext cx="431165" cy="3810"/>
                                </a:xfrm>
                                <a:prstGeom prst="line">
                                  <a:avLst/>
                                </a:prstGeom>
                                <a:ln w="15875" cap="flat" cmpd="sng">
                                  <a:solidFill>
                                    <a:srgbClr val="000000"/>
                                  </a:solidFill>
                                  <a:prstDash val="solid"/>
                                  <a:headEnd type="none" w="med" len="med"/>
                                  <a:tailEnd type="triangle" w="med" len="med"/>
                                </a:ln>
                              </wps:spPr>
                              <wps:bodyPr upright="1"/>
                            </wps:wsp>
                            <wps:wsp>
                              <wps:cNvPr id="14" name="文本框 222"/>
                              <wps:cNvSpPr txBox="1"/>
                              <wps:spPr>
                                <a:xfrm>
                                  <a:off x="4293870" y="635000"/>
                                  <a:ext cx="643255" cy="320040"/>
                                </a:xfrm>
                                <a:prstGeom prst="rect">
                                  <a:avLst/>
                                </a:prstGeom>
                                <a:noFill/>
                                <a:ln w="15875" cap="flat" cmpd="sng">
                                  <a:solidFill>
                                    <a:srgbClr val="000000"/>
                                  </a:solidFill>
                                  <a:prstDash val="solid"/>
                                  <a:miter/>
                                  <a:headEnd type="none" w="med" len="med"/>
                                  <a:tailEnd type="none" w="med" len="med"/>
                                </a:ln>
                              </wps:spPr>
                              <wps:txbx>
                                <w:txbxContent>
                                  <w:p w14:paraId="490BD94C">
                                    <w:pPr>
                                      <w:spacing w:line="360" w:lineRule="auto"/>
                                      <w:jc w:val="center"/>
                                      <w:rPr>
                                        <w:szCs w:val="21"/>
                                      </w:rPr>
                                    </w:pPr>
                                    <w:r>
                                      <w:rPr>
                                        <w:rFonts w:hint="eastAsia"/>
                                        <w:szCs w:val="21"/>
                                        <w:lang w:val="en-US" w:eastAsia="zh-CN"/>
                                      </w:rPr>
                                      <w:t>吹胀</w:t>
                                    </w:r>
                                  </w:p>
                                </w:txbxContent>
                              </wps:txbx>
                              <wps:bodyPr upright="1"/>
                            </wps:wsp>
                            <wps:wsp>
                              <wps:cNvPr id="15" name="直线 256"/>
                              <wps:cNvCnPr/>
                              <wps:spPr>
                                <a:xfrm flipV="1">
                                  <a:off x="4605655" y="322580"/>
                                  <a:ext cx="3175" cy="304165"/>
                                </a:xfrm>
                                <a:prstGeom prst="line">
                                  <a:avLst/>
                                </a:prstGeom>
                                <a:ln w="9525" cap="flat" cmpd="sng">
                                  <a:solidFill>
                                    <a:srgbClr val="000000"/>
                                  </a:solidFill>
                                  <a:prstDash val="dashDot"/>
                                  <a:headEnd type="none" w="med" len="med"/>
                                  <a:tailEnd type="triangle" w="med" len="med"/>
                                </a:ln>
                              </wps:spPr>
                              <wps:bodyPr upright="1"/>
                            </wps:wsp>
                            <wps:wsp>
                              <wps:cNvPr id="16" name="直线 256"/>
                              <wps:cNvCnPr/>
                              <wps:spPr>
                                <a:xfrm flipV="1">
                                  <a:off x="3488690" y="332105"/>
                                  <a:ext cx="3175" cy="304165"/>
                                </a:xfrm>
                                <a:prstGeom prst="line">
                                  <a:avLst/>
                                </a:prstGeom>
                                <a:ln w="9525" cap="flat" cmpd="sng">
                                  <a:solidFill>
                                    <a:srgbClr val="000000"/>
                                  </a:solidFill>
                                  <a:prstDash val="dashDot"/>
                                  <a:headEnd type="none" w="med" len="med"/>
                                  <a:tailEnd type="triangle" w="med" len="med"/>
                                </a:ln>
                              </wps:spPr>
                              <wps:bodyPr upright="1"/>
                            </wps:wsp>
                            <wps:wsp>
                              <wps:cNvPr id="17" name="直线 256"/>
                              <wps:cNvCnPr/>
                              <wps:spPr>
                                <a:xfrm flipH="1">
                                  <a:off x="3469640" y="2451735"/>
                                  <a:ext cx="2540" cy="304800"/>
                                </a:xfrm>
                                <a:prstGeom prst="line">
                                  <a:avLst/>
                                </a:prstGeom>
                                <a:ln w="9525" cap="flat" cmpd="sng">
                                  <a:solidFill>
                                    <a:srgbClr val="000000"/>
                                  </a:solidFill>
                                  <a:prstDash val="dashDot"/>
                                  <a:headEnd type="none" w="med" len="med"/>
                                  <a:tailEnd type="triangle" w="med" len="med"/>
                                </a:ln>
                              </wps:spPr>
                              <wps:bodyPr upright="1"/>
                            </wps:wsp>
                            <wps:wsp>
                              <wps:cNvPr id="18" name="文本框 222"/>
                              <wps:cNvSpPr txBox="1"/>
                              <wps:spPr>
                                <a:xfrm>
                                  <a:off x="2182495" y="2181860"/>
                                  <a:ext cx="584835" cy="270510"/>
                                </a:xfrm>
                                <a:prstGeom prst="rect">
                                  <a:avLst/>
                                </a:prstGeom>
                                <a:noFill/>
                                <a:ln w="15875" cap="flat" cmpd="sng">
                                  <a:solidFill>
                                    <a:srgbClr val="000000"/>
                                  </a:solidFill>
                                  <a:prstDash val="solid"/>
                                  <a:miter/>
                                  <a:headEnd type="none" w="med" len="med"/>
                                  <a:tailEnd type="none" w="med" len="med"/>
                                </a:ln>
                              </wps:spPr>
                              <wps:txbx>
                                <w:txbxContent>
                                  <w:p w14:paraId="2F5BA54E">
                                    <w:pPr>
                                      <w:spacing w:line="360" w:lineRule="auto"/>
                                      <w:jc w:val="center"/>
                                      <w:rPr>
                                        <w:rFonts w:hint="default" w:eastAsia="宋体"/>
                                        <w:szCs w:val="21"/>
                                        <w:lang w:val="en-US" w:eastAsia="zh-CN"/>
                                      </w:rPr>
                                    </w:pPr>
                                    <w:r>
                                      <w:rPr>
                                        <w:rFonts w:hint="eastAsia"/>
                                        <w:szCs w:val="21"/>
                                        <w:lang w:val="en-US" w:eastAsia="zh-CN"/>
                                      </w:rPr>
                                      <w:t>制袋</w:t>
                                    </w:r>
                                  </w:p>
                                </w:txbxContent>
                              </wps:txbx>
                              <wps:bodyPr upright="1"/>
                            </wps:wsp>
                            <wps:wsp>
                              <wps:cNvPr id="19" name="直线 223"/>
                              <wps:cNvCnPr/>
                              <wps:spPr>
                                <a:xfrm flipH="1" flipV="1">
                                  <a:off x="3784600" y="2322830"/>
                                  <a:ext cx="419100" cy="1905"/>
                                </a:xfrm>
                                <a:prstGeom prst="line">
                                  <a:avLst/>
                                </a:prstGeom>
                                <a:ln w="15875" cap="flat" cmpd="sng">
                                  <a:solidFill>
                                    <a:srgbClr val="000000"/>
                                  </a:solidFill>
                                  <a:prstDash val="solid"/>
                                  <a:headEnd type="none" w="med" len="med"/>
                                  <a:tailEnd type="triangle" w="med" len="med"/>
                                </a:ln>
                              </wps:spPr>
                              <wps:bodyPr upright="1"/>
                            </wps:wsp>
                            <wps:wsp>
                              <wps:cNvPr id="22" name="直线 223"/>
                              <wps:cNvCnPr/>
                              <wps:spPr>
                                <a:xfrm flipH="1" flipV="1">
                                  <a:off x="764540" y="2309495"/>
                                  <a:ext cx="399415" cy="635"/>
                                </a:xfrm>
                                <a:prstGeom prst="line">
                                  <a:avLst/>
                                </a:prstGeom>
                                <a:ln w="15875" cap="flat" cmpd="sng">
                                  <a:solidFill>
                                    <a:srgbClr val="000000"/>
                                  </a:solidFill>
                                  <a:prstDash val="solid"/>
                                  <a:headEnd type="none" w="med" len="med"/>
                                  <a:tailEnd type="triangle" w="med" len="med"/>
                                </a:ln>
                              </wps:spPr>
                              <wps:bodyPr upright="1"/>
                            </wps:wsp>
                            <wps:wsp>
                              <wps:cNvPr id="23" name="直线 223"/>
                              <wps:cNvCnPr/>
                              <wps:spPr>
                                <a:xfrm flipH="1" flipV="1">
                                  <a:off x="1771015" y="2313305"/>
                                  <a:ext cx="399415" cy="635"/>
                                </a:xfrm>
                                <a:prstGeom prst="line">
                                  <a:avLst/>
                                </a:prstGeom>
                                <a:ln w="15875" cap="flat" cmpd="sng">
                                  <a:solidFill>
                                    <a:srgbClr val="000000"/>
                                  </a:solidFill>
                                  <a:prstDash val="solid"/>
                                  <a:headEnd type="none" w="med" len="med"/>
                                  <a:tailEnd type="triangle" w="med" len="med"/>
                                </a:ln>
                              </wps:spPr>
                              <wps:bodyPr upright="1"/>
                            </wps:wsp>
                            <wps:wsp>
                              <wps:cNvPr id="24" name="直线 256"/>
                              <wps:cNvCnPr/>
                              <wps:spPr>
                                <a:xfrm flipH="1">
                                  <a:off x="1473200" y="2447290"/>
                                  <a:ext cx="2540" cy="304800"/>
                                </a:xfrm>
                                <a:prstGeom prst="line">
                                  <a:avLst/>
                                </a:prstGeom>
                                <a:ln w="9525" cap="flat" cmpd="sng">
                                  <a:solidFill>
                                    <a:srgbClr val="000000"/>
                                  </a:solidFill>
                                  <a:prstDash val="dashDot"/>
                                  <a:headEnd type="none" w="med" len="med"/>
                                  <a:tailEnd type="triangle" w="med" len="med"/>
                                </a:ln>
                              </wps:spPr>
                              <wps:bodyPr upright="1"/>
                            </wps:wsp>
                            <wps:wsp>
                              <wps:cNvPr id="25" name="文本框 257"/>
                              <wps:cNvSpPr txBox="1"/>
                              <wps:spPr>
                                <a:xfrm>
                                  <a:off x="2237740" y="2757170"/>
                                  <a:ext cx="502920" cy="280670"/>
                                </a:xfrm>
                                <a:prstGeom prst="rect">
                                  <a:avLst/>
                                </a:prstGeom>
                                <a:noFill/>
                                <a:ln w="9525" cap="flat" cmpd="sng">
                                  <a:solidFill>
                                    <a:srgbClr val="000000"/>
                                  </a:solidFill>
                                  <a:prstDash val="dashDot"/>
                                  <a:miter/>
                                  <a:headEnd type="none" w="med" len="med"/>
                                  <a:tailEnd type="none" w="med" len="med"/>
                                </a:ln>
                              </wps:spPr>
                              <wps:txbx>
                                <w:txbxContent>
                                  <w:p w14:paraId="0EFB67C2">
                                    <w:pPr>
                                      <w:jc w:val="center"/>
                                      <w:rPr>
                                        <w:szCs w:val="21"/>
                                      </w:rPr>
                                    </w:pPr>
                                    <w:r>
                                      <w:rPr>
                                        <w:rFonts w:hint="eastAsia"/>
                                        <w:szCs w:val="21"/>
                                        <w:lang w:val="en-US" w:eastAsia="zh-CN"/>
                                      </w:rPr>
                                      <w:t>固废</w:t>
                                    </w:r>
                                  </w:p>
                                </w:txbxContent>
                              </wps:txbx>
                              <wps:bodyPr upright="1"/>
                            </wps:wsp>
                            <wps:wsp>
                              <wps:cNvPr id="26" name="直线 256"/>
                              <wps:cNvCnPr/>
                              <wps:spPr>
                                <a:xfrm flipH="1">
                                  <a:off x="2484120" y="2454910"/>
                                  <a:ext cx="2540" cy="304800"/>
                                </a:xfrm>
                                <a:prstGeom prst="line">
                                  <a:avLst/>
                                </a:prstGeom>
                                <a:ln w="9525" cap="flat" cmpd="sng">
                                  <a:solidFill>
                                    <a:srgbClr val="000000"/>
                                  </a:solidFill>
                                  <a:prstDash val="dashDot"/>
                                  <a:headEnd type="none" w="med" len="med"/>
                                  <a:tailEnd type="triangle" w="med" len="med"/>
                                </a:ln>
                              </wps:spPr>
                              <wps:bodyPr upright="1"/>
                            </wps:wsp>
                          </wpc:wpc>
                        </a:graphicData>
                      </a:graphic>
                    </wp:inline>
                  </w:drawing>
                </mc:Choice>
                <mc:Fallback>
                  <w:pict>
                    <v:group id="画布 221" o:spid="_x0000_s1026" o:spt="203" style="height:247.95pt;width:427.55pt;" coordsize="5429885,3148965" editas="canvas" o:gfxdata="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">
                      <o:lock v:ext="edit" aspectratio="f"/>
                      <v:shape id="画布 221" o:spid="_x0000_s1026" style="position:absolute;left:0;top:0;height:3148965;width:5429885;" filled="f" stroked="f" coordsize="21600,21600" o:gfxdata="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">
                        <v:fill on="f" focussize="0,0"/>
                        <v:stroke on="f"/>
                        <v:imagedata o:title=""/>
                        <o:lock v:ext="edit" aspectratio="f"/>
                      </v:shape>
                      <v:shape id="文本框 222" o:spid="_x0000_s1026" o:spt="202" type="#_x0000_t202" style="position:absolute;left:556895;top:664845;height:309880;width:830580;" filled="f" stroked="t" coordsize="21600,21600" o:gfxdata="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GqoAG0gAAAAUBAAAPAAAAAAAAAAEAIAAA&#10;ACIAAABkcnMvZG93bnJldi54bWxQSwECFAAUAAAACACHTuJALqZ9phICAAAaBAAADgAAAAAAAAAB&#10;ACAAAAAhAQAAZHJzL2Uyb0RvYy54bWxQSwUGAAAAAAYABgBZAQAApQUAAAAA&#10;">
                        <v:fill on="f" focussize="0,0"/>
                        <v:stroke weight="1.25pt" color="#000000" joinstyle="miter"/>
                        <v:imagedata o:title=""/>
                        <o:lock v:ext="edit" aspectratio="f"/>
                        <v:textbox>
                          <w:txbxContent>
                            <w:p w14:paraId="12BA3ACF">
                              <w:pPr>
                                <w:keepNext w:val="0"/>
                                <w:keepLines w:val="0"/>
                                <w:pageBreakBefore w:val="0"/>
                                <w:widowControl w:val="0"/>
                                <w:kinsoku/>
                                <w:wordWrap/>
                                <w:overflowPunct/>
                                <w:topLinePunct w:val="0"/>
                                <w:bidi w:val="0"/>
                                <w:adjustRightInd/>
                                <w:snapToGrid/>
                                <w:spacing w:line="240" w:lineRule="auto"/>
                                <w:jc w:val="center"/>
                                <w:textAlignment w:val="auto"/>
                                <w:rPr>
                                  <w:rFonts w:hint="eastAsia" w:eastAsia="宋体"/>
                                  <w:szCs w:val="21"/>
                                  <w:lang w:val="en-US" w:eastAsia="zh-CN"/>
                                </w:rPr>
                              </w:pPr>
                              <w:r>
                                <w:rPr>
                                  <w:rFonts w:hint="eastAsia"/>
                                  <w:szCs w:val="21"/>
                                  <w:lang w:val="en-US" w:eastAsia="zh-CN"/>
                                </w:rPr>
                                <w:t>原辅料</w:t>
                              </w:r>
                            </w:p>
                          </w:txbxContent>
                        </v:textbox>
                      </v:shape>
                      <v:line id="直线 227" o:spid="_x0000_s1026" o:spt="20" style="position:absolute;left:4300855;top:1929130;flip:y;height:256540;width:635;" filled="f" stroked="t" coordsize="21600,21600" o:gfxdata="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pWVwl1gAAAAUBAAAPAAAAAAAAAAEAIAAAACIAAABk&#10;cnMvZG93bnJldi54bWxQSwECFAAUAAAACACHTuJAjVHNLggCAAD6AwAADgAAAAAAAAABACAAAAAl&#10;AQAAZHJzL2Uyb0RvYy54bWxQSwUGAAAAAAYABgBZAQAAnwUAAAAA&#10;">
                        <v:fill on="f" focussize="0,0"/>
                        <v:stroke weight="1.25pt" color="#000000" joinstyle="round" endarrow="block"/>
                        <v:imagedata o:title=""/>
                        <o:lock v:ext="edit" aspectratio="f"/>
                      </v:line>
                      <v:line id="直线 228" o:spid="_x0000_s1026" o:spt="20" style="position:absolute;left:4505325;top:1924685;flip:y;height:254000;width:635;" filled="f" stroked="t" coordsize="21600,21600" o:gfxdata="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V480qdYAAAAFAQAADwAAAAAAAAABACAAAAAiAAAA&#10;ZHJzL2Rvd25yZXYueG1sUEsBAhQAFAAAAAgAh07iQLMPDAwJAgAA+gMAAA4AAAAAAAAAAQAgAAAA&#10;JQEAAGRycy9lMm9Eb2MueG1sUEsFBgAAAAAGAAYAWQEAAKAFAAAAAA==&#10;">
                        <v:fill on="f" focussize="0,0"/>
                        <v:stroke weight="1.25pt" color="#000000" joinstyle="round" startarrow="block"/>
                        <v:imagedata o:title=""/>
                        <o:lock v:ext="edit" aspectratio="f"/>
                      </v:line>
                      <v:shape id="文本框 257" o:spid="_x0000_s1026" o:spt="202" type="#_x0000_t202" style="position:absolute;left:4328795;top:47625;height:280670;width:563880;" filled="f" stroked="t" coordsize="21600,21600" o:gfxdata="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UZXR9UAAAAFAQAADwAAAAAA&#10;AAABACAAAAAiAAAAZHJzL2Rvd25yZXYueG1sUEsBAhQAFAAAAAgAh07iQPrSOKoWAgAAGwQAAA4A&#10;AAAAAAAAAQAgAAAAJAEAAGRycy9lMm9Eb2MueG1sUEsFBgAAAAAGAAYAWQEAAKwFAAAAAA==&#10;">
                        <v:fill on="f" focussize="0,0"/>
                        <v:stroke color="#000000" joinstyle="miter" dashstyle="dashDot"/>
                        <v:imagedata o:title=""/>
                        <o:lock v:ext="edit" aspectratio="f"/>
                        <v:textbox>
                          <w:txbxContent>
                            <w:p w14:paraId="70AF860A">
                              <w:pPr>
                                <w:jc w:val="center"/>
                                <w:rPr>
                                  <w:szCs w:val="21"/>
                                </w:rPr>
                              </w:pPr>
                              <w:r>
                                <w:rPr>
                                  <w:rFonts w:hint="eastAsia"/>
                                  <w:szCs w:val="21"/>
                                </w:rPr>
                                <w:t>噪声</w:t>
                              </w:r>
                            </w:p>
                          </w:txbxContent>
                        </v:textbox>
                      </v:shape>
                      <v:line id="直线 223" o:spid="_x0000_s1026" o:spt="20" style="position:absolute;left:1387475;top:815975;flip:y;height:3810;width:431165;" filled="f" stroked="t" coordsize="21600,21600" o:gfxdata="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lZXCXWAAAABQEAAA8AAAAA&#10;AAAAAQAgAAAAIgAAAGRycy9kb3ducmV2LnhtbFBLAQIUABQAAAAIAIdO4kC7YS3SFgIAACEEAAAO&#10;AAAAAAAAAAEAIAAAACUBAABkcnMvZTJvRG9jLnhtbFBLBQYAAAAABgAGAFkBAACtBQAAAAA=&#10;">
                        <v:fill on="f" focussize="0,0"/>
                        <v:stroke weight="1.25pt" color="#000000" joinstyle="round" endarrow="block"/>
                        <v:imagedata o:title=""/>
                        <o:lock v:ext="edit" aspectratio="f"/>
                      </v:line>
                      <v:shape id="文本框 222" o:spid="_x0000_s1026" o:spt="202" type="#_x0000_t202" style="position:absolute;left:1829435;top:662305;height:301625;width:864870;" filled="f" stroked="t" coordsize="21600,21600" o:gfxdata="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aqgAbSAAAABQEAAA8AAAAAAAAAAQAg&#10;AAAAIgAAAGRycy9kb3ducmV2LnhtbFBLAQIUABQAAAAIAIdO4kB5h6J1FAIAABsEAAAOAAAAAAAA&#10;AAEAIAAAACEBAABkcnMvZTJvRG9jLnhtbFBLBQYAAAAABgAGAFkBAACnBQAAAAA=&#10;">
                        <v:fill on="f" focussize="0,0"/>
                        <v:stroke weight="1.25pt" color="#000000" joinstyle="miter"/>
                        <v:imagedata o:title=""/>
                        <o:lock v:ext="edit" aspectratio="f"/>
                        <v:textbox>
                          <w:txbxContent>
                            <w:p w14:paraId="09C7502F">
                              <w:pPr>
                                <w:keepNext w:val="0"/>
                                <w:keepLines w:val="0"/>
                                <w:pageBreakBefore w:val="0"/>
                                <w:widowControl w:val="0"/>
                                <w:kinsoku/>
                                <w:wordWrap/>
                                <w:overflowPunct/>
                                <w:topLinePunct w:val="0"/>
                                <w:bidi w:val="0"/>
                                <w:adjustRightInd/>
                                <w:snapToGrid/>
                                <w:spacing w:line="240" w:lineRule="auto"/>
                                <w:jc w:val="center"/>
                                <w:textAlignment w:val="auto"/>
                                <w:rPr>
                                  <w:rFonts w:hint="eastAsia" w:eastAsia="宋体"/>
                                  <w:szCs w:val="21"/>
                                  <w:lang w:val="en-US" w:eastAsia="zh-CN"/>
                                </w:rPr>
                              </w:pPr>
                              <w:r>
                                <w:rPr>
                                  <w:rFonts w:hint="eastAsia"/>
                                  <w:szCs w:val="21"/>
                                </w:rPr>
                                <w:t>混料</w:t>
                              </w:r>
                              <w:r>
                                <w:rPr>
                                  <w:rFonts w:hint="eastAsia"/>
                                  <w:szCs w:val="21"/>
                                  <w:lang w:val="en-US" w:eastAsia="zh-CN"/>
                                </w:rPr>
                                <w:t>搅拌</w:t>
                              </w:r>
                            </w:p>
                          </w:txbxContent>
                        </v:textbox>
                      </v:shape>
                      <v:line id="直线 223" o:spid="_x0000_s1026" o:spt="20" style="position:absolute;left:4707890;top:956945;height:1248410;width:635;" filled="f" stroked="t" coordsize="21600,21600" o:gfxdata="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iV3gNUAAAAFAQAADwAAAAAAAAABACAAAAAiAAAAZHJzL2Rvd25y&#10;ZXYueG1sUEsBAhQAFAAAAAgAh07iQJzdmYwBAgAA8AMAAA4AAAAAAAAAAQAgAAAAJAEAAGRycy9l&#10;Mm9Eb2MueG1sUEsFBgAAAAAGAAYAWQEAAJcFAAAAAA==&#10;">
                        <v:fill on="f" focussize="0,0"/>
                        <v:stroke weight="1.25pt" color="#000000" joinstyle="round" endarrow="block"/>
                        <v:imagedata o:title=""/>
                        <o:lock v:ext="edit" aspectratio="f"/>
                      </v:line>
                      <v:shape id="文本框 222" o:spid="_x0000_s1026" o:spt="202" type="#_x0000_t202" style="position:absolute;left:4208780;top:2189480;height:266065;width:1032510;" filled="f" stroked="t" coordsize="21600,21600" o:gfxdata="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GqoAG0gAAAAUBAAAPAAAAAAAAAAEAIAAA&#10;ACIAAABkcnMvZG93bnJldi54bWxQSwECFAAUAAAACACHTuJA18ha9RICAAAdBAAADgAAAAAAAAAB&#10;ACAAAAAhAQAAZHJzL2Uyb0RvYy54bWxQSwUGAAAAAAYABgBZAQAApQUAAAAA&#10;">
                        <v:fill on="f" focussize="0,0"/>
                        <v:stroke weight="1.25pt" color="#000000" joinstyle="miter"/>
                        <v:imagedata o:title=""/>
                        <o:lock v:ext="edit" aspectratio="f"/>
                        <v:textbox>
                          <w:txbxContent>
                            <w:p w14:paraId="0FA4CE3F">
                              <w:pPr>
                                <w:keepNext w:val="0"/>
                                <w:keepLines w:val="0"/>
                                <w:pageBreakBefore w:val="0"/>
                                <w:widowControl w:val="0"/>
                                <w:kinsoku/>
                                <w:wordWrap/>
                                <w:overflowPunct/>
                                <w:topLinePunct w:val="0"/>
                                <w:bidi w:val="0"/>
                                <w:adjustRightInd/>
                                <w:snapToGrid/>
                                <w:jc w:val="center"/>
                                <w:textAlignment w:val="auto"/>
                                <w:rPr>
                                  <w:rFonts w:hint="default"/>
                                  <w:sz w:val="21"/>
                                  <w:szCs w:val="21"/>
                                  <w:lang w:val="en-US" w:eastAsia="zh-CN"/>
                                </w:rPr>
                              </w:pPr>
                              <w:r>
                                <w:rPr>
                                  <w:rFonts w:hint="eastAsia"/>
                                  <w:sz w:val="21"/>
                                  <w:szCs w:val="21"/>
                                  <w:lang w:val="en-US" w:eastAsia="zh-CN"/>
                                </w:rPr>
                                <w:t>冷却定型</w:t>
                              </w:r>
                            </w:p>
                            <w:p w14:paraId="01765D4E">
                              <w:pPr>
                                <w:rPr>
                                  <w:sz w:val="21"/>
                                  <w:szCs w:val="21"/>
                                </w:rPr>
                              </w:pPr>
                            </w:p>
                          </w:txbxContent>
                        </v:textbox>
                      </v:shape>
                      <v:shape id="文本框 222" o:spid="_x0000_s1026" o:spt="202" type="#_x0000_t202" style="position:absolute;left:3609340;top:1593850;height:320040;width:910590;" filled="f" stroked="t" coordsize="21600,21600" o:gfxdata="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qoAG0gAAAAUBAAAPAAAAAAAAAAEAIAAAACIA&#10;AABkcnMvZG93bnJldi54bWxQSwECFAAUAAAACACHTuJAnudtmA8CAAAcBAAADgAAAAAAAAABACAA&#10;AAAhAQAAZHJzL2Uyb0RvYy54bWxQSwUGAAAAAAYABgBZAQAAogUAAAAA&#10;">
                        <v:fill on="f" focussize="0,0"/>
                        <v:stroke weight="1.25pt" color="#000000" joinstyle="miter"/>
                        <v:imagedata o:title=""/>
                        <o:lock v:ext="edit" aspectratio="f"/>
                        <v:textbox>
                          <w:txbxContent>
                            <w:p w14:paraId="206F9305">
                              <w:pPr>
                                <w:spacing w:line="360" w:lineRule="auto"/>
                                <w:jc w:val="center"/>
                                <w:rPr>
                                  <w:szCs w:val="21"/>
                                </w:rPr>
                              </w:pPr>
                              <w:r>
                                <w:rPr>
                                  <w:rFonts w:hint="eastAsia"/>
                                  <w:szCs w:val="21"/>
                                </w:rPr>
                                <w:t>冷却水</w:t>
                              </w:r>
                            </w:p>
                          </w:txbxContent>
                        </v:textbox>
                      </v:shape>
                      <v:shape id="文本框 222" o:spid="_x0000_s1026" o:spt="202" type="#_x0000_t202" style="position:absolute;left:3160395;top:2188845;height:270510;width:621030;" filled="f" stroked="t" coordsize="21600,21600" o:gfxdata="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aqgAbSAAAABQEAAA8AAAAAAAAAAQAg&#10;AAAAIgAAAGRycy9kb3ducmV2LnhtbFBLAQIUABQAAAAIAIdO4kCVkxBVFAIAABwEAAAOAAAAAAAA&#10;AAEAIAAAACEBAABkcnMvZTJvRG9jLnhtbFBLBQYAAAAABgAGAFkBAACnBQAAAAA=&#10;">
                        <v:fill on="f" focussize="0,0"/>
                        <v:stroke weight="1.25pt" color="#000000" joinstyle="miter"/>
                        <v:imagedata o:title=""/>
                        <o:lock v:ext="edit" aspectratio="f"/>
                        <v:textbox>
                          <w:txbxContent>
                            <w:p w14:paraId="4C654A6D">
                              <w:pPr>
                                <w:jc w:val="center"/>
                                <w:rPr>
                                  <w:rFonts w:hint="default"/>
                                  <w:sz w:val="21"/>
                                  <w:szCs w:val="21"/>
                                  <w:lang w:val="en-US"/>
                                </w:rPr>
                              </w:pPr>
                              <w:r>
                                <w:rPr>
                                  <w:rFonts w:hint="eastAsia"/>
                                  <w:sz w:val="21"/>
                                  <w:szCs w:val="21"/>
                                  <w:lang w:val="en-US" w:eastAsia="zh-CN"/>
                                </w:rPr>
                                <w:t>印刷</w:t>
                              </w:r>
                            </w:p>
                          </w:txbxContent>
                        </v:textbox>
                      </v:shape>
                      <v:shape id="文本框 222" o:spid="_x0000_s1026" o:spt="202" type="#_x0000_t202" style="position:absolute;left:1161415;top:2178685;height:270510;width:603885;" filled="f" stroked="t" coordsize="21600,21600" o:gfxdata="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qqABtIAAAAFAQAADwAAAAAAAAABACAA&#10;AAAiAAAAZHJzL2Rvd25yZXYueG1sUEsBAhQAFAAAAAgAh07iQMgeZQ8TAgAAHAQAAA4AAAAAAAAA&#10;AQAgAAAAIQEAAGRycy9lMm9Eb2MueG1sUEsFBgAAAAAGAAYAWQEAAKYFAAAAAA==&#10;">
                        <v:fill on="f" focussize="0,0"/>
                        <v:stroke weight="1.25pt" color="#000000" joinstyle="miter"/>
                        <v:imagedata o:title=""/>
                        <o:lock v:ext="edit" aspectratio="f"/>
                        <v:textbox>
                          <w:txbxContent>
                            <w:p w14:paraId="53976FA7">
                              <w:pPr>
                                <w:spacing w:line="360" w:lineRule="auto"/>
                                <w:jc w:val="center"/>
                                <w:rPr>
                                  <w:rFonts w:hint="eastAsia" w:eastAsia="宋体"/>
                                  <w:szCs w:val="21"/>
                                  <w:lang w:val="en-US" w:eastAsia="zh-CN"/>
                                </w:rPr>
                              </w:pPr>
                              <w:r>
                                <w:rPr>
                                  <w:rFonts w:hint="eastAsia"/>
                                  <w:szCs w:val="21"/>
                                  <w:lang w:val="en-US" w:eastAsia="zh-CN"/>
                                </w:rPr>
                                <w:t>检验</w:t>
                              </w:r>
                            </w:p>
                          </w:txbxContent>
                        </v:textbox>
                      </v:shape>
                      <v:line id="直线 223" o:spid="_x0000_s1026" o:spt="20" style="position:absolute;left:2769870;top:2329180;flip:x y;height:635;width:399415;" filled="f" stroked="t" coordsize="21600,21600" o:gfxdata="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bCaMfVAAAABQEAAA8AAAAAAAAAAQAgAAAAIgAA&#10;AGRycy9kb3ducmV2LnhtbFBLAQIUABQAAAAIAIdO4kDgNCaACwIAAAQEAAAOAAAAAAAAAAEAIAAA&#10;ACQBAABkcnMvZTJvRG9jLnhtbFBLBQYAAAAABgAGAFkBAAChBQAAAAA=&#10;">
                        <v:fill on="f" focussize="0,0"/>
                        <v:stroke weight="1.25pt" color="#000000" joinstyle="round" endarrow="block"/>
                        <v:imagedata o:title=""/>
                        <o:lock v:ext="edit" aspectratio="f"/>
                      </v:line>
                      <v:shape id="文本框 222" o:spid="_x0000_s1026" o:spt="202" type="#_x0000_t202" style="position:absolute;left:0;top:2172335;height:279400;width:773430;" filled="f" stroked="t" coordsize="21600,21600" o:gfxdata="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hqqABtIAAAAFAQAADwAAAAAAAAABACAAAAAi&#10;AAAAZHJzL2Rvd25yZXYueG1sUEsBAhQAFAAAAAgAh07iQPgbAcoQAgAAFgQAAA4AAAAAAAAAAQAg&#10;AAAAIQEAAGRycy9lMm9Eb2MueG1sUEsFBgAAAAAGAAYAWQEAAKMFAAAAAA==&#10;">
                        <v:fill on="f" focussize="0,0"/>
                        <v:stroke weight="1.25pt" color="#000000" joinstyle="miter"/>
                        <v:imagedata o:title=""/>
                        <o:lock v:ext="edit" aspectratio="f"/>
                        <v:textbox>
                          <w:txbxContent>
                            <w:p w14:paraId="5BF9FB03">
                              <w:pPr>
                                <w:spacing w:line="360" w:lineRule="auto"/>
                                <w:jc w:val="center"/>
                                <w:rPr>
                                  <w:rFonts w:hint="default" w:eastAsia="宋体"/>
                                  <w:szCs w:val="21"/>
                                  <w:lang w:val="en-US" w:eastAsia="zh-CN"/>
                                </w:rPr>
                              </w:pPr>
                              <w:r>
                                <w:rPr>
                                  <w:rFonts w:hint="eastAsia"/>
                                  <w:szCs w:val="21"/>
                                  <w:lang w:val="en-US" w:eastAsia="zh-CN"/>
                                </w:rPr>
                                <w:t>成品入库</w:t>
                              </w:r>
                            </w:p>
                          </w:txbxContent>
                        </v:textbox>
                      </v:shape>
                      <v:line id="直线 256" o:spid="_x0000_s1026" o:spt="20" style="position:absolute;left:2246630;top:352425;flip:y;height:304165;width:3175;" filled="f" stroked="t" coordsize="21600,21600" o:gfxdata="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DP35vXVAAAABQEAAA8AAAAAAAAAAQAgAAAAIgAA&#10;AGRycy9kb3ducmV2LnhtbFBLAQIUABQAAAAIAIdO4kARcZeCCwIAAPwDAAAOAAAAAAAAAAEAIAAA&#10;ACQBAABkcnMvZTJvRG9jLnhtbFBLBQYAAAAABgAGAFkBAAChBQAAAAA=&#10;">
                        <v:fill on="f" focussize="0,0"/>
                        <v:stroke color="#000000" joinstyle="round" dashstyle="dashDot" endarrow="block"/>
                        <v:imagedata o:title=""/>
                        <o:lock v:ext="edit" aspectratio="f"/>
                      </v:line>
                      <v:shape id="文本框 257" o:spid="_x0000_s1026" o:spt="202" type="#_x0000_t202" style="position:absolute;left:1647825;top:69850;height:280670;width:1205230;" filled="f" stroked="t" coordsize="21600,21600" o:gfxdata="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lRldH1QAAAAUBAAAPAAAAAAAA&#10;AAEAIAAAACIAAABkcnMvZG93bnJldi54bWxQSwECFAAUAAAACACHTuJAdzFXoBUCAAAdBAAADgAA&#10;AAAAAAABACAAAAAkAQAAZHJzL2Uyb0RvYy54bWxQSwUGAAAAAAYABgBZAQAAqwUAAAAA&#10;">
                        <v:fill on="f" focussize="0,0"/>
                        <v:stroke color="#000000" joinstyle="miter" dashstyle="dashDot"/>
                        <v:imagedata o:title=""/>
                        <o:lock v:ext="edit" aspectratio="f"/>
                        <v:textbox>
                          <w:txbxContent>
                            <w:p w14:paraId="5743B0AD">
                              <w:pPr>
                                <w:jc w:val="center"/>
                                <w:rPr>
                                  <w:szCs w:val="21"/>
                                </w:rPr>
                              </w:pPr>
                              <w:r>
                                <w:rPr>
                                  <w:rFonts w:hint="eastAsia"/>
                                  <w:szCs w:val="21"/>
                                  <w:lang w:val="en-US" w:eastAsia="zh-CN"/>
                                </w:rPr>
                                <w:t>固废</w:t>
                              </w:r>
                              <w:r>
                                <w:rPr>
                                  <w:rFonts w:hint="eastAsia"/>
                                  <w:szCs w:val="21"/>
                                  <w:lang w:eastAsia="zh-CN"/>
                                </w:rPr>
                                <w:t>、</w:t>
                              </w:r>
                              <w:r>
                                <w:rPr>
                                  <w:rFonts w:hint="eastAsia"/>
                                  <w:szCs w:val="21"/>
                                  <w:lang w:val="en-US" w:eastAsia="zh-CN"/>
                                </w:rPr>
                                <w:t>废气</w:t>
                              </w:r>
                              <w:r>
                                <w:rPr>
                                  <w:rFonts w:hint="eastAsia"/>
                                  <w:szCs w:val="21"/>
                                </w:rPr>
                                <w:t>、噪声</w:t>
                              </w:r>
                            </w:p>
                          </w:txbxContent>
                        </v:textbox>
                      </v:shape>
                      <v:shape id="文本框 257" o:spid="_x0000_s1026" o:spt="202" type="#_x0000_t202" style="position:absolute;left:3210560;top:2753360;height:280670;width:537210;" filled="f" stroked="t" coordsize="21600,21600" o:gfxdata="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lRldH1QAAAAUBAAAPAAAAAAAA&#10;AAEAIAAAACIAAABkcnMvZG93bnJldi54bWxQSwECFAAUAAAACACHTuJAPVHKsBUCAAAeBAAADgAA&#10;AAAAAAABACAAAAAkAQAAZHJzL2Uyb0RvYy54bWxQSwUGAAAAAAYABgBZAQAAqwUAAAAA&#10;">
                        <v:fill on="f" focussize="0,0"/>
                        <v:stroke color="#000000" joinstyle="miter" dashstyle="dashDot"/>
                        <v:imagedata o:title=""/>
                        <o:lock v:ext="edit" aspectratio="f"/>
                        <v:textbox>
                          <w:txbxContent>
                            <w:p w14:paraId="0931D912">
                              <w:pPr>
                                <w:jc w:val="center"/>
                                <w:rPr>
                                  <w:rFonts w:hint="eastAsia" w:eastAsia="宋体"/>
                                  <w:szCs w:val="21"/>
                                  <w:lang w:val="en-US" w:eastAsia="zh-CN"/>
                                </w:rPr>
                              </w:pPr>
                              <w:r>
                                <w:rPr>
                                  <w:rFonts w:hint="eastAsia"/>
                                  <w:szCs w:val="21"/>
                                  <w:lang w:val="en-US" w:eastAsia="zh-CN"/>
                                </w:rPr>
                                <w:t>废气</w:t>
                              </w:r>
                            </w:p>
                          </w:txbxContent>
                        </v:textbox>
                      </v:shape>
                      <v:shape id="文本框 257" o:spid="_x0000_s1026" o:spt="202" type="#_x0000_t202" style="position:absolute;left:1226820;top:2749550;height:280670;width:502920;" filled="f" stroked="t" coordsize="21600,21600" o:gfxdata="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JUZXR9UAAAAFAQAADwAAAAAAAAAB&#10;ACAAAAAiAAAAZHJzL2Rvd25yZXYueG1sUEsBAhQAFAAAAAgAh07iQCaOdMMTAgAAHgQAAA4AAAAA&#10;AAAAAQAgAAAAJAEAAGRycy9lMm9Eb2MueG1sUEsFBgAAAAAGAAYAWQEAAKkFAAAAAA==&#10;">
                        <v:fill on="f" focussize="0,0"/>
                        <v:stroke color="#000000" joinstyle="miter" dashstyle="dashDot"/>
                        <v:imagedata o:title=""/>
                        <o:lock v:ext="edit" aspectratio="f"/>
                        <v:textbox>
                          <w:txbxContent>
                            <w:p w14:paraId="5C7E40D3">
                              <w:pPr>
                                <w:jc w:val="center"/>
                                <w:rPr>
                                  <w:szCs w:val="21"/>
                                </w:rPr>
                              </w:pPr>
                              <w:r>
                                <w:rPr>
                                  <w:rFonts w:hint="eastAsia"/>
                                  <w:szCs w:val="21"/>
                                  <w:lang w:val="en-US" w:eastAsia="zh-CN"/>
                                </w:rPr>
                                <w:t>固废</w:t>
                              </w:r>
                            </w:p>
                          </w:txbxContent>
                        </v:textbox>
                      </v:shape>
                      <v:shape id="文本框 222" o:spid="_x0000_s1026" o:spt="202" type="#_x0000_t202" style="position:absolute;left:3119120;top:643890;height:320040;width:737870;" filled="f" stroked="t" coordsize="21600,21600" o:gfxdata="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qqABtIAAAAFAQAADwAAAAAAAAABACAA&#10;AAAiAAAAZHJzL2Rvd25yZXYueG1sUEsBAhQAFAAAAAgAh07iQIaUE3ITAgAAHAQAAA4AAAAAAAAA&#10;AQAgAAAAIQEAAGRycy9lMm9Eb2MueG1sUEsFBgAAAAAGAAYAWQEAAKYFAAAAAA==&#10;">
                        <v:fill on="f" focussize="0,0"/>
                        <v:stroke weight="1.25pt" color="#000000" joinstyle="miter"/>
                        <v:imagedata o:title=""/>
                        <o:lock v:ext="edit" aspectratio="f"/>
                        <v:textbox>
                          <w:txbxContent>
                            <w:p w14:paraId="1F14F946">
                              <w:pPr>
                                <w:spacing w:line="360" w:lineRule="auto"/>
                                <w:jc w:val="center"/>
                                <w:rPr>
                                  <w:szCs w:val="21"/>
                                </w:rPr>
                              </w:pPr>
                              <w:r>
                                <w:rPr>
                                  <w:rFonts w:hint="eastAsia"/>
                                  <w:szCs w:val="21"/>
                                  <w:lang w:val="en-US" w:eastAsia="zh-CN"/>
                                </w:rPr>
                                <w:t>挤出熔融</w:t>
                              </w:r>
                              <w:r>
                                <w:rPr>
                                  <w:rFonts w:hint="eastAsia"/>
                                  <w:szCs w:val="21"/>
                                </w:rPr>
                                <w:t>料</w:t>
                              </w:r>
                            </w:p>
                          </w:txbxContent>
                        </v:textbox>
                      </v:shape>
                      <v:shape id="文本框 257" o:spid="_x0000_s1026" o:spt="202" type="#_x0000_t202" style="position:absolute;left:3053715;top:65405;height:280670;width:891540;" filled="f" stroked="t" coordsize="21600,21600" o:gfxdata="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UZXR9UAAAAFAQAADwAAAAAA&#10;AAABACAAAAAiAAAAZHJzL2Rvd25yZXYueG1sUEsBAhQAFAAAAAgAh07iQBn6wYMWAgAAGwQAAA4A&#10;AAAAAAAAAQAgAAAAJAEAAGRycy9lMm9Eb2MueG1sUEsFBgAAAAAGAAYAWQEAAKwFAAAAAA==&#10;">
                        <v:fill on="f" focussize="0,0"/>
                        <v:stroke color="#000000" joinstyle="miter" dashstyle="dashDot"/>
                        <v:imagedata o:title=""/>
                        <o:lock v:ext="edit" aspectratio="f"/>
                        <v:textbox>
                          <w:txbxContent>
                            <w:p w14:paraId="538462C1">
                              <w:pPr>
                                <w:jc w:val="center"/>
                                <w:rPr>
                                  <w:szCs w:val="21"/>
                                </w:rPr>
                              </w:pPr>
                              <w:r>
                                <w:rPr>
                                  <w:rFonts w:hint="eastAsia"/>
                                  <w:szCs w:val="21"/>
                                  <w:lang w:val="en-US" w:eastAsia="zh-CN"/>
                                </w:rPr>
                                <w:t>废气</w:t>
                              </w:r>
                              <w:r>
                                <w:rPr>
                                  <w:rFonts w:hint="eastAsia"/>
                                  <w:szCs w:val="21"/>
                                </w:rPr>
                                <w:t>、噪声</w:t>
                              </w:r>
                            </w:p>
                          </w:txbxContent>
                        </v:textbox>
                      </v:shape>
                      <v:line id="直线 223" o:spid="_x0000_s1026" o:spt="20" style="position:absolute;left:2690495;top:809625;flip:y;height:3810;width:431165;" filled="f" stroked="t" coordsize="21600,21600" o:gfxdata="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KVlcJdYAAAAFAQAADwAAAAAAAAABACAAAAAiAAAA&#10;ZHJzL2Rvd25yZXYueG1sUEsBAhQAFAAAAAgAh07iQNdx0jAJAgAA+gMAAA4AAAAAAAAAAQAgAAAA&#10;JQEAAGRycy9lMm9Eb2MueG1sUEsFBgAAAAAGAAYAWQEAAKAFAAAAAA==&#10;">
                        <v:fill on="f" focussize="0,0"/>
                        <v:stroke weight="1.25pt" color="#000000" joinstyle="round" endarrow="block"/>
                        <v:imagedata o:title=""/>
                        <o:lock v:ext="edit" aspectratio="f"/>
                      </v:line>
                      <v:line id="直线 223" o:spid="_x0000_s1026" o:spt="20" style="position:absolute;left:3860165;top:795655;flip:y;height:3810;width:431165;" filled="f" stroked="t" coordsize="21600,21600" o:gfxdata="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pWVwl1gAAAAUBAAAPAAAAAAAAAAEAIAAAACIAAABk&#10;cnMvZG93bnJldi54bWxQSwECFAAUAAAACACHTuJAV2bWZwgCAAD6AwAADgAAAAAAAAABACAAAAAl&#10;AQAAZHJzL2Uyb0RvYy54bWxQSwUGAAAAAAYABgBZAQAAnwUAAAAA&#10;">
                        <v:fill on="f" focussize="0,0"/>
                        <v:stroke weight="1.25pt" color="#000000" joinstyle="round" endarrow="block"/>
                        <v:imagedata o:title=""/>
                        <o:lock v:ext="edit" aspectratio="f"/>
                      </v:line>
                      <v:shape id="文本框 222" o:spid="_x0000_s1026" o:spt="202" type="#_x0000_t202" style="position:absolute;left:4293870;top:635000;height:320040;width:643255;" filled="f" stroked="t" coordsize="21600,21600" o:gfxdata="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qqABtIAAAAFAQAADwAAAAAAAAABACAA&#10;AAAiAAAAZHJzL2Rvd25yZXYueG1sUEsBAhQAFAAAAAgAh07iQJ7bT4cTAgAAGwQAAA4AAAAAAAAA&#10;AQAgAAAAIQEAAGRycy9lMm9Eb2MueG1sUEsFBgAAAAAGAAYAWQEAAKYFAAAAAA==&#10;">
                        <v:fill on="f" focussize="0,0"/>
                        <v:stroke weight="1.25pt" color="#000000" joinstyle="miter"/>
                        <v:imagedata o:title=""/>
                        <o:lock v:ext="edit" aspectratio="f"/>
                        <v:textbox>
                          <w:txbxContent>
                            <w:p w14:paraId="490BD94C">
                              <w:pPr>
                                <w:spacing w:line="360" w:lineRule="auto"/>
                                <w:jc w:val="center"/>
                                <w:rPr>
                                  <w:szCs w:val="21"/>
                                </w:rPr>
                              </w:pPr>
                              <w:r>
                                <w:rPr>
                                  <w:rFonts w:hint="eastAsia"/>
                                  <w:szCs w:val="21"/>
                                  <w:lang w:val="en-US" w:eastAsia="zh-CN"/>
                                </w:rPr>
                                <w:t>吹胀</w:t>
                              </w:r>
                            </w:p>
                          </w:txbxContent>
                        </v:textbox>
                      </v:shape>
                      <v:line id="直线 256" o:spid="_x0000_s1026" o:spt="20" style="position:absolute;left:4605655;top:322580;flip:y;height:304165;width:3175;" filled="f" stroked="t" coordsize="21600,21600" o:gfxdata="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&#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fm9dUAAAAFAQAADwAAAAAAAAABACAAAAAiAAAAZHJz&#10;L2Rvd25yZXYueG1sUEsBAhQAFAAAAAgAh07iQI9hooAHAgAA+wMAAA4AAAAAAAAAAQAgAAAAJAEA&#10;AGRycy9lMm9Eb2MueG1sUEsFBgAAAAAGAAYAWQEAAJ0FAAAAAA==&#10;">
                        <v:fill on="f" focussize="0,0"/>
                        <v:stroke color="#000000" joinstyle="round" dashstyle="dashDot" endarrow="block"/>
                        <v:imagedata o:title=""/>
                        <o:lock v:ext="edit" aspectratio="f"/>
                      </v:line>
                      <v:line id="直线 256" o:spid="_x0000_s1026" o:spt="20" style="position:absolute;left:3488690;top:332105;flip:y;height:304165;width:3175;" filled="f" stroked="t" coordsize="21600,21600" o:gfxdata="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z9+b11QAAAAUBAAAPAAAAAAAAAAEAIAAAACIAAABk&#10;cnMvZG93bnJldi54bWxQSwECFAAUAAAACACHTuJAqagfswkCAAD7AwAADgAAAAAAAAABACAAAAAk&#10;AQAAZHJzL2Uyb0RvYy54bWxQSwUGAAAAAAYABgBZAQAAnwUAAAAA&#10;">
                        <v:fill on="f" focussize="0,0"/>
                        <v:stroke color="#000000" joinstyle="round" dashstyle="dashDot" endarrow="block"/>
                        <v:imagedata o:title=""/>
                        <o:lock v:ext="edit" aspectratio="f"/>
                      </v:line>
                      <v:line id="直线 256" o:spid="_x0000_s1026" o:spt="20" style="position:absolute;left:3469640;top:2451735;flip:x;height:304800;width:2540;" filled="f" stroked="t" coordsize="21600,21600" o:gfxdata="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fm9dUAAAAFAQAADwAAAAAAAAABACAAAAAi&#10;AAAAZHJzL2Rvd25yZXYueG1sUEsBAhQAFAAAAAgAh07iQOXmvgsNAgAA/AMAAA4AAAAAAAAAAQAg&#10;AAAAJAEAAGRycy9lMm9Eb2MueG1sUEsFBgAAAAAGAAYAWQEAAKMFAAAAAA==&#10;">
                        <v:fill on="f" focussize="0,0"/>
                        <v:stroke color="#000000" joinstyle="round" dashstyle="dashDot" endarrow="block"/>
                        <v:imagedata o:title=""/>
                        <o:lock v:ext="edit" aspectratio="f"/>
                      </v:line>
                      <v:shape id="文本框 222" o:spid="_x0000_s1026" o:spt="202" type="#_x0000_t202" style="position:absolute;left:2182495;top:2181860;height:270510;width:584835;" filled="f" stroked="t" coordsize="21600,21600" o:gfxdata="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hqqABtIAAAAFAQAADwAAAAAAAAABACAAAAAi&#10;AAAAZHJzL2Rvd25yZXYueG1sUEsBAhQAFAAAAAgAh07iQG2PAtoQAgAAHAQAAA4AAAAAAAAAAQAg&#10;AAAAIQEAAGRycy9lMm9Eb2MueG1sUEsFBgAAAAAGAAYAWQEAAKMFAAAAAA==&#10;">
                        <v:fill on="f" focussize="0,0"/>
                        <v:stroke weight="1.25pt" color="#000000" joinstyle="miter"/>
                        <v:imagedata o:title=""/>
                        <o:lock v:ext="edit" aspectratio="f"/>
                        <v:textbox>
                          <w:txbxContent>
                            <w:p w14:paraId="2F5BA54E">
                              <w:pPr>
                                <w:spacing w:line="360" w:lineRule="auto"/>
                                <w:jc w:val="center"/>
                                <w:rPr>
                                  <w:rFonts w:hint="default" w:eastAsia="宋体"/>
                                  <w:szCs w:val="21"/>
                                  <w:lang w:val="en-US" w:eastAsia="zh-CN"/>
                                </w:rPr>
                              </w:pPr>
                              <w:r>
                                <w:rPr>
                                  <w:rFonts w:hint="eastAsia"/>
                                  <w:szCs w:val="21"/>
                                  <w:lang w:val="en-US" w:eastAsia="zh-CN"/>
                                </w:rPr>
                                <w:t>制袋</w:t>
                              </w:r>
                            </w:p>
                          </w:txbxContent>
                        </v:textbox>
                      </v:shape>
                      <v:line id="直线 223" o:spid="_x0000_s1026" o:spt="20" style="position:absolute;left:3784600;top:2322830;flip:x y;height:1905;width:419100;" filled="f" stroked="t" coordsize="21600,21600" o:gfxdata="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2wmjH1QAAAAUBAAAPAAAAAAAAAAEAIAAAACIA&#10;AABkcnMvZG93bnJldi54bWxQSwECFAAUAAAACACHTuJAldPOiAwCAAAFBAAADgAAAAAAAAABACAA&#10;AAAkAQAAZHJzL2Uyb0RvYy54bWxQSwUGAAAAAAYABgBZAQAAogUAAAAA&#10;">
                        <v:fill on="f" focussize="0,0"/>
                        <v:stroke weight="1.25pt" color="#000000" joinstyle="round" endarrow="block"/>
                        <v:imagedata o:title=""/>
                        <o:lock v:ext="edit" aspectratio="f"/>
                      </v:line>
                      <v:line id="直线 223" o:spid="_x0000_s1026" o:spt="20" style="position:absolute;left:764540;top:2309495;flip:x y;height:635;width:399415;" filled="f" stroked="t" coordsize="21600,21600" o:gfxdata="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tsJox9UAAAAFAQAADwAAAAAAAAABACAAAAAi&#10;AAAAZHJzL2Rvd25yZXYueG1sUEsBAhQAFAAAAAgAh07iQHlTSfANAgAAAwQAAA4AAAAAAAAAAQAg&#10;AAAAJAEAAGRycy9lMm9Eb2MueG1sUEsFBgAAAAAGAAYAWQEAAKMFAAAAAA==&#10;">
                        <v:fill on="f" focussize="0,0"/>
                        <v:stroke weight="1.25pt" color="#000000" joinstyle="round" endarrow="block"/>
                        <v:imagedata o:title=""/>
                        <o:lock v:ext="edit" aspectratio="f"/>
                      </v:line>
                      <v:line id="直线 223" o:spid="_x0000_s1026" o:spt="20" style="position:absolute;left:1771015;top:2313305;flip:x y;height:635;width:399415;" filled="f" stroked="t" coordsize="21600,21600" o:gfxdata="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bCaMfVAAAABQEAAA8AAAAAAAAAAQAgAAAAIgAA&#10;AGRycy9kb3ducmV2LnhtbFBLAQIUABQAAAAIAIdO4kDmPPnRCwIAAAQEAAAOAAAAAAAAAAEAIAAA&#10;ACQBAABkcnMvZTJvRG9jLnhtbFBLBQYAAAAABgAGAFkBAAChBQAAAAA=&#10;">
                        <v:fill on="f" focussize="0,0"/>
                        <v:stroke weight="1.25pt" color="#000000" joinstyle="round" endarrow="block"/>
                        <v:imagedata o:title=""/>
                        <o:lock v:ext="edit" aspectratio="f"/>
                      </v:line>
                      <v:line id="直线 256" o:spid="_x0000_s1026" o:spt="20" style="position:absolute;left:1473200;top:2447290;flip:x;height:304800;width:2540;" filled="f" stroked="t" coordsize="21600,21600" o:gfxdata="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&#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P35vXVAAAABQEAAA8AAAAAAAAAAQAgAAAAIgAAAGRy&#10;cy9kb3ducmV2LnhtbFBLAQIUABQAAAAIAIdO4kC/aQLlCAIAAPwDAAAOAAAAAAAAAAEAIAAAACQB&#10;AABkcnMvZTJvRG9jLnhtbFBLBQYAAAAABgAGAFkBAACeBQAAAAA=&#10;">
                        <v:fill on="f" focussize="0,0"/>
                        <v:stroke color="#000000" joinstyle="round" dashstyle="dashDot" endarrow="block"/>
                        <v:imagedata o:title=""/>
                        <o:lock v:ext="edit" aspectratio="f"/>
                      </v:line>
                      <v:shape id="文本框 257" o:spid="_x0000_s1026" o:spt="202" type="#_x0000_t202" style="position:absolute;left:2237740;top:2757170;height:280670;width:502920;" filled="f" stroked="t" coordsize="21600,21600" o:gfxdata="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lRldH1QAAAAUBAAAPAAAAAAAAAAEA&#10;IAAAACIAAABkcnMvZG93bnJldi54bWxQSwECFAAUAAAACACHTuJAgc7TehICAAAdBAAADgAAAAAA&#10;AAABACAAAAAkAQAAZHJzL2Uyb0RvYy54bWxQSwUGAAAAAAYABgBZAQAAqAUAAAAA&#10;">
                        <v:fill on="f" focussize="0,0"/>
                        <v:stroke color="#000000" joinstyle="miter" dashstyle="dashDot"/>
                        <v:imagedata o:title=""/>
                        <o:lock v:ext="edit" aspectratio="f"/>
                        <v:textbox>
                          <w:txbxContent>
                            <w:p w14:paraId="0EFB67C2">
                              <w:pPr>
                                <w:jc w:val="center"/>
                                <w:rPr>
                                  <w:szCs w:val="21"/>
                                </w:rPr>
                              </w:pPr>
                              <w:r>
                                <w:rPr>
                                  <w:rFonts w:hint="eastAsia"/>
                                  <w:szCs w:val="21"/>
                                  <w:lang w:val="en-US" w:eastAsia="zh-CN"/>
                                </w:rPr>
                                <w:t>固废</w:t>
                              </w:r>
                            </w:p>
                          </w:txbxContent>
                        </v:textbox>
                      </v:shape>
                      <v:line id="直线 256" o:spid="_x0000_s1026" o:spt="20" style="position:absolute;left:2484120;top:2454910;flip:x;height:304800;width:2540;" filled="f" stroked="t" coordsize="21600,21600" o:gfxdata="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z9+b11QAAAAUBAAAPAAAAAAAAAAEAIAAAACIAAABk&#10;cnMvZG93bnJldi54bWxQSwECFAAUAAAACACHTuJAPBxi7QkCAAD8AwAADgAAAAAAAAABACAAAAAk&#10;AQAAZHJzL2Uyb0RvYy54bWxQSwUGAAAAAAYABgBZAQAAnwUAAAAA&#10;">
                        <v:fill on="f" focussize="0,0"/>
                        <v:stroke color="#000000" joinstyle="round" dashstyle="dashDot" endarrow="block"/>
                        <v:imagedata o:title=""/>
                        <o:lock v:ext="edit" aspectratio="f"/>
                      </v:line>
                      <w10:wrap type="none"/>
                      <w10:anchorlock/>
                    </v:group>
                  </w:pict>
                </mc:Fallback>
              </mc:AlternateContent>
            </w:r>
          </w:p>
          <w:p w14:paraId="7C8E3AAC">
            <w:pPr>
              <w:spacing w:before="156" w:line="360" w:lineRule="auto"/>
              <w:jc w:val="center"/>
              <w:rPr>
                <w:b/>
                <w:bCs/>
                <w:color w:val="auto"/>
                <w:sz w:val="24"/>
                <w:highlight w:val="none"/>
              </w:rPr>
            </w:pPr>
            <w:r>
              <w:rPr>
                <w:b/>
                <w:bCs/>
                <w:color w:val="auto"/>
                <w:sz w:val="24"/>
                <w:highlight w:val="none"/>
              </w:rPr>
              <w:t>图</w:t>
            </w:r>
            <w:r>
              <w:rPr>
                <w:rFonts w:hint="eastAsia"/>
                <w:b/>
                <w:bCs/>
                <w:color w:val="auto"/>
                <w:sz w:val="24"/>
                <w:highlight w:val="none"/>
              </w:rPr>
              <w:t>2</w:t>
            </w:r>
            <w:r>
              <w:rPr>
                <w:rFonts w:hint="eastAsia"/>
                <w:b/>
                <w:bCs/>
                <w:color w:val="auto"/>
                <w:sz w:val="24"/>
                <w:highlight w:val="none"/>
                <w:lang w:val="en-US" w:eastAsia="zh-CN"/>
              </w:rPr>
              <w:t>-2</w:t>
            </w:r>
            <w:r>
              <w:rPr>
                <w:b/>
                <w:bCs/>
                <w:color w:val="auto"/>
                <w:sz w:val="24"/>
                <w:highlight w:val="none"/>
              </w:rPr>
              <w:t xml:space="preserve">      </w:t>
            </w:r>
            <w:r>
              <w:rPr>
                <w:rFonts w:hint="eastAsia"/>
                <w:b/>
                <w:bCs/>
                <w:color w:val="auto"/>
                <w:sz w:val="24"/>
                <w:highlight w:val="none"/>
              </w:rPr>
              <w:t>塑料包装袋生产工艺流程及产污环节图</w:t>
            </w:r>
          </w:p>
          <w:p w14:paraId="43CBF2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 w:val="0"/>
                <w:bCs w:val="0"/>
                <w:color w:val="auto"/>
                <w:sz w:val="24"/>
                <w:highlight w:val="none"/>
              </w:rPr>
            </w:pPr>
            <w:r>
              <w:rPr>
                <w:b w:val="0"/>
                <w:bCs w:val="0"/>
                <w:color w:val="auto"/>
                <w:sz w:val="24"/>
                <w:highlight w:val="none"/>
              </w:rPr>
              <w:t>工艺流程简介：</w:t>
            </w:r>
          </w:p>
          <w:p w14:paraId="750828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highlight w:val="none"/>
              </w:rPr>
            </w:pPr>
            <w:r>
              <w:rPr>
                <w:rFonts w:hint="eastAsia"/>
                <w:color w:val="auto"/>
                <w:sz w:val="24"/>
                <w:highlight w:val="none"/>
              </w:rPr>
              <w:t>塑料包装袋主要生产工艺包括混料、</w:t>
            </w:r>
            <w:r>
              <w:rPr>
                <w:rFonts w:hint="eastAsia"/>
                <w:color w:val="auto"/>
                <w:sz w:val="24"/>
                <w:highlight w:val="none"/>
                <w:lang w:val="en-US" w:eastAsia="zh-CN"/>
              </w:rPr>
              <w:t>挤出吹胀</w:t>
            </w:r>
            <w:r>
              <w:rPr>
                <w:rFonts w:hint="eastAsia"/>
                <w:color w:val="auto"/>
                <w:sz w:val="24"/>
                <w:highlight w:val="none"/>
              </w:rPr>
              <w:t>、</w:t>
            </w:r>
            <w:r>
              <w:rPr>
                <w:rFonts w:hint="eastAsia"/>
                <w:color w:val="auto"/>
                <w:sz w:val="24"/>
                <w:highlight w:val="none"/>
                <w:lang w:val="en-US" w:eastAsia="zh-CN"/>
              </w:rPr>
              <w:t>冷却定型</w:t>
            </w:r>
            <w:r>
              <w:rPr>
                <w:rFonts w:hint="eastAsia"/>
                <w:color w:val="auto"/>
                <w:sz w:val="24"/>
                <w:highlight w:val="none"/>
              </w:rPr>
              <w:t>、</w:t>
            </w:r>
            <w:r>
              <w:rPr>
                <w:rFonts w:hint="eastAsia"/>
                <w:color w:val="auto"/>
                <w:sz w:val="24"/>
                <w:highlight w:val="none"/>
                <w:lang w:val="en-US" w:eastAsia="zh-CN"/>
              </w:rPr>
              <w:t>印刷</w:t>
            </w:r>
            <w:r>
              <w:rPr>
                <w:rFonts w:hint="eastAsia"/>
                <w:color w:val="auto"/>
                <w:sz w:val="24"/>
                <w:highlight w:val="none"/>
              </w:rPr>
              <w:t>、</w:t>
            </w:r>
            <w:r>
              <w:rPr>
                <w:rFonts w:hint="eastAsia"/>
                <w:color w:val="auto"/>
                <w:sz w:val="24"/>
                <w:highlight w:val="none"/>
                <w:lang w:val="en-US" w:eastAsia="zh-CN"/>
              </w:rPr>
              <w:t>检验</w:t>
            </w:r>
            <w:r>
              <w:rPr>
                <w:rFonts w:hint="eastAsia"/>
                <w:color w:val="auto"/>
                <w:sz w:val="24"/>
                <w:highlight w:val="none"/>
              </w:rPr>
              <w:t>等，主要工艺流程如下：</w:t>
            </w:r>
          </w:p>
          <w:p w14:paraId="5D8A71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highlight w:val="none"/>
              </w:rPr>
            </w:pPr>
            <w:r>
              <w:rPr>
                <w:rFonts w:hint="eastAsia"/>
                <w:color w:val="auto"/>
                <w:sz w:val="24"/>
                <w:highlight w:val="none"/>
              </w:rPr>
              <w:t>①</w:t>
            </w:r>
            <w:r>
              <w:rPr>
                <w:rFonts w:hint="eastAsia"/>
                <w:color w:val="auto"/>
                <w:sz w:val="24"/>
                <w:highlight w:val="none"/>
                <w:lang w:val="en-US" w:eastAsia="zh-CN"/>
              </w:rPr>
              <w:t>混料</w:t>
            </w:r>
          </w:p>
          <w:p w14:paraId="7270CC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首先将外购聚乙烯树脂颗粒、色母颗粒原料验收合格后，将聚乙烯树脂颗粒与色母、功能助剂按配比投入混料设备进行均匀搅拌混合，完成原料预处理。</w:t>
            </w:r>
          </w:p>
          <w:p w14:paraId="64191F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sz w:val="24"/>
                <w:highlight w:val="none"/>
                <w:lang w:val="en-US"/>
              </w:rPr>
            </w:pPr>
            <w:r>
              <w:rPr>
                <w:rFonts w:hint="eastAsia"/>
                <w:color w:val="auto"/>
                <w:sz w:val="24"/>
                <w:highlight w:val="none"/>
              </w:rPr>
              <w:t>②</w:t>
            </w:r>
            <w:r>
              <w:rPr>
                <w:rFonts w:hint="eastAsia" w:eastAsia="宋体" w:cs="Times New Roman"/>
                <w:color w:val="auto"/>
                <w:sz w:val="24"/>
                <w:highlight w:val="none"/>
                <w:lang w:val="en-US" w:eastAsia="zh-CN"/>
              </w:rPr>
              <w:t>挤出</w:t>
            </w:r>
            <w:r>
              <w:rPr>
                <w:rFonts w:hint="eastAsia" w:cs="Times New Roman"/>
                <w:color w:val="auto"/>
                <w:sz w:val="24"/>
                <w:highlight w:val="none"/>
                <w:lang w:val="en-US" w:eastAsia="zh-CN"/>
              </w:rPr>
              <w:t>熔融、</w:t>
            </w:r>
            <w:r>
              <w:rPr>
                <w:rFonts w:hint="eastAsia" w:eastAsia="宋体" w:cs="Times New Roman"/>
                <w:color w:val="auto"/>
                <w:sz w:val="24"/>
                <w:highlight w:val="none"/>
                <w:lang w:val="en-US" w:eastAsia="zh-CN"/>
              </w:rPr>
              <w:t>吹胀</w:t>
            </w:r>
          </w:p>
          <w:p w14:paraId="0B3540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lang w:eastAsia="zh-CN"/>
              </w:rPr>
            </w:pPr>
            <w:r>
              <w:rPr>
                <w:rFonts w:hint="eastAsia"/>
                <w:color w:val="auto"/>
                <w:sz w:val="24"/>
                <w:highlight w:val="none"/>
              </w:rPr>
              <w:t>混合后的物料送入挤出机，经螺杆加热熔融塑化，熔融状态的物料从环形模头挤出形成管状膜泡，利用压缩空气向膜泡内部充气进行吹胀，同时配合牵引机向上匀速牵引</w:t>
            </w:r>
            <w:r>
              <w:rPr>
                <w:rFonts w:hint="eastAsia"/>
                <w:color w:val="auto"/>
                <w:sz w:val="24"/>
                <w:highlight w:val="none"/>
                <w:lang w:eastAsia="zh-CN"/>
              </w:rPr>
              <w:t>。</w:t>
            </w:r>
          </w:p>
          <w:p w14:paraId="6FCA79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olor w:val="auto"/>
                <w:sz w:val="24"/>
                <w:highlight w:val="none"/>
                <w:lang w:val="en-US" w:eastAsia="zh-CN"/>
              </w:rPr>
            </w:pPr>
            <w:r>
              <w:rPr>
                <w:rFonts w:hint="eastAsia"/>
                <w:color w:val="auto"/>
                <w:sz w:val="24"/>
                <w:highlight w:val="none"/>
                <w:lang w:val="en-US" w:eastAsia="zh-CN"/>
              </w:rPr>
              <w:t>④冷却定型</w:t>
            </w:r>
          </w:p>
          <w:p w14:paraId="5252AD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经由风环冷却定型，再通过人字板收拢、牵引辊展平，形成连续的聚乙烯薄膜卷材。</w:t>
            </w:r>
          </w:p>
          <w:p w14:paraId="7B57B2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color w:val="auto"/>
                <w:sz w:val="24"/>
                <w:highlight w:val="none"/>
                <w:lang w:eastAsia="zh-CN"/>
              </w:rPr>
            </w:pPr>
            <w:r>
              <w:rPr>
                <w:rFonts w:hint="eastAsia"/>
                <w:color w:val="auto"/>
                <w:sz w:val="24"/>
                <w:highlight w:val="none"/>
                <w:lang w:val="en-US" w:eastAsia="zh-CN"/>
              </w:rPr>
              <w:t>⑤印刷</w:t>
            </w:r>
          </w:p>
          <w:p w14:paraId="3B3D73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薄膜卷材送入印刷机组，根据产品图案、文字要求进行凹版印刷，印刷完成后经烘干装置去除油墨残留水分与溶剂，避免油墨粘连。</w:t>
            </w:r>
          </w:p>
          <w:p w14:paraId="33E3B0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⑥</w:t>
            </w:r>
            <w:r>
              <w:rPr>
                <w:rFonts w:hint="eastAsia" w:eastAsia="宋体" w:cs="Times New Roman"/>
                <w:color w:val="auto"/>
                <w:sz w:val="24"/>
                <w:highlight w:val="none"/>
                <w:lang w:val="en-US" w:eastAsia="zh-CN"/>
              </w:rPr>
              <w:t>制袋</w:t>
            </w:r>
          </w:p>
          <w:p w14:paraId="522F10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印刷后的薄膜输送至制袋机，按照设定尺寸完成定长裁切、热封边、底封 / 侧封加工，对于手提袋等品类同步完成冲孔、提手制作工序。</w:t>
            </w:r>
          </w:p>
          <w:p w14:paraId="11601B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fldChar w:fldCharType="begin"/>
            </w:r>
            <w:r>
              <w:rPr>
                <w:rFonts w:hint="eastAsia" w:ascii="Times New Roman" w:hAnsi="Times New Roman" w:eastAsia="宋体" w:cs="Times New Roman"/>
                <w:color w:val="auto"/>
                <w:sz w:val="24"/>
                <w:highlight w:val="none"/>
                <w:lang w:val="en-US" w:eastAsia="zh-CN"/>
              </w:rPr>
              <w:instrText xml:space="preserve"> = 7 \* GB3 \* MERGEFORMAT </w:instrText>
            </w:r>
            <w:r>
              <w:rPr>
                <w:rFonts w:hint="eastAsia" w:ascii="Times New Roman" w:hAnsi="Times New Roman" w:eastAsia="宋体" w:cs="Times New Roman"/>
                <w:color w:val="auto"/>
                <w:sz w:val="24"/>
                <w:highlight w:val="none"/>
                <w:lang w:val="en-US" w:eastAsia="zh-CN"/>
              </w:rPr>
              <w:fldChar w:fldCharType="separate"/>
            </w:r>
            <w:r>
              <w:rPr>
                <w:rFonts w:hint="eastAsia" w:ascii="Times New Roman" w:hAnsi="Times New Roman" w:eastAsia="宋体" w:cs="Times New Roman"/>
                <w:color w:val="auto"/>
                <w:sz w:val="24"/>
                <w:highlight w:val="none"/>
                <w:lang w:val="en-US" w:eastAsia="zh-CN"/>
              </w:rPr>
              <w:t>⑦</w:t>
            </w:r>
            <w:r>
              <w:rPr>
                <w:rFonts w:hint="eastAsia" w:ascii="Times New Roman" w:hAnsi="Times New Roman" w:eastAsia="宋体" w:cs="Times New Roman"/>
                <w:color w:val="auto"/>
                <w:sz w:val="24"/>
                <w:highlight w:val="none"/>
                <w:lang w:val="en-US" w:eastAsia="zh-CN"/>
              </w:rPr>
              <w:fldChar w:fldCharType="end"/>
            </w:r>
            <w:r>
              <w:rPr>
                <w:rFonts w:hint="eastAsia" w:ascii="Times New Roman" w:hAnsi="Times New Roman" w:eastAsia="宋体" w:cs="Times New Roman"/>
                <w:color w:val="auto"/>
                <w:sz w:val="24"/>
                <w:highlight w:val="none"/>
                <w:lang w:val="en-US" w:eastAsia="zh-CN"/>
              </w:rPr>
              <w:t>检验</w:t>
            </w:r>
          </w:p>
          <w:p w14:paraId="4A17CA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highlight w:val="none"/>
              </w:rPr>
            </w:pPr>
            <w:r>
              <w:rPr>
                <w:rFonts w:hint="eastAsia"/>
                <w:color w:val="auto"/>
                <w:sz w:val="24"/>
                <w:highlight w:val="none"/>
              </w:rPr>
              <w:t>成品包装袋经人工或自动化设备逐件检验，剔除破损、封边不牢、印刷瑕疵等不合格品，合格品整理堆叠、计数打包，入库储存待售。</w:t>
            </w:r>
          </w:p>
          <w:p w14:paraId="72FA86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highlight w:val="none"/>
              </w:rPr>
            </w:pPr>
            <w:r>
              <w:rPr>
                <w:color w:val="auto"/>
                <w:sz w:val="24"/>
                <w:highlight w:val="none"/>
              </w:rPr>
              <w:t>（2）</w:t>
            </w:r>
            <w:r>
              <w:rPr>
                <w:rFonts w:hint="eastAsia"/>
                <w:color w:val="auto"/>
                <w:sz w:val="24"/>
                <w:highlight w:val="none"/>
              </w:rPr>
              <w:t>农用贴片滴灌带</w:t>
            </w:r>
            <w:r>
              <w:rPr>
                <w:color w:val="auto"/>
                <w:sz w:val="24"/>
                <w:highlight w:val="none"/>
              </w:rPr>
              <w:t>生产工艺</w:t>
            </w:r>
          </w:p>
          <w:p w14:paraId="4E1EBD39">
            <w:pPr>
              <w:keepNext/>
              <w:keepLines/>
              <w:spacing w:beforeLines="100" w:line="360" w:lineRule="auto"/>
              <w:jc w:val="center"/>
              <w:rPr>
                <w:b/>
                <w:bCs/>
                <w:color w:val="auto"/>
                <w:sz w:val="24"/>
                <w:highlight w:val="none"/>
              </w:rPr>
            </w:pPr>
            <w:r>
              <w:rPr>
                <w:color w:val="auto"/>
                <w:sz w:val="24"/>
              </w:rPr>
              <mc:AlternateContent>
                <mc:Choice Requires="wps">
                  <w:drawing>
                    <wp:anchor distT="0" distB="0" distL="114300" distR="114300" simplePos="0" relativeHeight="251663360" behindDoc="0" locked="0" layoutInCell="1" allowOverlap="1">
                      <wp:simplePos x="0" y="0"/>
                      <wp:positionH relativeFrom="column">
                        <wp:posOffset>2051050</wp:posOffset>
                      </wp:positionH>
                      <wp:positionV relativeFrom="paragraph">
                        <wp:posOffset>2656205</wp:posOffset>
                      </wp:positionV>
                      <wp:extent cx="589915" cy="336550"/>
                      <wp:effectExtent l="0" t="0" r="6985" b="6350"/>
                      <wp:wrapNone/>
                      <wp:docPr id="455" name="文本框 455"/>
                      <wp:cNvGraphicFramePr/>
                      <a:graphic xmlns:a="http://schemas.openxmlformats.org/drawingml/2006/main">
                        <a:graphicData uri="http://schemas.microsoft.com/office/word/2010/wordprocessingShape">
                          <wps:wsp>
                            <wps:cNvSpPr txBox="1"/>
                            <wps:spPr>
                              <a:xfrm>
                                <a:off x="2172335" y="4192270"/>
                                <a:ext cx="589915" cy="3365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37ECFDE">
                                  <w:pPr>
                                    <w:rPr>
                                      <w:rFonts w:hint="eastAsia" w:eastAsia="宋体"/>
                                      <w:lang w:val="en-US" w:eastAsia="zh-CN"/>
                                    </w:rPr>
                                  </w:pPr>
                                  <w:r>
                                    <w:rPr>
                                      <w:rFonts w:hint="eastAsia"/>
                                      <w:lang w:val="en-US" w:eastAsia="zh-CN"/>
                                    </w:rPr>
                                    <w:t>合格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1.5pt;margin-top:209.15pt;height:26.5pt;width:46.45pt;z-index:251663360;mso-width-relative:page;mso-height-relative:page;" fillcolor="#FFFFFF [3201]" filled="t" stroked="f" coordsize="21600,21600" o:gfxdata="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KDp&#10;VEvXAAAACwEAAA8AAAAAAAAAAQAgAAAAIgAAAGRycy9kb3ducmV2LnhtbFBLAQIUABQAAAAIAIdO&#10;4kCYNxEfXQIAAJ4EAAAOAAAAAAAAAAEAIAAAACYBAABkcnMvZTJvRG9jLnhtbFBLBQYAAAAABgAG&#10;AFkBAAD1BQAAAAA=&#10;">
                      <v:fill on="t" focussize="0,0"/>
                      <v:stroke on="f" weight="0.5pt"/>
                      <v:imagedata o:title=""/>
                      <o:lock v:ext="edit" aspectratio="f"/>
                      <v:textbox>
                        <w:txbxContent>
                          <w:p w14:paraId="037ECFDE">
                            <w:pPr>
                              <w:rPr>
                                <w:rFonts w:hint="eastAsia" w:eastAsia="宋体"/>
                                <w:lang w:val="en-US" w:eastAsia="zh-CN"/>
                              </w:rPr>
                            </w:pPr>
                            <w:r>
                              <w:rPr>
                                <w:rFonts w:hint="eastAsia"/>
                                <w:lang w:val="en-US" w:eastAsia="zh-CN"/>
                              </w:rPr>
                              <w:t>合格</w:t>
                            </w:r>
                          </w:p>
                        </w:txbxContent>
                      </v:textbox>
                    </v:shape>
                  </w:pict>
                </mc:Fallback>
              </mc:AlternateContent>
            </w:r>
            <w:r>
              <w:rPr>
                <w:color w:val="auto"/>
                <w:sz w:val="24"/>
                <w:highlight w:val="none"/>
              </w:rPr>
              <mc:AlternateContent>
                <mc:Choice Requires="wpc">
                  <w:drawing>
                    <wp:inline distT="0" distB="0" distL="114300" distR="114300">
                      <wp:extent cx="5141595" cy="3281680"/>
                      <wp:effectExtent l="0" t="0" r="9525" b="10160"/>
                      <wp:docPr id="420" name="画布 221"/>
                      <wp:cNvGraphicFramePr/>
                      <a:graphic xmlns:a="http://schemas.openxmlformats.org/drawingml/2006/main">
                        <a:graphicData uri="http://schemas.microsoft.com/office/word/2010/wordprocessingCanvas">
                          <wpc:wpc>
                            <wpc:bg>
                              <a:noFill/>
                            </wpc:bg>
                            <wpc:whole>
                              <a:ln>
                                <a:noFill/>
                              </a:ln>
                            </wpc:whole>
                            <wps:wsp>
                              <wps:cNvPr id="421" name="文本框 222"/>
                              <wps:cNvSpPr txBox="1"/>
                              <wps:spPr>
                                <a:xfrm>
                                  <a:off x="584200" y="715010"/>
                                  <a:ext cx="1361440" cy="318770"/>
                                </a:xfrm>
                                <a:prstGeom prst="rect">
                                  <a:avLst/>
                                </a:prstGeom>
                                <a:noFill/>
                                <a:ln w="15875" cap="flat" cmpd="sng">
                                  <a:solidFill>
                                    <a:srgbClr val="000000"/>
                                  </a:solidFill>
                                  <a:prstDash val="solid"/>
                                  <a:miter/>
                                  <a:headEnd type="none" w="med" len="med"/>
                                  <a:tailEnd type="none" w="med" len="med"/>
                                </a:ln>
                              </wps:spPr>
                              <wps:txbx>
                                <w:txbxContent>
                                  <w:p w14:paraId="2DB2EE6C">
                                    <w:pPr>
                                      <w:spacing w:line="360" w:lineRule="auto"/>
                                      <w:jc w:val="center"/>
                                      <w:rPr>
                                        <w:rFonts w:hint="default" w:eastAsia="宋体"/>
                                        <w:szCs w:val="21"/>
                                        <w:lang w:val="en-US" w:eastAsia="zh-CN"/>
                                      </w:rPr>
                                    </w:pPr>
                                    <w:r>
                                      <w:rPr>
                                        <w:rFonts w:hint="eastAsia"/>
                                        <w:szCs w:val="21"/>
                                        <w:lang w:val="en-US" w:eastAsia="zh-CN"/>
                                      </w:rPr>
                                      <w:t>原辅料（新购买）</w:t>
                                    </w:r>
                                  </w:p>
                                </w:txbxContent>
                              </wps:txbx>
                              <wps:bodyPr upright="1"/>
                            </wps:wsp>
                            <wps:wsp>
                              <wps:cNvPr id="424" name="直线 256"/>
                              <wps:cNvCnPr/>
                              <wps:spPr>
                                <a:xfrm flipV="1">
                                  <a:off x="4245610" y="347345"/>
                                  <a:ext cx="635" cy="360045"/>
                                </a:xfrm>
                                <a:prstGeom prst="line">
                                  <a:avLst/>
                                </a:prstGeom>
                                <a:ln w="9525" cap="flat" cmpd="sng">
                                  <a:solidFill>
                                    <a:srgbClr val="000000"/>
                                  </a:solidFill>
                                  <a:prstDash val="dashDot"/>
                                  <a:headEnd type="none" w="med" len="med"/>
                                  <a:tailEnd type="triangle" w="med" len="med"/>
                                </a:ln>
                              </wps:spPr>
                              <wps:bodyPr upright="1"/>
                            </wps:wsp>
                            <wps:wsp>
                              <wps:cNvPr id="425" name="文本框 257"/>
                              <wps:cNvSpPr txBox="1"/>
                              <wps:spPr>
                                <a:xfrm>
                                  <a:off x="3573780" y="74295"/>
                                  <a:ext cx="1346200" cy="280670"/>
                                </a:xfrm>
                                <a:prstGeom prst="rect">
                                  <a:avLst/>
                                </a:prstGeom>
                                <a:noFill/>
                                <a:ln w="9525" cap="flat" cmpd="sng">
                                  <a:solidFill>
                                    <a:srgbClr val="000000"/>
                                  </a:solidFill>
                                  <a:prstDash val="dashDot"/>
                                  <a:miter/>
                                  <a:headEnd type="none" w="med" len="med"/>
                                  <a:tailEnd type="none" w="med" len="med"/>
                                </a:ln>
                              </wps:spPr>
                              <wps:txbx>
                                <w:txbxContent>
                                  <w:p w14:paraId="4DA47909">
                                    <w:pPr>
                                      <w:jc w:val="center"/>
                                      <w:rPr>
                                        <w:rFonts w:hint="default" w:eastAsia="宋体"/>
                                        <w:szCs w:val="21"/>
                                        <w:lang w:val="en-US" w:eastAsia="zh-CN"/>
                                      </w:rPr>
                                    </w:pPr>
                                    <w:r>
                                      <w:rPr>
                                        <w:rFonts w:hint="eastAsia"/>
                                        <w:szCs w:val="21"/>
                                      </w:rPr>
                                      <w:t>废气、噪声</w:t>
                                    </w:r>
                                    <w:r>
                                      <w:rPr>
                                        <w:rFonts w:hint="eastAsia"/>
                                        <w:szCs w:val="21"/>
                                        <w:lang w:eastAsia="zh-CN"/>
                                      </w:rPr>
                                      <w:t>、</w:t>
                                    </w:r>
                                    <w:r>
                                      <w:rPr>
                                        <w:rFonts w:hint="eastAsia"/>
                                        <w:szCs w:val="21"/>
                                        <w:lang w:val="en-US" w:eastAsia="zh-CN"/>
                                      </w:rPr>
                                      <w:t>固废</w:t>
                                    </w:r>
                                  </w:p>
                                </w:txbxContent>
                              </wps:txbx>
                              <wps:bodyPr upright="1"/>
                            </wps:wsp>
                            <wps:wsp>
                              <wps:cNvPr id="426" name="直线 223"/>
                              <wps:cNvCnPr/>
                              <wps:spPr>
                                <a:xfrm flipV="1">
                                  <a:off x="1953260" y="876300"/>
                                  <a:ext cx="400685" cy="635"/>
                                </a:xfrm>
                                <a:prstGeom prst="line">
                                  <a:avLst/>
                                </a:prstGeom>
                                <a:ln w="15875" cap="flat" cmpd="sng">
                                  <a:solidFill>
                                    <a:srgbClr val="000000"/>
                                  </a:solidFill>
                                  <a:prstDash val="solid"/>
                                  <a:headEnd type="none" w="med" len="med"/>
                                  <a:tailEnd type="triangle" w="med" len="med"/>
                                </a:ln>
                              </wps:spPr>
                              <wps:bodyPr upright="1"/>
                            </wps:wsp>
                            <wps:wsp>
                              <wps:cNvPr id="427" name="文本框 222"/>
                              <wps:cNvSpPr txBox="1"/>
                              <wps:spPr>
                                <a:xfrm>
                                  <a:off x="2353945" y="715010"/>
                                  <a:ext cx="910590" cy="320040"/>
                                </a:xfrm>
                                <a:prstGeom prst="rect">
                                  <a:avLst/>
                                </a:prstGeom>
                                <a:noFill/>
                                <a:ln w="15875" cap="flat" cmpd="sng">
                                  <a:solidFill>
                                    <a:srgbClr val="000000"/>
                                  </a:solidFill>
                                  <a:prstDash val="solid"/>
                                  <a:miter/>
                                  <a:headEnd type="none" w="med" len="med"/>
                                  <a:tailEnd type="none" w="med" len="med"/>
                                </a:ln>
                              </wps:spPr>
                              <wps:txbx>
                                <w:txbxContent>
                                  <w:p w14:paraId="5A648B2B">
                                    <w:pPr>
                                      <w:spacing w:line="360" w:lineRule="auto"/>
                                      <w:jc w:val="center"/>
                                      <w:rPr>
                                        <w:rFonts w:hint="eastAsia" w:eastAsia="宋体"/>
                                        <w:szCs w:val="21"/>
                                        <w:lang w:val="en-US" w:eastAsia="zh-CN"/>
                                      </w:rPr>
                                    </w:pPr>
                                    <w:r>
                                      <w:rPr>
                                        <w:rFonts w:hint="eastAsia"/>
                                        <w:szCs w:val="21"/>
                                        <w:lang w:val="en-US" w:eastAsia="zh-CN"/>
                                      </w:rPr>
                                      <w:t>混料机</w:t>
                                    </w:r>
                                  </w:p>
                                </w:txbxContent>
                              </wps:txbx>
                              <wps:bodyPr upright="1"/>
                            </wps:wsp>
                            <wps:wsp>
                              <wps:cNvPr id="428" name="直线 223"/>
                              <wps:cNvCnPr/>
                              <wps:spPr>
                                <a:xfrm flipV="1">
                                  <a:off x="3264535" y="876935"/>
                                  <a:ext cx="400685" cy="635"/>
                                </a:xfrm>
                                <a:prstGeom prst="line">
                                  <a:avLst/>
                                </a:prstGeom>
                                <a:ln w="15875" cap="flat" cmpd="sng">
                                  <a:solidFill>
                                    <a:srgbClr val="000000"/>
                                  </a:solidFill>
                                  <a:prstDash val="solid"/>
                                  <a:headEnd type="none" w="med" len="med"/>
                                  <a:tailEnd type="triangle" w="med" len="med"/>
                                </a:ln>
                              </wps:spPr>
                              <wps:bodyPr upright="1"/>
                            </wps:wsp>
                            <wps:wsp>
                              <wps:cNvPr id="429" name="文本框 222"/>
                              <wps:cNvSpPr txBox="1"/>
                              <wps:spPr>
                                <a:xfrm>
                                  <a:off x="3663315" y="706755"/>
                                  <a:ext cx="1156335" cy="320040"/>
                                </a:xfrm>
                                <a:prstGeom prst="rect">
                                  <a:avLst/>
                                </a:prstGeom>
                                <a:noFill/>
                                <a:ln w="15875" cap="flat" cmpd="sng">
                                  <a:solidFill>
                                    <a:srgbClr val="000000"/>
                                  </a:solidFill>
                                  <a:prstDash val="solid"/>
                                  <a:miter/>
                                  <a:headEnd type="none" w="med" len="med"/>
                                  <a:tailEnd type="none" w="med" len="med"/>
                                </a:ln>
                              </wps:spPr>
                              <wps:txbx>
                                <w:txbxContent>
                                  <w:p w14:paraId="0E991791">
                                    <w:pPr>
                                      <w:jc w:val="center"/>
                                      <w:rPr>
                                        <w:rFonts w:hint="default"/>
                                        <w:lang w:val="en-US" w:eastAsia="zh-CN"/>
                                      </w:rPr>
                                    </w:pPr>
                                    <w:r>
                                      <w:rPr>
                                        <w:rFonts w:hint="eastAsia"/>
                                        <w:szCs w:val="21"/>
                                        <w:lang w:val="en-US" w:eastAsia="zh-CN"/>
                                      </w:rPr>
                                      <w:t>挤出吹塑成型</w:t>
                                    </w:r>
                                  </w:p>
                                </w:txbxContent>
                              </wps:txbx>
                              <wps:bodyPr upright="1"/>
                            </wps:wsp>
                            <wps:wsp>
                              <wps:cNvPr id="433" name="直线 223"/>
                              <wps:cNvCnPr/>
                              <wps:spPr>
                                <a:xfrm>
                                  <a:off x="4646295" y="1035685"/>
                                  <a:ext cx="635" cy="1080135"/>
                                </a:xfrm>
                                <a:prstGeom prst="line">
                                  <a:avLst/>
                                </a:prstGeom>
                                <a:ln w="15875" cap="flat" cmpd="sng">
                                  <a:solidFill>
                                    <a:srgbClr val="000000"/>
                                  </a:solidFill>
                                  <a:prstDash val="solid"/>
                                  <a:headEnd type="none" w="med" len="med"/>
                                  <a:tailEnd type="triangle" w="med" len="med"/>
                                </a:ln>
                              </wps:spPr>
                              <wps:bodyPr upright="1"/>
                            </wps:wsp>
                            <wps:wsp>
                              <wps:cNvPr id="434" name="文本框 222"/>
                              <wps:cNvSpPr txBox="1"/>
                              <wps:spPr>
                                <a:xfrm>
                                  <a:off x="4226560" y="2113280"/>
                                  <a:ext cx="910590" cy="320040"/>
                                </a:xfrm>
                                <a:prstGeom prst="rect">
                                  <a:avLst/>
                                </a:prstGeom>
                                <a:noFill/>
                                <a:ln w="15875" cap="flat" cmpd="sng">
                                  <a:solidFill>
                                    <a:srgbClr val="000000"/>
                                  </a:solidFill>
                                  <a:prstDash val="solid"/>
                                  <a:miter/>
                                  <a:headEnd type="none" w="med" len="med"/>
                                  <a:tailEnd type="none" w="med" len="med"/>
                                </a:ln>
                              </wps:spPr>
                              <wps:txbx>
                                <w:txbxContent>
                                  <w:p w14:paraId="0DAE6D31">
                                    <w:pPr>
                                      <w:spacing w:line="360" w:lineRule="auto"/>
                                      <w:jc w:val="center"/>
                                      <w:rPr>
                                        <w:rFonts w:hint="default" w:eastAsia="宋体"/>
                                        <w:szCs w:val="21"/>
                                        <w:lang w:val="en-US" w:eastAsia="zh-CN"/>
                                      </w:rPr>
                                    </w:pPr>
                                    <w:r>
                                      <w:rPr>
                                        <w:rFonts w:hint="eastAsia"/>
                                        <w:szCs w:val="21"/>
                                        <w:lang w:val="en-US" w:eastAsia="zh-CN"/>
                                      </w:rPr>
                                      <w:t>冷却定型</w:t>
                                    </w:r>
                                  </w:p>
                                </w:txbxContent>
                              </wps:txbx>
                              <wps:bodyPr upright="1"/>
                            </wps:wsp>
                            <wps:wsp>
                              <wps:cNvPr id="435" name="直线 223"/>
                              <wps:cNvCnPr/>
                              <wps:spPr>
                                <a:xfrm flipH="1" flipV="1">
                                  <a:off x="3829685" y="2261235"/>
                                  <a:ext cx="399415" cy="635"/>
                                </a:xfrm>
                                <a:prstGeom prst="line">
                                  <a:avLst/>
                                </a:prstGeom>
                                <a:ln w="15875" cap="flat" cmpd="sng">
                                  <a:solidFill>
                                    <a:srgbClr val="000000"/>
                                  </a:solidFill>
                                  <a:prstDash val="solid"/>
                                  <a:headEnd type="none" w="med" len="med"/>
                                  <a:tailEnd type="triangle" w="med" len="med"/>
                                </a:ln>
                              </wps:spPr>
                              <wps:bodyPr upright="1"/>
                            </wps:wsp>
                            <wps:wsp>
                              <wps:cNvPr id="436" name="文本框 222"/>
                              <wps:cNvSpPr txBox="1"/>
                              <wps:spPr>
                                <a:xfrm>
                                  <a:off x="2919095" y="2113280"/>
                                  <a:ext cx="910590" cy="320040"/>
                                </a:xfrm>
                                <a:prstGeom prst="rect">
                                  <a:avLst/>
                                </a:prstGeom>
                                <a:noFill/>
                                <a:ln w="15875" cap="flat" cmpd="sng">
                                  <a:solidFill>
                                    <a:srgbClr val="000000"/>
                                  </a:solidFill>
                                  <a:prstDash val="solid"/>
                                  <a:miter/>
                                  <a:headEnd type="none" w="med" len="med"/>
                                  <a:tailEnd type="none" w="med" len="med"/>
                                </a:ln>
                              </wps:spPr>
                              <wps:txbx>
                                <w:txbxContent>
                                  <w:p w14:paraId="2A127D6F">
                                    <w:pPr>
                                      <w:spacing w:line="360" w:lineRule="auto"/>
                                      <w:jc w:val="center"/>
                                      <w:rPr>
                                        <w:rFonts w:hint="eastAsia" w:eastAsia="宋体"/>
                                        <w:szCs w:val="21"/>
                                        <w:lang w:val="en-US" w:eastAsia="zh-CN"/>
                                      </w:rPr>
                                    </w:pPr>
                                    <w:r>
                                      <w:rPr>
                                        <w:rFonts w:hint="eastAsia"/>
                                        <w:szCs w:val="21"/>
                                        <w:lang w:val="en-US" w:eastAsia="zh-CN"/>
                                      </w:rPr>
                                      <w:t>测压</w:t>
                                    </w:r>
                                  </w:p>
                                </w:txbxContent>
                              </wps:txbx>
                              <wps:bodyPr upright="1"/>
                            </wps:wsp>
                            <wps:wsp>
                              <wps:cNvPr id="437" name="直线 223"/>
                              <wps:cNvCnPr/>
                              <wps:spPr>
                                <a:xfrm flipH="1" flipV="1">
                                  <a:off x="2514600" y="2261870"/>
                                  <a:ext cx="399415" cy="635"/>
                                </a:xfrm>
                                <a:prstGeom prst="line">
                                  <a:avLst/>
                                </a:prstGeom>
                                <a:ln w="15875" cap="flat" cmpd="sng">
                                  <a:solidFill>
                                    <a:srgbClr val="000000"/>
                                  </a:solidFill>
                                  <a:prstDash val="solid"/>
                                  <a:headEnd type="none" w="med" len="med"/>
                                  <a:tailEnd type="triangle" w="med" len="med"/>
                                </a:ln>
                              </wps:spPr>
                              <wps:bodyPr upright="1"/>
                            </wps:wsp>
                            <wps:wsp>
                              <wps:cNvPr id="440" name="文本框 222"/>
                              <wps:cNvSpPr txBox="1"/>
                              <wps:spPr>
                                <a:xfrm>
                                  <a:off x="1464945" y="2104390"/>
                                  <a:ext cx="1059180" cy="320040"/>
                                </a:xfrm>
                                <a:prstGeom prst="rect">
                                  <a:avLst/>
                                </a:prstGeom>
                                <a:noFill/>
                                <a:ln w="15875" cap="flat" cmpd="sng">
                                  <a:solidFill>
                                    <a:srgbClr val="000000"/>
                                  </a:solidFill>
                                  <a:prstDash val="solid"/>
                                  <a:miter/>
                                  <a:headEnd type="none" w="med" len="med"/>
                                  <a:tailEnd type="none" w="med" len="med"/>
                                </a:ln>
                              </wps:spPr>
                              <wps:txbx>
                                <w:txbxContent>
                                  <w:p w14:paraId="17517A0D">
                                    <w:pPr>
                                      <w:spacing w:line="360" w:lineRule="auto"/>
                                      <w:jc w:val="center"/>
                                      <w:rPr>
                                        <w:rFonts w:hint="eastAsia" w:eastAsia="宋体"/>
                                        <w:szCs w:val="21"/>
                                        <w:lang w:val="en-US" w:eastAsia="zh-CN"/>
                                      </w:rPr>
                                    </w:pPr>
                                    <w:r>
                                      <w:rPr>
                                        <w:rFonts w:hint="eastAsia"/>
                                        <w:szCs w:val="21"/>
                                        <w:lang w:val="en-US" w:eastAsia="zh-CN"/>
                                      </w:rPr>
                                      <w:t>检验</w:t>
                                    </w:r>
                                  </w:p>
                                </w:txbxContent>
                              </wps:txbx>
                              <wps:bodyPr upright="1"/>
                            </wps:wsp>
                            <wps:wsp>
                              <wps:cNvPr id="442" name="直线 256"/>
                              <wps:cNvCnPr/>
                              <wps:spPr>
                                <a:xfrm flipV="1">
                                  <a:off x="2797175" y="355600"/>
                                  <a:ext cx="635" cy="360045"/>
                                </a:xfrm>
                                <a:prstGeom prst="line">
                                  <a:avLst/>
                                </a:prstGeom>
                                <a:ln w="9525" cap="flat" cmpd="sng">
                                  <a:solidFill>
                                    <a:srgbClr val="000000"/>
                                  </a:solidFill>
                                  <a:prstDash val="dashDot"/>
                                  <a:headEnd type="none" w="med" len="med"/>
                                  <a:tailEnd type="triangle" w="med" len="med"/>
                                </a:ln>
                              </wps:spPr>
                              <wps:bodyPr upright="1"/>
                            </wps:wsp>
                            <wps:wsp>
                              <wps:cNvPr id="443" name="文本框 257"/>
                              <wps:cNvSpPr txBox="1"/>
                              <wps:spPr>
                                <a:xfrm>
                                  <a:off x="2232660" y="74295"/>
                                  <a:ext cx="1089660" cy="280670"/>
                                </a:xfrm>
                                <a:prstGeom prst="rect">
                                  <a:avLst/>
                                </a:prstGeom>
                                <a:noFill/>
                                <a:ln w="9525" cap="flat" cmpd="sng">
                                  <a:solidFill>
                                    <a:srgbClr val="000000"/>
                                  </a:solidFill>
                                  <a:prstDash val="dashDot"/>
                                  <a:miter/>
                                  <a:headEnd type="none" w="med" len="med"/>
                                  <a:tailEnd type="none" w="med" len="med"/>
                                </a:ln>
                              </wps:spPr>
                              <wps:txbx>
                                <w:txbxContent>
                                  <w:p w14:paraId="44EE266E">
                                    <w:pPr>
                                      <w:jc w:val="center"/>
                                      <w:rPr>
                                        <w:szCs w:val="21"/>
                                      </w:rPr>
                                    </w:pPr>
                                    <w:r>
                                      <w:rPr>
                                        <w:rFonts w:hint="eastAsia"/>
                                        <w:szCs w:val="21"/>
                                      </w:rPr>
                                      <w:t>废包装、噪声</w:t>
                                    </w:r>
                                  </w:p>
                                </w:txbxContent>
                              </wps:txbx>
                              <wps:bodyPr upright="1"/>
                            </wps:wsp>
                            <wps:wsp>
                              <wps:cNvPr id="446" name="文本框 257"/>
                              <wps:cNvSpPr txBox="1"/>
                              <wps:spPr>
                                <a:xfrm>
                                  <a:off x="4428490" y="2793365"/>
                                  <a:ext cx="515620" cy="280670"/>
                                </a:xfrm>
                                <a:prstGeom prst="rect">
                                  <a:avLst/>
                                </a:prstGeom>
                                <a:noFill/>
                                <a:ln w="9525" cap="flat" cmpd="sng">
                                  <a:solidFill>
                                    <a:srgbClr val="000000"/>
                                  </a:solidFill>
                                  <a:prstDash val="dashDot"/>
                                  <a:miter/>
                                  <a:headEnd type="none" w="med" len="med"/>
                                  <a:tailEnd type="none" w="med" len="med"/>
                                </a:ln>
                              </wps:spPr>
                              <wps:txbx>
                                <w:txbxContent>
                                  <w:p w14:paraId="5096EA9E">
                                    <w:pPr>
                                      <w:jc w:val="center"/>
                                      <w:rPr>
                                        <w:szCs w:val="21"/>
                                      </w:rPr>
                                    </w:pPr>
                                    <w:r>
                                      <w:rPr>
                                        <w:rFonts w:hint="eastAsia"/>
                                        <w:szCs w:val="21"/>
                                      </w:rPr>
                                      <w:t>固废</w:t>
                                    </w:r>
                                  </w:p>
                                </w:txbxContent>
                              </wps:txbx>
                              <wps:bodyPr upright="1"/>
                            </wps:wsp>
                            <wps:wsp>
                              <wps:cNvPr id="448" name="文本框 257"/>
                              <wps:cNvSpPr txBox="1"/>
                              <wps:spPr>
                                <a:xfrm>
                                  <a:off x="3128010" y="2793365"/>
                                  <a:ext cx="515620" cy="280670"/>
                                </a:xfrm>
                                <a:prstGeom prst="rect">
                                  <a:avLst/>
                                </a:prstGeom>
                                <a:noFill/>
                                <a:ln w="9525" cap="flat" cmpd="sng">
                                  <a:solidFill>
                                    <a:srgbClr val="000000"/>
                                  </a:solidFill>
                                  <a:prstDash val="dashDot"/>
                                  <a:miter/>
                                  <a:headEnd type="none" w="med" len="med"/>
                                  <a:tailEnd type="none" w="med" len="med"/>
                                </a:ln>
                              </wps:spPr>
                              <wps:txbx>
                                <w:txbxContent>
                                  <w:p w14:paraId="2656D4E7">
                                    <w:pPr>
                                      <w:jc w:val="center"/>
                                      <w:rPr>
                                        <w:szCs w:val="21"/>
                                      </w:rPr>
                                    </w:pPr>
                                    <w:r>
                                      <w:rPr>
                                        <w:rFonts w:hint="eastAsia"/>
                                        <w:szCs w:val="21"/>
                                      </w:rPr>
                                      <w:t>噪声</w:t>
                                    </w:r>
                                  </w:p>
                                </w:txbxContent>
                              </wps:txbx>
                              <wps:bodyPr upright="1"/>
                            </wps:wsp>
                            <wps:wsp>
                              <wps:cNvPr id="449" name="文本框 222"/>
                              <wps:cNvSpPr txBox="1"/>
                              <wps:spPr>
                                <a:xfrm>
                                  <a:off x="1473835" y="2945130"/>
                                  <a:ext cx="1059180" cy="320040"/>
                                </a:xfrm>
                                <a:prstGeom prst="rect">
                                  <a:avLst/>
                                </a:prstGeom>
                                <a:noFill/>
                                <a:ln w="15875" cap="flat" cmpd="sng">
                                  <a:solidFill>
                                    <a:srgbClr val="000000"/>
                                  </a:solidFill>
                                  <a:prstDash val="solid"/>
                                  <a:miter/>
                                  <a:headEnd type="none" w="med" len="med"/>
                                  <a:tailEnd type="none" w="med" len="med"/>
                                </a:ln>
                              </wps:spPr>
                              <wps:txbx>
                                <w:txbxContent>
                                  <w:p w14:paraId="5189B7AF">
                                    <w:pPr>
                                      <w:spacing w:line="360" w:lineRule="auto"/>
                                      <w:jc w:val="center"/>
                                      <w:rPr>
                                        <w:rFonts w:hint="default" w:eastAsia="宋体"/>
                                        <w:szCs w:val="21"/>
                                        <w:lang w:val="en-US" w:eastAsia="zh-CN"/>
                                      </w:rPr>
                                    </w:pPr>
                                    <w:r>
                                      <w:rPr>
                                        <w:rFonts w:hint="eastAsia"/>
                                        <w:szCs w:val="21"/>
                                        <w:lang w:val="en-US" w:eastAsia="zh-CN"/>
                                      </w:rPr>
                                      <w:t>包装入库</w:t>
                                    </w:r>
                                  </w:p>
                                </w:txbxContent>
                              </wps:txbx>
                              <wps:bodyPr upright="1"/>
                            </wps:wsp>
                            <wps:wsp>
                              <wps:cNvPr id="454" name="直线 223"/>
                              <wps:cNvCnPr>
                                <a:stCxn id="440" idx="2"/>
                              </wps:cNvCnPr>
                              <wps:spPr>
                                <a:xfrm>
                                  <a:off x="1994535" y="2424430"/>
                                  <a:ext cx="3175" cy="535305"/>
                                </a:xfrm>
                                <a:prstGeom prst="line">
                                  <a:avLst/>
                                </a:prstGeom>
                                <a:ln w="15875" cap="flat" cmpd="sng">
                                  <a:solidFill>
                                    <a:srgbClr val="000000"/>
                                  </a:solidFill>
                                  <a:prstDash val="solid"/>
                                  <a:headEnd type="none" w="med" len="med"/>
                                  <a:tailEnd type="triangle" w="med" len="med"/>
                                </a:ln>
                              </wps:spPr>
                              <wps:bodyPr upright="1"/>
                            </wps:wsp>
                            <wps:wsp>
                              <wps:cNvPr id="7" name="文本框 222"/>
                              <wps:cNvSpPr txBox="1"/>
                              <wps:spPr>
                                <a:xfrm>
                                  <a:off x="140335" y="2096770"/>
                                  <a:ext cx="910590" cy="320040"/>
                                </a:xfrm>
                                <a:prstGeom prst="rect">
                                  <a:avLst/>
                                </a:prstGeom>
                                <a:noFill/>
                                <a:ln w="15875" cap="flat" cmpd="sng">
                                  <a:solidFill>
                                    <a:srgbClr val="000000"/>
                                  </a:solidFill>
                                  <a:prstDash val="solid"/>
                                  <a:miter/>
                                  <a:headEnd type="none" w="med" len="med"/>
                                  <a:tailEnd type="none" w="med" len="med"/>
                                </a:ln>
                              </wps:spPr>
                              <wps:txbx>
                                <w:txbxContent>
                                  <w:p w14:paraId="22DCED79">
                                    <w:pPr>
                                      <w:spacing w:line="360" w:lineRule="auto"/>
                                      <w:jc w:val="center"/>
                                      <w:rPr>
                                        <w:rFonts w:hint="default" w:eastAsia="宋体"/>
                                        <w:szCs w:val="21"/>
                                        <w:lang w:val="en-US" w:eastAsia="zh-CN"/>
                                      </w:rPr>
                                    </w:pPr>
                                    <w:r>
                                      <w:rPr>
                                        <w:rFonts w:hint="eastAsia"/>
                                        <w:szCs w:val="21"/>
                                        <w:lang w:val="en-US" w:eastAsia="zh-CN"/>
                                      </w:rPr>
                                      <w:t>不合格</w:t>
                                    </w:r>
                                  </w:p>
                                </w:txbxContent>
                              </wps:txbx>
                              <wps:bodyPr upright="1"/>
                            </wps:wsp>
                            <wps:wsp>
                              <wps:cNvPr id="9" name="直线 223"/>
                              <wps:cNvCnPr/>
                              <wps:spPr>
                                <a:xfrm flipV="1">
                                  <a:off x="584835" y="963930"/>
                                  <a:ext cx="1767205" cy="1133475"/>
                                </a:xfrm>
                                <a:prstGeom prst="line">
                                  <a:avLst/>
                                </a:prstGeom>
                                <a:ln w="15875" cap="flat" cmpd="sng">
                                  <a:solidFill>
                                    <a:srgbClr val="000000"/>
                                  </a:solidFill>
                                  <a:prstDash val="solid"/>
                                  <a:headEnd type="none" w="med" len="med"/>
                                  <a:tailEnd type="triangle" w="med" len="med"/>
                                </a:ln>
                              </wps:spPr>
                              <wps:bodyPr upright="1"/>
                            </wps:wsp>
                            <wps:wsp>
                              <wps:cNvPr id="10" name="直线 256"/>
                              <wps:cNvCnPr/>
                              <wps:spPr>
                                <a:xfrm flipH="1">
                                  <a:off x="1052830" y="2265680"/>
                                  <a:ext cx="391795" cy="2540"/>
                                </a:xfrm>
                                <a:prstGeom prst="line">
                                  <a:avLst/>
                                </a:prstGeom>
                                <a:ln w="9525" cap="flat" cmpd="sng">
                                  <a:solidFill>
                                    <a:srgbClr val="000000"/>
                                  </a:solidFill>
                                  <a:prstDash val="dashDot"/>
                                  <a:headEnd type="none" w="med" len="med"/>
                                  <a:tailEnd type="triangle" w="med" len="med"/>
                                </a:ln>
                              </wps:spPr>
                              <wps:bodyPr upright="1"/>
                            </wps:wsp>
                            <wps:wsp>
                              <wps:cNvPr id="12" name="直线 256"/>
                              <wps:cNvCnPr/>
                              <wps:spPr>
                                <a:xfrm flipH="1">
                                  <a:off x="3394710" y="2444750"/>
                                  <a:ext cx="5080" cy="353695"/>
                                </a:xfrm>
                                <a:prstGeom prst="line">
                                  <a:avLst/>
                                </a:prstGeom>
                                <a:ln w="9525" cap="flat" cmpd="sng">
                                  <a:solidFill>
                                    <a:srgbClr val="000000"/>
                                  </a:solidFill>
                                  <a:prstDash val="dashDot"/>
                                  <a:headEnd type="none" w="med" len="med"/>
                                  <a:tailEnd type="triangle" w="med" len="med"/>
                                </a:ln>
                              </wps:spPr>
                              <wps:bodyPr upright="1"/>
                            </wps:wsp>
                            <wps:wsp>
                              <wps:cNvPr id="20" name="直线 256"/>
                              <wps:cNvCnPr/>
                              <wps:spPr>
                                <a:xfrm flipH="1">
                                  <a:off x="4697730" y="2437130"/>
                                  <a:ext cx="5080" cy="353695"/>
                                </a:xfrm>
                                <a:prstGeom prst="line">
                                  <a:avLst/>
                                </a:prstGeom>
                                <a:ln w="9525" cap="flat" cmpd="sng">
                                  <a:solidFill>
                                    <a:srgbClr val="000000"/>
                                  </a:solidFill>
                                  <a:prstDash val="dashDot"/>
                                  <a:headEnd type="none" w="med" len="med"/>
                                  <a:tailEnd type="triangle" w="med" len="med"/>
                                </a:ln>
                              </wps:spPr>
                              <wps:bodyPr upright="1"/>
                            </wps:wsp>
                          </wpc:wpc>
                        </a:graphicData>
                      </a:graphic>
                    </wp:inline>
                  </w:drawing>
                </mc:Choice>
                <mc:Fallback>
                  <w:pict>
                    <v:group id="画布 221" o:spid="_x0000_s1026" o:spt="203" style="height:258.4pt;width:404.85pt;" coordsize="5141595,3281680" editas="canvas" o:gfxdata="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">
                      <o:lock v:ext="edit" aspectratio="f"/>
                      <v:shape id="画布 221" o:spid="_x0000_s1026" style="position:absolute;left:0;top:0;height:3281680;width:5141595;" filled="f" stroked="f" coordsize="21600,21600" o:gfxdata="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">
                        <v:fill on="f" focussize="0,0"/>
                        <v:stroke on="f"/>
                        <v:imagedata o:title=""/>
                        <o:lock v:ext="edit" aspectratio="f"/>
                      </v:shape>
                      <v:shape id="文本框 222" o:spid="_x0000_s1026" o:spt="202" type="#_x0000_t202" style="position:absolute;left:584200;top:715010;height:318770;width:1361440;" filled="f" stroked="t" coordsize="21600,21600" o:gfxdata="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fM/H3SAAAABQEAAA8AAAAAAAAAAQAg&#10;AAAAIgAAAGRycy9kb3ducmV2LnhtbFBLAQIUABQAAAAIAIdO4kBx+p0iFAIAABwEAAAOAAAAAAAA&#10;AAEAIAAAACEBAABkcnMvZTJvRG9jLnhtbFBLBQYAAAAABgAGAFkBAACnBQAAAAA=&#10;">
                        <v:fill on="f" focussize="0,0"/>
                        <v:stroke weight="1.25pt" color="#000000" joinstyle="miter"/>
                        <v:imagedata o:title=""/>
                        <o:lock v:ext="edit" aspectratio="f"/>
                        <v:textbox>
                          <w:txbxContent>
                            <w:p w14:paraId="2DB2EE6C">
                              <w:pPr>
                                <w:spacing w:line="360" w:lineRule="auto"/>
                                <w:jc w:val="center"/>
                                <w:rPr>
                                  <w:rFonts w:hint="default" w:eastAsia="宋体"/>
                                  <w:szCs w:val="21"/>
                                  <w:lang w:val="en-US" w:eastAsia="zh-CN"/>
                                </w:rPr>
                              </w:pPr>
                              <w:r>
                                <w:rPr>
                                  <w:rFonts w:hint="eastAsia"/>
                                  <w:szCs w:val="21"/>
                                  <w:lang w:val="en-US" w:eastAsia="zh-CN"/>
                                </w:rPr>
                                <w:t>原辅料（新购买）</w:t>
                              </w:r>
                            </w:p>
                          </w:txbxContent>
                        </v:textbox>
                      </v:shape>
                      <v:line id="直线 256" o:spid="_x0000_s1026" o:spt="20" style="position:absolute;left:4245610;top:347345;flip:y;height:360045;width:635;" filled="f" stroked="t" coordsize="21600,21600" o:gfxdata="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CkZqO1QAAAAUBAAAPAAAAAAAAAAEAIAAAACIAAABkcnMv&#10;ZG93bnJldi54bWxQSwECFAAUAAAACACHTuJArsl4xwYCAAD7AwAADgAAAAAAAAABACAAAAAkAQAA&#10;ZHJzL2Uyb0RvYy54bWxQSwUGAAAAAAYABgBZAQAAnAUAAAAA&#10;">
                        <v:fill on="f" focussize="0,0"/>
                        <v:stroke color="#000000" joinstyle="round" dashstyle="dashDot" endarrow="block"/>
                        <v:imagedata o:title=""/>
                        <o:lock v:ext="edit" aspectratio="f"/>
                      </v:line>
                      <v:shape id="文本框 257" o:spid="_x0000_s1026" o:spt="202" type="#_x0000_t202" style="position:absolute;left:3573780;top:74295;height:280670;width:1346200;" filled="f" stroked="t" coordsize="21600,21600" o:gfxdata="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UICs81QAAAAUBAAAPAAAAAAAA&#10;AAEAIAAAACIAAABkcnMvZG93bnJldi54bWxQSwECFAAUAAAACACHTuJAA8CcdRUCAAAdBAAADgAA&#10;AAAAAAABACAAAAAkAQAAZHJzL2Uyb0RvYy54bWxQSwUGAAAAAAYABgBZAQAAqwUAAAAA&#10;">
                        <v:fill on="f" focussize="0,0"/>
                        <v:stroke color="#000000" joinstyle="miter" dashstyle="dashDot"/>
                        <v:imagedata o:title=""/>
                        <o:lock v:ext="edit" aspectratio="f"/>
                        <v:textbox>
                          <w:txbxContent>
                            <w:p w14:paraId="4DA47909">
                              <w:pPr>
                                <w:jc w:val="center"/>
                                <w:rPr>
                                  <w:rFonts w:hint="default" w:eastAsia="宋体"/>
                                  <w:szCs w:val="21"/>
                                  <w:lang w:val="en-US" w:eastAsia="zh-CN"/>
                                </w:rPr>
                              </w:pPr>
                              <w:r>
                                <w:rPr>
                                  <w:rFonts w:hint="eastAsia"/>
                                  <w:szCs w:val="21"/>
                                </w:rPr>
                                <w:t>废气、噪声</w:t>
                              </w:r>
                              <w:r>
                                <w:rPr>
                                  <w:rFonts w:hint="eastAsia"/>
                                  <w:szCs w:val="21"/>
                                  <w:lang w:eastAsia="zh-CN"/>
                                </w:rPr>
                                <w:t>、</w:t>
                              </w:r>
                              <w:r>
                                <w:rPr>
                                  <w:rFonts w:hint="eastAsia"/>
                                  <w:szCs w:val="21"/>
                                  <w:lang w:val="en-US" w:eastAsia="zh-CN"/>
                                </w:rPr>
                                <w:t>固废</w:t>
                              </w:r>
                            </w:p>
                          </w:txbxContent>
                        </v:textbox>
                      </v:shape>
                      <v:line id="直线 223" o:spid="_x0000_s1026" o:spt="20" style="position:absolute;left:1953260;top:876300;flip:y;height:635;width:400685;" filled="f" stroked="t" coordsize="21600,21600" o:gfxdata="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D8gXtYAAAAFAQAADwAAAAAAAAABACAAAAAiAAAAZHJz&#10;L2Rvd25yZXYueG1sUEsBAhQAFAAAAAgAh07iQDhvTSgGAgAA+gMAAA4AAAAAAAAAAQAgAAAAJQEA&#10;AGRycy9lMm9Eb2MueG1sUEsFBgAAAAAGAAYAWQEAAJ0FAAAAAA==&#10;">
                        <v:fill on="f" focussize="0,0"/>
                        <v:stroke weight="1.25pt" color="#000000" joinstyle="round" endarrow="block"/>
                        <v:imagedata o:title=""/>
                        <o:lock v:ext="edit" aspectratio="f"/>
                      </v:line>
                      <v:shape id="文本框 222" o:spid="_x0000_s1026" o:spt="202" type="#_x0000_t202" style="position:absolute;left:2353945;top:715010;height:320040;width:910590;" filled="f" stroked="t" coordsize="21600,21600" o:gfxdata="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3zPx90gAAAAUBAAAPAAAAAAAAAAEA&#10;IAAAACIAAABkcnMvZG93bnJldi54bWxQSwECFAAUAAAACACHTuJAmxPrwhUCAAAcBAAADgAAAAAA&#10;AAABACAAAAAhAQAAZHJzL2Uyb0RvYy54bWxQSwUGAAAAAAYABgBZAQAAqAUAAAAA&#10;">
                        <v:fill on="f" focussize="0,0"/>
                        <v:stroke weight="1.25pt" color="#000000" joinstyle="miter"/>
                        <v:imagedata o:title=""/>
                        <o:lock v:ext="edit" aspectratio="f"/>
                        <v:textbox>
                          <w:txbxContent>
                            <w:p w14:paraId="5A648B2B">
                              <w:pPr>
                                <w:spacing w:line="360" w:lineRule="auto"/>
                                <w:jc w:val="center"/>
                                <w:rPr>
                                  <w:rFonts w:hint="eastAsia" w:eastAsia="宋体"/>
                                  <w:szCs w:val="21"/>
                                  <w:lang w:val="en-US" w:eastAsia="zh-CN"/>
                                </w:rPr>
                              </w:pPr>
                              <w:r>
                                <w:rPr>
                                  <w:rFonts w:hint="eastAsia"/>
                                  <w:szCs w:val="21"/>
                                  <w:lang w:val="en-US" w:eastAsia="zh-CN"/>
                                </w:rPr>
                                <w:t>混料机</w:t>
                              </w:r>
                            </w:p>
                          </w:txbxContent>
                        </v:textbox>
                      </v:shape>
                      <v:line id="直线 223" o:spid="_x0000_s1026" o:spt="20" style="position:absolute;left:3264535;top:876935;flip:y;height:635;width:400685;" filled="f" stroked="t" coordsize="21600,21600" o:gfxdata="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D8gXtYAAAAFAQAADwAAAAAAAAABACAAAAAiAAAAZHJz&#10;L2Rvd25yZXYueG1sUEsBAhQAFAAAAAgAh07iQIuzMfAGAgAA+gMAAA4AAAAAAAAAAQAgAAAAJQEA&#10;AGRycy9lMm9Eb2MueG1sUEsFBgAAAAAGAAYAWQEAAJ0FAAAAAA==&#10;">
                        <v:fill on="f" focussize="0,0"/>
                        <v:stroke weight="1.25pt" color="#000000" joinstyle="round" endarrow="block"/>
                        <v:imagedata o:title=""/>
                        <o:lock v:ext="edit" aspectratio="f"/>
                      </v:line>
                      <v:shape id="文本框 222" o:spid="_x0000_s1026" o:spt="202" type="#_x0000_t202" style="position:absolute;left:3663315;top:706755;height:320040;width:1156335;" filled="f" stroked="t" coordsize="21600,21600" o:gfxdata="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fM/H3SAAAABQEAAA8AAAAAAAAAAQAg&#10;AAAAIgAAAGRycy9kb3ducmV2LnhtbFBLAQIUABQAAAAIAIdO4kCjoZ8CFAIAAB0EAAAOAAAAAAAA&#10;AAEAIAAAACEBAABkcnMvZTJvRG9jLnhtbFBLBQYAAAAABgAGAFkBAACnBQAAAAA=&#10;">
                        <v:fill on="f" focussize="0,0"/>
                        <v:stroke weight="1.25pt" color="#000000" joinstyle="miter"/>
                        <v:imagedata o:title=""/>
                        <o:lock v:ext="edit" aspectratio="f"/>
                        <v:textbox>
                          <w:txbxContent>
                            <w:p w14:paraId="0E991791">
                              <w:pPr>
                                <w:jc w:val="center"/>
                                <w:rPr>
                                  <w:rFonts w:hint="default"/>
                                  <w:lang w:val="en-US" w:eastAsia="zh-CN"/>
                                </w:rPr>
                              </w:pPr>
                              <w:r>
                                <w:rPr>
                                  <w:rFonts w:hint="eastAsia"/>
                                  <w:szCs w:val="21"/>
                                  <w:lang w:val="en-US" w:eastAsia="zh-CN"/>
                                </w:rPr>
                                <w:t>挤出吹塑成型</w:t>
                              </w:r>
                            </w:p>
                          </w:txbxContent>
                        </v:textbox>
                      </v:shape>
                      <v:line id="直线 223" o:spid="_x0000_s1026" o:spt="20" style="position:absolute;left:4646295;top:1035685;height:1080135;width:635;" filled="f" stroked="t" coordsize="21600,21600" o:gfxdata="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JNDC/vVAAAABQEAAA8AAAAAAAAAAQAgAAAAIgAAAGRycy9kb3ducmV2&#10;LnhtbFBLAQIUABQAAAAIAIdO4kBybdvo/wEAAPIDAAAOAAAAAAAAAAEAIAAAACQBAABkcnMvZTJv&#10;RG9jLnhtbFBLBQYAAAAABgAGAFkBAACVBQAAAAA=&#10;">
                        <v:fill on="f" focussize="0,0"/>
                        <v:stroke weight="1.25pt" color="#000000" joinstyle="round" endarrow="block"/>
                        <v:imagedata o:title=""/>
                        <o:lock v:ext="edit" aspectratio="f"/>
                      </v:line>
                      <v:shape id="文本框 222" o:spid="_x0000_s1026" o:spt="202" type="#_x0000_t202" style="position:absolute;left:4226560;top:2113280;height:320040;width:910590;" filled="f" stroked="t" coordsize="21600,21600" o:gfxdata="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3zPx90gAAAAUBAAAPAAAAAAAAAAEA&#10;IAAAACIAAABkcnMvZG93bnJldi54bWxQSwECFAAUAAAACACHTuJAASmnRRUCAAAdBAAADgAAAAAA&#10;AAABACAAAAAhAQAAZHJzL2Uyb0RvYy54bWxQSwUGAAAAAAYABgBZAQAAqAUAAAAA&#10;">
                        <v:fill on="f" focussize="0,0"/>
                        <v:stroke weight="1.25pt" color="#000000" joinstyle="miter"/>
                        <v:imagedata o:title=""/>
                        <o:lock v:ext="edit" aspectratio="f"/>
                        <v:textbox>
                          <w:txbxContent>
                            <w:p w14:paraId="0DAE6D31">
                              <w:pPr>
                                <w:spacing w:line="360" w:lineRule="auto"/>
                                <w:jc w:val="center"/>
                                <w:rPr>
                                  <w:rFonts w:hint="default" w:eastAsia="宋体"/>
                                  <w:szCs w:val="21"/>
                                  <w:lang w:val="en-US" w:eastAsia="zh-CN"/>
                                </w:rPr>
                              </w:pPr>
                              <w:r>
                                <w:rPr>
                                  <w:rFonts w:hint="eastAsia"/>
                                  <w:szCs w:val="21"/>
                                  <w:lang w:val="en-US" w:eastAsia="zh-CN"/>
                                </w:rPr>
                                <w:t>冷却定型</w:t>
                              </w:r>
                            </w:p>
                          </w:txbxContent>
                        </v:textbox>
                      </v:shape>
                      <v:line id="直线 223" o:spid="_x0000_s1026" o:spt="20" style="position:absolute;left:3829685;top:2261235;flip:x y;height:635;width:399415;" filled="f" stroked="t" coordsize="21600,21600" o:gfxdata="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h6QUvNYAAAAFAQAADwAAAAAAAAABACAAAAAi&#10;AAAAZHJzL2Rvd25yZXYueG1sUEsBAhQAFAAAAAgAh07iQN/oKCMMAgAABQQAAA4AAAAAAAAAAQAg&#10;AAAAJQEAAGRycy9lMm9Eb2MueG1sUEsFBgAAAAAGAAYAWQEAAKMFAAAAAA==&#10;">
                        <v:fill on="f" focussize="0,0"/>
                        <v:stroke weight="1.25pt" color="#000000" joinstyle="round" endarrow="block"/>
                        <v:imagedata o:title=""/>
                        <o:lock v:ext="edit" aspectratio="f"/>
                      </v:line>
                      <v:shape id="文本框 222" o:spid="_x0000_s1026" o:spt="202" type="#_x0000_t202" style="position:absolute;left:2919095;top:2113280;height:320040;width:910590;" filled="f" stroked="t" coordsize="21600,21600" o:gfxdata="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3zPx90gAAAAUBAAAPAAAAAAAAAAEA&#10;IAAAACIAAABkcnMvZG93bnJldi54bWxQSwECFAAUAAAACACHTuJA4shVeBUCAAAdBAAADgAAAAAA&#10;AAABACAAAAAhAQAAZHJzL2Uyb0RvYy54bWxQSwUGAAAAAAYABgBZAQAAqAUAAAAA&#10;">
                        <v:fill on="f" focussize="0,0"/>
                        <v:stroke weight="1.25pt" color="#000000" joinstyle="miter"/>
                        <v:imagedata o:title=""/>
                        <o:lock v:ext="edit" aspectratio="f"/>
                        <v:textbox>
                          <w:txbxContent>
                            <w:p w14:paraId="2A127D6F">
                              <w:pPr>
                                <w:spacing w:line="360" w:lineRule="auto"/>
                                <w:jc w:val="center"/>
                                <w:rPr>
                                  <w:rFonts w:hint="eastAsia" w:eastAsia="宋体"/>
                                  <w:szCs w:val="21"/>
                                  <w:lang w:val="en-US" w:eastAsia="zh-CN"/>
                                </w:rPr>
                              </w:pPr>
                              <w:r>
                                <w:rPr>
                                  <w:rFonts w:hint="eastAsia"/>
                                  <w:szCs w:val="21"/>
                                  <w:lang w:val="en-US" w:eastAsia="zh-CN"/>
                                </w:rPr>
                                <w:t>测压</w:t>
                              </w:r>
                            </w:p>
                          </w:txbxContent>
                        </v:textbox>
                      </v:shape>
                      <v:line id="直线 223" o:spid="_x0000_s1026" o:spt="20" style="position:absolute;left:2514600;top:2261870;flip:x y;height:635;width:399415;" filled="f" stroked="t" coordsize="21600,21600" o:gfxdata="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h6QUvNYAAAAFAQAADwAAAAAAAAABACAAAAAi&#10;AAAAZHJzL2Rvd25yZXYueG1sUEsBAhQAFAAAAAgAh07iQNcLBBsMAgAABQQAAA4AAAAAAAAAAQAg&#10;AAAAJQEAAGRycy9lMm9Eb2MueG1sUEsFBgAAAAAGAAYAWQEAAKMFAAAAAA==&#10;">
                        <v:fill on="f" focussize="0,0"/>
                        <v:stroke weight="1.25pt" color="#000000" joinstyle="round" endarrow="block"/>
                        <v:imagedata o:title=""/>
                        <o:lock v:ext="edit" aspectratio="f"/>
                      </v:line>
                      <v:shape id="文本框 222" o:spid="_x0000_s1026" o:spt="202" type="#_x0000_t202" style="position:absolute;left:1464945;top:2104390;height:320040;width:1059180;" filled="f" stroked="t" coordsize="21600,21600" o:gfxdata="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t8z8fdIAAAAFAQAADwAAAAAAAAABACAA&#10;AAAiAAAAZHJzL2Rvd25yZXYueG1sUEsBAhQAFAAAAAgAh07iQKB16GETAgAAHgQAAA4AAAAAAAAA&#10;AQAgAAAAIQEAAGRycy9lMm9Eb2MueG1sUEsFBgAAAAAGAAYAWQEAAKYFAAAAAA==&#10;">
                        <v:fill on="f" focussize="0,0"/>
                        <v:stroke weight="1.25pt" color="#000000" joinstyle="miter"/>
                        <v:imagedata o:title=""/>
                        <o:lock v:ext="edit" aspectratio="f"/>
                        <v:textbox>
                          <w:txbxContent>
                            <w:p w14:paraId="17517A0D">
                              <w:pPr>
                                <w:spacing w:line="360" w:lineRule="auto"/>
                                <w:jc w:val="center"/>
                                <w:rPr>
                                  <w:rFonts w:hint="eastAsia" w:eastAsia="宋体"/>
                                  <w:szCs w:val="21"/>
                                  <w:lang w:val="en-US" w:eastAsia="zh-CN"/>
                                </w:rPr>
                              </w:pPr>
                              <w:r>
                                <w:rPr>
                                  <w:rFonts w:hint="eastAsia"/>
                                  <w:szCs w:val="21"/>
                                  <w:lang w:val="en-US" w:eastAsia="zh-CN"/>
                                </w:rPr>
                                <w:t>检验</w:t>
                              </w:r>
                            </w:p>
                          </w:txbxContent>
                        </v:textbox>
                      </v:shape>
                      <v:line id="直线 256" o:spid="_x0000_s1026" o:spt="20" style="position:absolute;left:2797175;top:355600;flip:y;height:360045;width:635;" filled="f" stroked="t" coordsize="21600,21600" o:gfxdata="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ApGajtUAAAAFAQAADwAAAAAAAAABACAAAAAiAAAAZHJz&#10;L2Rvd25yZXYueG1sUEsBAhQAFAAAAAgAh07iQPoN9DYHAgAA+wMAAA4AAAAAAAAAAQAgAAAAJAEA&#10;AGRycy9lMm9Eb2MueG1sUEsFBgAAAAAGAAYAWQEAAJ0FAAAAAA==&#10;">
                        <v:fill on="f" focussize="0,0"/>
                        <v:stroke color="#000000" joinstyle="round" dashstyle="dashDot" endarrow="block"/>
                        <v:imagedata o:title=""/>
                        <o:lock v:ext="edit" aspectratio="f"/>
                      </v:line>
                      <v:shape id="文本框 257" o:spid="_x0000_s1026" o:spt="202" type="#_x0000_t202" style="position:absolute;left:2232660;top:74295;height:280670;width:1089660;" filled="f" stroked="t" coordsize="21600,21600" o:gfxdata="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FCArPNUAAAAFAQAADwAAAAAA&#10;AAABACAAAAAiAAAAZHJzL2Rvd25yZXYueG1sUEsBAhQAFAAAAAgAh07iQC+I8WMWAgAAHQQAAA4A&#10;AAAAAAAAAQAgAAAAJAEAAGRycy9lMm9Eb2MueG1sUEsFBgAAAAAGAAYAWQEAAKwFAAAAAA==&#10;">
                        <v:fill on="f" focussize="0,0"/>
                        <v:stroke color="#000000" joinstyle="miter" dashstyle="dashDot"/>
                        <v:imagedata o:title=""/>
                        <o:lock v:ext="edit" aspectratio="f"/>
                        <v:textbox>
                          <w:txbxContent>
                            <w:p w14:paraId="44EE266E">
                              <w:pPr>
                                <w:jc w:val="center"/>
                                <w:rPr>
                                  <w:szCs w:val="21"/>
                                </w:rPr>
                              </w:pPr>
                              <w:r>
                                <w:rPr>
                                  <w:rFonts w:hint="eastAsia"/>
                                  <w:szCs w:val="21"/>
                                </w:rPr>
                                <w:t>废包装、噪声</w:t>
                              </w:r>
                            </w:p>
                          </w:txbxContent>
                        </v:textbox>
                      </v:shape>
                      <v:shape id="文本框 257" o:spid="_x0000_s1026" o:spt="202" type="#_x0000_t202" style="position:absolute;left:4428490;top:2793365;height:280670;width:515620;" filled="f" stroked="t" coordsize="21600,21600" o:gfxdata="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UICs81QAAAAUBAAAPAAAA&#10;AAAAAAEAIAAAACIAAABkcnMvZG93bnJldi54bWxQSwECFAAUAAAACACHTuJAHcgfIhgCAAAeBAAA&#10;DgAAAAAAAAABACAAAAAkAQAAZHJzL2Uyb0RvYy54bWxQSwUGAAAAAAYABgBZAQAArgUAAAAA&#10;">
                        <v:fill on="f" focussize="0,0"/>
                        <v:stroke color="#000000" joinstyle="miter" dashstyle="dashDot"/>
                        <v:imagedata o:title=""/>
                        <o:lock v:ext="edit" aspectratio="f"/>
                        <v:textbox>
                          <w:txbxContent>
                            <w:p w14:paraId="5096EA9E">
                              <w:pPr>
                                <w:jc w:val="center"/>
                                <w:rPr>
                                  <w:szCs w:val="21"/>
                                </w:rPr>
                              </w:pPr>
                              <w:r>
                                <w:rPr>
                                  <w:rFonts w:hint="eastAsia"/>
                                  <w:szCs w:val="21"/>
                                </w:rPr>
                                <w:t>固废</w:t>
                              </w:r>
                            </w:p>
                          </w:txbxContent>
                        </v:textbox>
                      </v:shape>
                      <v:shape id="文本框 257" o:spid="_x0000_s1026" o:spt="202" type="#_x0000_t202" style="position:absolute;left:3128010;top:2793365;height:280670;width:515620;" filled="f" stroked="t" coordsize="21600,21600" o:gfxdata="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UICs81QAAAAUBAAAPAAAA&#10;AAAAAAEAIAAAACIAAABkcnMvZG93bnJldi54bWxQSwECFAAUAAAACACHTuJA6tYTeRgCAAAeBAAA&#10;DgAAAAAAAAABACAAAAAkAQAAZHJzL2Uyb0RvYy54bWxQSwUGAAAAAAYABgBZAQAArgUAAAAA&#10;">
                        <v:fill on="f" focussize="0,0"/>
                        <v:stroke color="#000000" joinstyle="miter" dashstyle="dashDot"/>
                        <v:imagedata o:title=""/>
                        <o:lock v:ext="edit" aspectratio="f"/>
                        <v:textbox>
                          <w:txbxContent>
                            <w:p w14:paraId="2656D4E7">
                              <w:pPr>
                                <w:jc w:val="center"/>
                                <w:rPr>
                                  <w:szCs w:val="21"/>
                                </w:rPr>
                              </w:pPr>
                              <w:r>
                                <w:rPr>
                                  <w:rFonts w:hint="eastAsia"/>
                                  <w:szCs w:val="21"/>
                                </w:rPr>
                                <w:t>噪声</w:t>
                              </w:r>
                            </w:p>
                          </w:txbxContent>
                        </v:textbox>
                      </v:shape>
                      <v:shape id="文本框 222" o:spid="_x0000_s1026" o:spt="202" type="#_x0000_t202" style="position:absolute;left:1473835;top:2945130;height:320040;width:1059180;" filled="f" stroked="t" coordsize="21600,21600" o:gfxdata="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t8z8fdIAAAAFAQAADwAAAAAAAAAB&#10;ACAAAAAiAAAAZHJzL2Rvd25yZXYueG1sUEsBAhQAFAAAAAgAh07iQA3atXwWAgAAHgQAAA4AAAAA&#10;AAAAAQAgAAAAIQEAAGRycy9lMm9Eb2MueG1sUEsFBgAAAAAGAAYAWQEAAKkFAAAAAA==&#10;">
                        <v:fill on="f" focussize="0,0"/>
                        <v:stroke weight="1.25pt" color="#000000" joinstyle="miter"/>
                        <v:imagedata o:title=""/>
                        <o:lock v:ext="edit" aspectratio="f"/>
                        <v:textbox>
                          <w:txbxContent>
                            <w:p w14:paraId="5189B7AF">
                              <w:pPr>
                                <w:spacing w:line="360" w:lineRule="auto"/>
                                <w:jc w:val="center"/>
                                <w:rPr>
                                  <w:rFonts w:hint="default" w:eastAsia="宋体"/>
                                  <w:szCs w:val="21"/>
                                  <w:lang w:val="en-US" w:eastAsia="zh-CN"/>
                                </w:rPr>
                              </w:pPr>
                              <w:r>
                                <w:rPr>
                                  <w:rFonts w:hint="eastAsia"/>
                                  <w:szCs w:val="21"/>
                                  <w:lang w:val="en-US" w:eastAsia="zh-CN"/>
                                </w:rPr>
                                <w:t>包装入库</w:t>
                              </w:r>
                            </w:p>
                          </w:txbxContent>
                        </v:textbox>
                      </v:shape>
                      <v:line id="直线 223" o:spid="_x0000_s1026" o:spt="20" style="position:absolute;left:1994535;top:2424430;height:535305;width:3175;" filled="f" stroked="t" coordsize="21600,21600" o:gfxdata="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TQwv71QAAAAUBAAAPAAAAAAAAAAEAIAAA&#10;ACIAAABkcnMvZG93bnJldi54bWxQSwECFAAUAAAACACHTuJAeMxbkA8CAAAaBAAADgAAAAAAAAAB&#10;ACAAAAAkAQAAZHJzL2Uyb0RvYy54bWxQSwUGAAAAAAYABgBZAQAApQUAAAAA&#10;">
                        <v:fill on="f" focussize="0,0"/>
                        <v:stroke weight="1.25pt" color="#000000" joinstyle="round" endarrow="block"/>
                        <v:imagedata o:title=""/>
                        <o:lock v:ext="edit" aspectratio="f"/>
                      </v:line>
                      <v:shape id="文本框 222" o:spid="_x0000_s1026" o:spt="202" type="#_x0000_t202" style="position:absolute;left:140335;top:2096770;height:320040;width:910590;" filled="f" stroked="t" coordsize="21600,21600" o:gfxdata="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t8z8fdIAAAAFAQAADwAAAAAAAAABACAA&#10;AAAiAAAAZHJzL2Rvd25yZXYueG1sUEsBAhQAFAAAAAgAh07iQHjIYsUTAgAAGgQAAA4AAAAAAAAA&#10;AQAgAAAAIQEAAGRycy9lMm9Eb2MueG1sUEsFBgAAAAAGAAYAWQEAAKYFAAAAAA==&#10;">
                        <v:fill on="f" focussize="0,0"/>
                        <v:stroke weight="1.25pt" color="#000000" joinstyle="miter"/>
                        <v:imagedata o:title=""/>
                        <o:lock v:ext="edit" aspectratio="f"/>
                        <v:textbox>
                          <w:txbxContent>
                            <w:p w14:paraId="22DCED79">
                              <w:pPr>
                                <w:spacing w:line="360" w:lineRule="auto"/>
                                <w:jc w:val="center"/>
                                <w:rPr>
                                  <w:rFonts w:hint="default" w:eastAsia="宋体"/>
                                  <w:szCs w:val="21"/>
                                  <w:lang w:val="en-US" w:eastAsia="zh-CN"/>
                                </w:rPr>
                              </w:pPr>
                              <w:r>
                                <w:rPr>
                                  <w:rFonts w:hint="eastAsia"/>
                                  <w:szCs w:val="21"/>
                                  <w:lang w:val="en-US" w:eastAsia="zh-CN"/>
                                </w:rPr>
                                <w:t>不合格</w:t>
                              </w:r>
                            </w:p>
                          </w:txbxContent>
                        </v:textbox>
                      </v:shape>
                      <v:line id="直线 223" o:spid="_x0000_s1026" o:spt="20" style="position:absolute;left:584835;top:963930;flip:y;height:1133475;width:1767205;" filled="f" stroked="t" coordsize="21600,21600" o:gfxdata="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GD8gXtYAAAAFAQAADwAAAAAAAAABACAAAAAiAAAA&#10;ZHJzL2Rvd25yZXYueG1sUEsBAhQAFAAAAAgAh07iQMcVA9EJAgAA/AMAAA4AAAAAAAAAAQAgAAAA&#10;JQEAAGRycy9lMm9Eb2MueG1sUEsFBgAAAAAGAAYAWQEAAKAFAAAAAA==&#10;">
                        <v:fill on="f" focussize="0,0"/>
                        <v:stroke weight="1.25pt" color="#000000" joinstyle="round" endarrow="block"/>
                        <v:imagedata o:title=""/>
                        <o:lock v:ext="edit" aspectratio="f"/>
                      </v:line>
                      <v:line id="直线 256" o:spid="_x0000_s1026" o:spt="20" style="position:absolute;left:1052830;top:2265680;flip:x;height:2540;width:391795;" filled="f" stroked="t" coordsize="21600,21600" o:gfxdata="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CkZqO1QAAAAUBAAAPAAAAAAAAAAEAIAAAACIAAABk&#10;cnMvZG93bnJldi54bWxQSwECFAAUAAAACACHTuJALphztwkCAAD8AwAADgAAAAAAAAABACAAAAAk&#10;AQAAZHJzL2Uyb0RvYy54bWxQSwUGAAAAAAYABgBZAQAAnwUAAAAA&#10;">
                        <v:fill on="f" focussize="0,0"/>
                        <v:stroke color="#000000" joinstyle="round" dashstyle="dashDot" endarrow="block"/>
                        <v:imagedata o:title=""/>
                        <o:lock v:ext="edit" aspectratio="f"/>
                      </v:line>
                      <v:line id="直线 256" o:spid="_x0000_s1026" o:spt="20" style="position:absolute;left:3394710;top:2444750;flip:x;height:353695;width:5080;" filled="f" stroked="t" coordsize="21600,21600" o:gfxdata="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KRmo7VAAAABQEAAA8AAAAAAAAAAQAgAAAAIgAA&#10;AGRycy9kb3ducmV2LnhtbFBLAQIUABQAAAAIAIdO4kAGONN+CwIAAPwDAAAOAAAAAAAAAAEAIAAA&#10;ACQBAABkcnMvZTJvRG9jLnhtbFBLBQYAAAAABgAGAFkBAAChBQAAAAA=&#10;">
                        <v:fill on="f" focussize="0,0"/>
                        <v:stroke color="#000000" joinstyle="round" dashstyle="dashDot" endarrow="block"/>
                        <v:imagedata o:title=""/>
                        <o:lock v:ext="edit" aspectratio="f"/>
                      </v:line>
                      <v:line id="直线 256" o:spid="_x0000_s1026" o:spt="20" style="position:absolute;left:4697730;top:2437130;flip:x;height:353695;width:5080;" filled="f" stroked="t" coordsize="21600,21600" o:gfxdata="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ApGajtUAAAAFAQAADwAAAAAAAAABACAAAAAiAAAA&#10;ZHJzL2Rvd25yZXYueG1sUEsBAhQAFAAAAAgAh07iQLu5h4cKAgAA/AMAAA4AAAAAAAAAAQAgAAAA&#10;JAEAAGRycy9lMm9Eb2MueG1sUEsFBgAAAAAGAAYAWQEAAKAFAAAAAA==&#10;">
                        <v:fill on="f" focussize="0,0"/>
                        <v:stroke color="#000000" joinstyle="round" dashstyle="dashDot" endarrow="block"/>
                        <v:imagedata o:title=""/>
                        <o:lock v:ext="edit" aspectratio="f"/>
                      </v:line>
                      <w10:wrap type="none"/>
                      <w10:anchorlock/>
                    </v:group>
                  </w:pict>
                </mc:Fallback>
              </mc:AlternateContent>
            </w:r>
          </w:p>
          <w:p w14:paraId="10AD002D">
            <w:pPr>
              <w:keepNext/>
              <w:keepLines/>
              <w:spacing w:beforeLines="50" w:line="360" w:lineRule="auto"/>
              <w:jc w:val="center"/>
              <w:rPr>
                <w:color w:val="auto"/>
                <w:sz w:val="24"/>
                <w:highlight w:val="none"/>
              </w:rPr>
            </w:pPr>
            <w:r>
              <w:rPr>
                <w:b/>
                <w:bCs/>
                <w:color w:val="auto"/>
                <w:sz w:val="24"/>
                <w:highlight w:val="none"/>
              </w:rPr>
              <w:t>图</w:t>
            </w:r>
            <w:r>
              <w:rPr>
                <w:rFonts w:hint="eastAsia"/>
                <w:b/>
                <w:bCs/>
                <w:color w:val="auto"/>
                <w:sz w:val="24"/>
                <w:highlight w:val="none"/>
                <w:lang w:val="en-US" w:eastAsia="zh-CN"/>
              </w:rPr>
              <w:t>2-</w:t>
            </w:r>
            <w:r>
              <w:rPr>
                <w:rFonts w:hint="eastAsia"/>
                <w:b/>
                <w:bCs/>
                <w:color w:val="auto"/>
                <w:sz w:val="24"/>
                <w:highlight w:val="none"/>
              </w:rPr>
              <w:t>3</w:t>
            </w:r>
            <w:r>
              <w:rPr>
                <w:b/>
                <w:bCs/>
                <w:color w:val="auto"/>
                <w:sz w:val="24"/>
                <w:highlight w:val="none"/>
              </w:rPr>
              <w:t xml:space="preserve">      </w:t>
            </w:r>
            <w:r>
              <w:rPr>
                <w:rFonts w:hint="eastAsia"/>
                <w:b/>
                <w:bCs/>
                <w:color w:val="auto"/>
                <w:sz w:val="24"/>
                <w:highlight w:val="none"/>
              </w:rPr>
              <w:t>农用贴片滴灌带</w:t>
            </w:r>
            <w:r>
              <w:rPr>
                <w:b/>
                <w:bCs/>
                <w:color w:val="auto"/>
                <w:sz w:val="24"/>
                <w:highlight w:val="none"/>
              </w:rPr>
              <w:t>生产工艺</w:t>
            </w:r>
            <w:r>
              <w:rPr>
                <w:rFonts w:hint="eastAsia"/>
                <w:b/>
                <w:bCs/>
                <w:color w:val="auto"/>
                <w:sz w:val="24"/>
                <w:highlight w:val="none"/>
                <w:lang w:val="en-US" w:eastAsia="zh-CN"/>
              </w:rPr>
              <w:t>流程</w:t>
            </w:r>
            <w:r>
              <w:rPr>
                <w:rFonts w:hint="eastAsia"/>
                <w:b/>
                <w:bCs/>
                <w:color w:val="auto"/>
                <w:sz w:val="24"/>
                <w:highlight w:val="none"/>
              </w:rPr>
              <w:t>及产污环节图</w:t>
            </w:r>
          </w:p>
          <w:p w14:paraId="37C3AB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 w:val="0"/>
                <w:bCs w:val="0"/>
                <w:color w:val="auto"/>
                <w:sz w:val="24"/>
                <w:highlight w:val="none"/>
              </w:rPr>
            </w:pPr>
            <w:r>
              <w:rPr>
                <w:b w:val="0"/>
                <w:bCs w:val="0"/>
                <w:color w:val="auto"/>
                <w:sz w:val="24"/>
                <w:highlight w:val="none"/>
              </w:rPr>
              <w:t>工艺流程简述：</w:t>
            </w:r>
          </w:p>
          <w:p w14:paraId="292C7C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highlight w:val="none"/>
              </w:rPr>
            </w:pPr>
            <w:r>
              <w:rPr>
                <w:rFonts w:hint="eastAsia"/>
                <w:color w:val="auto"/>
                <w:sz w:val="24"/>
                <w:highlight w:val="none"/>
                <w:lang w:val="en-US" w:eastAsia="zh-CN"/>
              </w:rPr>
              <w:t>①混料</w:t>
            </w:r>
          </w:p>
          <w:p w14:paraId="34CF8F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highlight w:val="none"/>
              </w:rPr>
            </w:pPr>
            <w:r>
              <w:rPr>
                <w:rFonts w:hint="eastAsia"/>
                <w:color w:val="auto"/>
                <w:sz w:val="24"/>
                <w:highlight w:val="none"/>
                <w:lang w:val="en-US" w:eastAsia="zh-CN"/>
              </w:rPr>
              <w:t>将新购买的HDPE（管材级）、LLDPE（挤出级）、LDPE、炭黑母粒及复合抗氧剂、分散剂按照工艺配方精准配比后投入混料机搅拌均匀。</w:t>
            </w:r>
          </w:p>
          <w:p w14:paraId="7C7F8C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snapToGrid/>
                <w:color w:val="auto"/>
                <w:sz w:val="24"/>
                <w:szCs w:val="24"/>
                <w:lang w:eastAsia="zh-CN"/>
              </w:rPr>
            </w:pPr>
            <w:r>
              <w:rPr>
                <w:rFonts w:ascii="Times New Roman" w:hAnsi="Times New Roman"/>
                <w:snapToGrid/>
                <w:color w:val="auto"/>
                <w:sz w:val="24"/>
                <w:szCs w:val="24"/>
                <w:lang w:eastAsia="zh-CN"/>
              </w:rPr>
              <w:t>②挤出成型</w:t>
            </w:r>
          </w:p>
          <w:p w14:paraId="6062B6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highlight w:val="none"/>
              </w:rPr>
            </w:pPr>
            <w:r>
              <w:rPr>
                <w:rFonts w:hint="eastAsia"/>
                <w:color w:val="auto"/>
                <w:sz w:val="24"/>
                <w:highlight w:val="none"/>
                <w:lang w:val="en-US" w:eastAsia="zh-CN"/>
              </w:rPr>
              <w:t>混合料输送至专用单螺杆挤出机，通过分段加热使物料充分熔融塑化，熔融物料经扁平模头连续挤出，形成带状PE基材。</w:t>
            </w:r>
          </w:p>
          <w:p w14:paraId="3EB66478">
            <w:pPr>
              <w:pStyle w:val="11"/>
              <w:keepNext w:val="0"/>
              <w:keepLines w:val="0"/>
              <w:pageBreakBefore w:val="0"/>
              <w:widowControl w:val="0"/>
              <w:shd w:val="clear"/>
              <w:kinsoku/>
              <w:wordWrap/>
              <w:overflowPunct/>
              <w:topLinePunct w:val="0"/>
              <w:autoSpaceDE/>
              <w:autoSpaceDN/>
              <w:bidi w:val="0"/>
              <w:adjustRightInd/>
              <w:snapToGrid/>
              <w:spacing w:before="0" w:after="0" w:line="360" w:lineRule="auto"/>
              <w:ind w:right="0" w:firstLine="480" w:firstLineChars="200"/>
              <w:jc w:val="both"/>
              <w:textAlignment w:val="auto"/>
              <w:rPr>
                <w:rFonts w:hint="eastAsia" w:ascii="Times New Roman" w:hAnsi="Times New Roman"/>
                <w:snapToGrid/>
                <w:color w:val="auto"/>
                <w:sz w:val="24"/>
                <w:szCs w:val="24"/>
                <w:lang w:eastAsia="zh-CN"/>
              </w:rPr>
            </w:pPr>
            <w:r>
              <w:rPr>
                <w:rFonts w:hint="eastAsia" w:ascii="Times New Roman" w:hAnsi="Times New Roman"/>
                <w:snapToGrid/>
                <w:color w:val="auto"/>
                <w:sz w:val="24"/>
                <w:szCs w:val="24"/>
                <w:lang w:eastAsia="zh-CN"/>
              </w:rPr>
              <w:t>与此同时，设备配套的贴片供料系统将注塑成型的迷宫式压力补偿贴片，精准连续地输送至PE基材内侧，在基材尚未完全冷却时，利用热压复合装置将贴片与PE带体牢固粘接为一体。</w:t>
            </w:r>
          </w:p>
          <w:p w14:paraId="2593CDE7">
            <w:pPr>
              <w:pStyle w:val="11"/>
              <w:keepNext w:val="0"/>
              <w:keepLines w:val="0"/>
              <w:pageBreakBefore w:val="0"/>
              <w:widowControl w:val="0"/>
              <w:shd w:val="clear"/>
              <w:kinsoku/>
              <w:wordWrap/>
              <w:overflowPunct/>
              <w:topLinePunct w:val="0"/>
              <w:autoSpaceDE/>
              <w:autoSpaceDN/>
              <w:bidi w:val="0"/>
              <w:adjustRightInd/>
              <w:snapToGrid/>
              <w:spacing w:before="0" w:after="0" w:line="360" w:lineRule="auto"/>
              <w:ind w:right="0" w:firstLine="480" w:firstLineChars="200"/>
              <w:jc w:val="both"/>
              <w:textAlignment w:val="auto"/>
              <w:rPr>
                <w:rFonts w:hint="default" w:eastAsia="宋体"/>
                <w:color w:val="auto"/>
                <w:sz w:val="24"/>
                <w:highlight w:val="none"/>
                <w:lang w:val="en-US" w:eastAsia="zh-CN"/>
              </w:rPr>
            </w:pPr>
            <w:r>
              <w:rPr>
                <w:rFonts w:hint="eastAsia" w:eastAsia="宋体"/>
                <w:color w:val="auto"/>
                <w:sz w:val="24"/>
                <w:highlight w:val="none"/>
                <w:lang w:val="en-US" w:eastAsia="zh-CN"/>
              </w:rPr>
              <w:fldChar w:fldCharType="begin"/>
            </w:r>
            <w:r>
              <w:rPr>
                <w:rFonts w:hint="eastAsia" w:eastAsia="宋体"/>
                <w:color w:val="auto"/>
                <w:sz w:val="24"/>
                <w:highlight w:val="none"/>
                <w:lang w:val="en-US" w:eastAsia="zh-CN"/>
              </w:rPr>
              <w:instrText xml:space="preserve"> = 3 \* GB3 \* MERGEFORMAT </w:instrText>
            </w:r>
            <w:r>
              <w:rPr>
                <w:rFonts w:hint="eastAsia" w:eastAsia="宋体"/>
                <w:color w:val="auto"/>
                <w:sz w:val="24"/>
                <w:highlight w:val="none"/>
                <w:lang w:val="en-US" w:eastAsia="zh-CN"/>
              </w:rPr>
              <w:fldChar w:fldCharType="separate"/>
            </w:r>
            <w:r>
              <w:rPr>
                <w:rFonts w:hint="eastAsia" w:eastAsia="宋体"/>
                <w:color w:val="auto"/>
                <w:sz w:val="24"/>
                <w:highlight w:val="none"/>
                <w:lang w:val="en-US" w:eastAsia="zh-CN"/>
              </w:rPr>
              <w:t>③</w:t>
            </w:r>
            <w:r>
              <w:rPr>
                <w:rFonts w:hint="eastAsia" w:eastAsia="宋体"/>
                <w:color w:val="auto"/>
                <w:sz w:val="24"/>
                <w:highlight w:val="none"/>
                <w:lang w:val="en-US" w:eastAsia="zh-CN"/>
              </w:rPr>
              <w:fldChar w:fldCharType="end"/>
            </w:r>
            <w:r>
              <w:rPr>
                <w:rFonts w:hint="eastAsia" w:eastAsia="宋体"/>
                <w:color w:val="auto"/>
                <w:sz w:val="24"/>
                <w:highlight w:val="none"/>
                <w:lang w:val="en-US" w:eastAsia="zh-CN"/>
              </w:rPr>
              <w:t>冷却定型</w:t>
            </w:r>
          </w:p>
          <w:p w14:paraId="76DDF38E">
            <w:pPr>
              <w:pStyle w:val="11"/>
              <w:keepNext w:val="0"/>
              <w:keepLines w:val="0"/>
              <w:pageBreakBefore w:val="0"/>
              <w:widowControl w:val="0"/>
              <w:shd w:val="clear"/>
              <w:kinsoku/>
              <w:wordWrap/>
              <w:overflowPunct/>
              <w:topLinePunct w:val="0"/>
              <w:autoSpaceDE/>
              <w:autoSpaceDN/>
              <w:bidi w:val="0"/>
              <w:adjustRightInd/>
              <w:snapToGrid/>
              <w:spacing w:before="0" w:after="0" w:line="360" w:lineRule="auto"/>
              <w:ind w:right="0" w:firstLine="480" w:firstLineChars="200"/>
              <w:jc w:val="both"/>
              <w:textAlignment w:val="auto"/>
              <w:rPr>
                <w:rFonts w:hint="eastAsia" w:ascii="Times New Roman" w:hAnsi="Times New Roman"/>
                <w:snapToGrid/>
                <w:color w:val="auto"/>
                <w:sz w:val="24"/>
                <w:szCs w:val="24"/>
                <w:lang w:eastAsia="zh-CN"/>
              </w:rPr>
            </w:pPr>
            <w:r>
              <w:rPr>
                <w:rFonts w:hint="eastAsia" w:ascii="Times New Roman" w:hAnsi="Times New Roman"/>
                <w:snapToGrid/>
                <w:color w:val="auto"/>
                <w:sz w:val="24"/>
                <w:szCs w:val="24"/>
                <w:lang w:eastAsia="zh-CN"/>
              </w:rPr>
              <w:t>复合完成后的带状半成品经冷却</w:t>
            </w:r>
            <w:r>
              <w:rPr>
                <w:rFonts w:hint="eastAsia"/>
                <w:snapToGrid/>
                <w:color w:val="auto"/>
                <w:sz w:val="24"/>
                <w:szCs w:val="24"/>
                <w:lang w:val="en-US" w:eastAsia="zh-CN"/>
              </w:rPr>
              <w:t>塔</w:t>
            </w:r>
            <w:r>
              <w:rPr>
                <w:rFonts w:hint="eastAsia" w:ascii="Times New Roman" w:hAnsi="Times New Roman"/>
                <w:snapToGrid/>
                <w:color w:val="auto"/>
                <w:sz w:val="24"/>
                <w:szCs w:val="24"/>
                <w:lang w:eastAsia="zh-CN"/>
              </w:rPr>
              <w:t>快速降温定型，再通过高精度数控打孔机构，按照设计间距在贴片对应位置开设出水微孔，严格控制孔径与孔距精度。</w:t>
            </w:r>
          </w:p>
          <w:p w14:paraId="0F114413">
            <w:pPr>
              <w:pStyle w:val="11"/>
              <w:keepNext w:val="0"/>
              <w:keepLines w:val="0"/>
              <w:pageBreakBefore w:val="0"/>
              <w:widowControl w:val="0"/>
              <w:shd w:val="clear"/>
              <w:kinsoku/>
              <w:wordWrap/>
              <w:overflowPunct/>
              <w:topLinePunct w:val="0"/>
              <w:autoSpaceDE/>
              <w:autoSpaceDN/>
              <w:bidi w:val="0"/>
              <w:adjustRightInd/>
              <w:snapToGrid/>
              <w:spacing w:before="0" w:after="0" w:line="360" w:lineRule="auto"/>
              <w:ind w:right="0" w:firstLine="480" w:firstLineChars="200"/>
              <w:jc w:val="both"/>
              <w:textAlignment w:val="auto"/>
              <w:rPr>
                <w:rFonts w:hint="eastAsia" w:eastAsia="宋体"/>
                <w:color w:val="auto"/>
                <w:sz w:val="24"/>
                <w:highlight w:val="none"/>
                <w:lang w:val="en-US" w:eastAsia="zh-CN"/>
              </w:rPr>
            </w:pPr>
            <w:r>
              <w:rPr>
                <w:rFonts w:hint="eastAsia" w:eastAsia="宋体"/>
                <w:color w:val="auto"/>
                <w:sz w:val="24"/>
                <w:highlight w:val="none"/>
                <w:lang w:val="en-US" w:eastAsia="zh-CN"/>
              </w:rPr>
              <w:fldChar w:fldCharType="begin"/>
            </w:r>
            <w:r>
              <w:rPr>
                <w:rFonts w:hint="eastAsia" w:eastAsia="宋体"/>
                <w:color w:val="auto"/>
                <w:sz w:val="24"/>
                <w:highlight w:val="none"/>
                <w:lang w:val="en-US" w:eastAsia="zh-CN"/>
              </w:rPr>
              <w:instrText xml:space="preserve"> = 4 \* GB3 \* MERGEFORMAT </w:instrText>
            </w:r>
            <w:r>
              <w:rPr>
                <w:rFonts w:hint="eastAsia" w:eastAsia="宋体"/>
                <w:color w:val="auto"/>
                <w:sz w:val="24"/>
                <w:highlight w:val="none"/>
                <w:lang w:val="en-US" w:eastAsia="zh-CN"/>
              </w:rPr>
              <w:fldChar w:fldCharType="separate"/>
            </w:r>
            <w:r>
              <w:rPr>
                <w:rFonts w:hint="eastAsia" w:eastAsia="宋体"/>
                <w:color w:val="auto"/>
                <w:sz w:val="24"/>
                <w:highlight w:val="none"/>
                <w:lang w:val="en-US" w:eastAsia="zh-CN"/>
              </w:rPr>
              <w:t>④</w:t>
            </w:r>
            <w:r>
              <w:rPr>
                <w:rFonts w:hint="eastAsia" w:eastAsia="宋体"/>
                <w:color w:val="auto"/>
                <w:sz w:val="24"/>
                <w:highlight w:val="none"/>
                <w:lang w:val="en-US" w:eastAsia="zh-CN"/>
              </w:rPr>
              <w:fldChar w:fldCharType="end"/>
            </w:r>
            <w:r>
              <w:rPr>
                <w:rFonts w:hint="eastAsia" w:eastAsia="宋体"/>
                <w:color w:val="auto"/>
                <w:sz w:val="24"/>
                <w:highlight w:val="none"/>
                <w:lang w:val="en-US" w:eastAsia="zh-CN"/>
              </w:rPr>
              <w:t>测压</w:t>
            </w:r>
          </w:p>
          <w:p w14:paraId="7FCF50AC">
            <w:pPr>
              <w:pStyle w:val="11"/>
              <w:keepNext w:val="0"/>
              <w:keepLines w:val="0"/>
              <w:pageBreakBefore w:val="0"/>
              <w:widowControl w:val="0"/>
              <w:shd w:val="clear"/>
              <w:kinsoku/>
              <w:wordWrap/>
              <w:overflowPunct/>
              <w:topLinePunct w:val="0"/>
              <w:autoSpaceDE/>
              <w:autoSpaceDN/>
              <w:bidi w:val="0"/>
              <w:adjustRightInd/>
              <w:snapToGrid/>
              <w:spacing w:before="0" w:after="0" w:line="360" w:lineRule="auto"/>
              <w:ind w:right="0" w:firstLine="480" w:firstLineChars="200"/>
              <w:jc w:val="both"/>
              <w:textAlignment w:val="auto"/>
              <w:rPr>
                <w:rFonts w:hint="eastAsia" w:ascii="Times New Roman" w:hAnsi="Times New Roman"/>
                <w:snapToGrid/>
                <w:color w:val="auto"/>
                <w:sz w:val="24"/>
                <w:szCs w:val="24"/>
                <w:lang w:eastAsia="zh-CN"/>
              </w:rPr>
            </w:pPr>
            <w:r>
              <w:rPr>
                <w:rFonts w:hint="eastAsia" w:ascii="Times New Roman" w:hAnsi="Times New Roman"/>
                <w:snapToGrid/>
                <w:color w:val="auto"/>
                <w:sz w:val="24"/>
                <w:szCs w:val="24"/>
                <w:lang w:eastAsia="zh-CN"/>
              </w:rPr>
              <w:t>成型后的滴灌带经牵引机组匀速输送，在线开展压力试水、外观及出水性能检测，排查漏孔、脱片、开裂等缺陷。合格产品按照规定长度自动卷绕成盘，粘贴产品标签，外包装封装后入库；不合格品统一收集回收，回用于生产。</w:t>
            </w:r>
          </w:p>
          <w:p w14:paraId="10F857EB">
            <w:pPr>
              <w:spacing w:line="480" w:lineRule="exact"/>
              <w:rPr>
                <w:rFonts w:hAnsiTheme="minorEastAsia" w:eastAsiaTheme="minorEastAsia"/>
                <w:b/>
                <w:color w:val="auto"/>
                <w:sz w:val="24"/>
                <w:highlight w:val="none"/>
              </w:rPr>
            </w:pPr>
            <w:r>
              <w:rPr>
                <w:rFonts w:hint="eastAsia" w:hAnsiTheme="minorEastAsia" w:eastAsiaTheme="minorEastAsia"/>
                <w:b/>
                <w:color w:val="auto"/>
                <w:sz w:val="24"/>
                <w:highlight w:val="none"/>
              </w:rPr>
              <w:t>2.2 运营期主要污染工序：</w:t>
            </w:r>
          </w:p>
          <w:p w14:paraId="6D9A8E06">
            <w:pPr>
              <w:spacing w:line="480" w:lineRule="exact"/>
              <w:ind w:firstLine="480" w:firstLineChars="200"/>
              <w:rPr>
                <w:rFonts w:eastAsiaTheme="minorEastAsia"/>
                <w:color w:val="auto"/>
                <w:sz w:val="24"/>
                <w:highlight w:val="none"/>
              </w:rPr>
            </w:pPr>
            <w:r>
              <w:rPr>
                <w:rFonts w:hAnsiTheme="minorEastAsia" w:eastAsiaTheme="minorEastAsia"/>
                <w:color w:val="auto"/>
                <w:sz w:val="24"/>
                <w:highlight w:val="none"/>
              </w:rPr>
              <w:t>本项目主要污染物产生环节汇总见表</w:t>
            </w:r>
            <w:r>
              <w:rPr>
                <w:rFonts w:hint="eastAsia" w:eastAsiaTheme="minorEastAsia"/>
                <w:color w:val="auto"/>
                <w:sz w:val="24"/>
                <w:highlight w:val="none"/>
                <w:lang w:val="en-US" w:eastAsia="zh-CN"/>
              </w:rPr>
              <w:t>2-10</w:t>
            </w:r>
            <w:r>
              <w:rPr>
                <w:rFonts w:hAnsiTheme="minorEastAsia" w:eastAsiaTheme="minorEastAsia"/>
                <w:color w:val="auto"/>
                <w:sz w:val="24"/>
                <w:highlight w:val="none"/>
              </w:rPr>
              <w:t>。</w:t>
            </w:r>
          </w:p>
          <w:p w14:paraId="606AA316">
            <w:pPr>
              <w:widowControl/>
              <w:spacing w:line="480" w:lineRule="exact"/>
              <w:jc w:val="center"/>
              <w:rPr>
                <w:rFonts w:eastAsiaTheme="minorEastAsia"/>
                <w:b/>
                <w:color w:val="auto"/>
                <w:kern w:val="0"/>
                <w:szCs w:val="21"/>
                <w:highlight w:val="none"/>
              </w:rPr>
            </w:pPr>
            <w:r>
              <w:rPr>
                <w:rFonts w:hAnsiTheme="minorEastAsia" w:eastAsiaTheme="minorEastAsia"/>
                <w:b/>
                <w:color w:val="auto"/>
                <w:kern w:val="0"/>
                <w:szCs w:val="21"/>
                <w:highlight w:val="none"/>
              </w:rPr>
              <w:t>表</w:t>
            </w:r>
            <w:r>
              <w:rPr>
                <w:rFonts w:hint="eastAsia" w:eastAsiaTheme="minorEastAsia"/>
                <w:b/>
                <w:bCs/>
                <w:color w:val="auto"/>
                <w:kern w:val="0"/>
                <w:szCs w:val="21"/>
                <w:highlight w:val="none"/>
                <w:lang w:val="en-US" w:eastAsia="zh-CN"/>
              </w:rPr>
              <w:t>2-10</w:t>
            </w:r>
            <w:r>
              <w:rPr>
                <w:b/>
                <w:bCs/>
                <w:color w:val="auto"/>
                <w:szCs w:val="21"/>
                <w:highlight w:val="none"/>
              </w:rPr>
              <w:t xml:space="preserve">        </w:t>
            </w:r>
            <w:r>
              <w:rPr>
                <w:rFonts w:hAnsiTheme="minorEastAsia" w:eastAsiaTheme="minorEastAsia"/>
                <w:b/>
                <w:color w:val="auto"/>
                <w:kern w:val="0"/>
                <w:szCs w:val="21"/>
                <w:highlight w:val="none"/>
              </w:rPr>
              <w:t>本项目主要污染物产生环节一览表</w:t>
            </w:r>
          </w:p>
          <w:tbl>
            <w:tblPr>
              <w:tblStyle w:val="34"/>
              <w:tblW w:w="498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9"/>
              <w:gridCol w:w="1695"/>
              <w:gridCol w:w="2990"/>
              <w:gridCol w:w="2826"/>
            </w:tblGrid>
            <w:tr w14:paraId="15B16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exact"/>
                <w:jc w:val="center"/>
              </w:trPr>
              <w:tc>
                <w:tcPr>
                  <w:tcW w:w="513" w:type="pct"/>
                  <w:vAlign w:val="center"/>
                </w:tcPr>
                <w:p w14:paraId="5E944000">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排放源</w:t>
                  </w:r>
                </w:p>
              </w:tc>
              <w:tc>
                <w:tcPr>
                  <w:tcW w:w="1012" w:type="pct"/>
                  <w:vAlign w:val="center"/>
                </w:tcPr>
                <w:p w14:paraId="662A9F5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w:t>
                  </w:r>
                </w:p>
              </w:tc>
              <w:tc>
                <w:tcPr>
                  <w:tcW w:w="1786" w:type="pct"/>
                  <w:vAlign w:val="center"/>
                </w:tcPr>
                <w:p w14:paraId="6E2EA01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污染工序</w:t>
                  </w:r>
                </w:p>
              </w:tc>
              <w:tc>
                <w:tcPr>
                  <w:tcW w:w="1688" w:type="pct"/>
                  <w:vAlign w:val="center"/>
                </w:tcPr>
                <w:p w14:paraId="069FE9F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污染因子</w:t>
                  </w:r>
                </w:p>
              </w:tc>
            </w:tr>
            <w:tr w14:paraId="40F5B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8" w:hRule="exact"/>
                <w:jc w:val="center"/>
              </w:trPr>
              <w:tc>
                <w:tcPr>
                  <w:tcW w:w="513" w:type="pct"/>
                  <w:vMerge w:val="restart"/>
                  <w:vAlign w:val="center"/>
                </w:tcPr>
                <w:p w14:paraId="2F40B2B1">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1012" w:type="pct"/>
                  <w:vAlign w:val="center"/>
                </w:tcPr>
                <w:p w14:paraId="3AC3E7F7">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有机废气</w:t>
                  </w:r>
                </w:p>
              </w:tc>
              <w:tc>
                <w:tcPr>
                  <w:tcW w:w="1786" w:type="pct"/>
                  <w:vAlign w:val="center"/>
                </w:tcPr>
                <w:p w14:paraId="6B08D9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挤出熔融、吹胀，挤出成型，印刷</w:t>
                  </w:r>
                </w:p>
              </w:tc>
              <w:tc>
                <w:tcPr>
                  <w:tcW w:w="1688" w:type="pct"/>
                  <w:vAlign w:val="center"/>
                </w:tcPr>
                <w:p w14:paraId="17290671">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非甲烷总烃</w:t>
                  </w:r>
                </w:p>
              </w:tc>
            </w:tr>
            <w:tr w14:paraId="01154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exact"/>
                <w:jc w:val="center"/>
              </w:trPr>
              <w:tc>
                <w:tcPr>
                  <w:tcW w:w="513" w:type="pct"/>
                  <w:vMerge w:val="continue"/>
                  <w:vAlign w:val="center"/>
                </w:tcPr>
                <w:p w14:paraId="3C87FD8F">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1012" w:type="pct"/>
                  <w:vAlign w:val="center"/>
                </w:tcPr>
                <w:p w14:paraId="0FC1CF1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粉尘</w:t>
                  </w:r>
                </w:p>
              </w:tc>
              <w:tc>
                <w:tcPr>
                  <w:tcW w:w="1786" w:type="pct"/>
                  <w:vAlign w:val="center"/>
                </w:tcPr>
                <w:p w14:paraId="0A109ED5">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混料</w:t>
                  </w:r>
                </w:p>
              </w:tc>
              <w:tc>
                <w:tcPr>
                  <w:tcW w:w="1688" w:type="pct"/>
                  <w:vAlign w:val="center"/>
                </w:tcPr>
                <w:p w14:paraId="06437BF1">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TSP</w:t>
                  </w:r>
                </w:p>
              </w:tc>
            </w:tr>
            <w:tr w14:paraId="49661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exact"/>
                <w:jc w:val="center"/>
              </w:trPr>
              <w:tc>
                <w:tcPr>
                  <w:tcW w:w="513" w:type="pct"/>
                  <w:vMerge w:val="restart"/>
                  <w:vAlign w:val="center"/>
                </w:tcPr>
                <w:p w14:paraId="705161E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1012" w:type="pct"/>
                  <w:vAlign w:val="center"/>
                </w:tcPr>
                <w:p w14:paraId="32D6D147">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p>
              </w:tc>
              <w:tc>
                <w:tcPr>
                  <w:tcW w:w="1786" w:type="pct"/>
                  <w:vAlign w:val="center"/>
                </w:tcPr>
                <w:p w14:paraId="4D221D3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办公、生活过程</w:t>
                  </w:r>
                </w:p>
              </w:tc>
              <w:tc>
                <w:tcPr>
                  <w:tcW w:w="1688" w:type="pct"/>
                  <w:vAlign w:val="center"/>
                </w:tcPr>
                <w:p w14:paraId="465D82C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SS、COD</w:t>
                  </w:r>
                  <w:r>
                    <w:rPr>
                      <w:rFonts w:hint="default" w:ascii="Times New Roman" w:hAnsi="Times New Roman" w:eastAsia="宋体" w:cs="Times New Roman"/>
                      <w:color w:val="auto"/>
                      <w:sz w:val="21"/>
                      <w:szCs w:val="21"/>
                      <w:highlight w:val="none"/>
                      <w:vertAlign w:val="subscript"/>
                    </w:rPr>
                    <w:t>Cr</w:t>
                  </w:r>
                  <w:r>
                    <w:rPr>
                      <w:rFonts w:hint="default" w:ascii="Times New Roman" w:hAnsi="Times New Roman" w:eastAsia="宋体" w:cs="Times New Roman"/>
                      <w:color w:val="auto"/>
                      <w:sz w:val="21"/>
                      <w:szCs w:val="21"/>
                      <w:highlight w:val="none"/>
                    </w:rPr>
                    <w:t>、BOD</w:t>
                  </w:r>
                  <w:r>
                    <w:rPr>
                      <w:rFonts w:hint="default" w:ascii="Times New Roman" w:hAnsi="Times New Roman" w:eastAsia="宋体" w:cs="Times New Roman"/>
                      <w:color w:val="auto"/>
                      <w:sz w:val="21"/>
                      <w:szCs w:val="21"/>
                      <w:highlight w:val="none"/>
                      <w:vertAlign w:val="subscript"/>
                    </w:rPr>
                    <w:t>5</w:t>
                  </w: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w:t>
                  </w:r>
                </w:p>
              </w:tc>
            </w:tr>
            <w:tr w14:paraId="48809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exact"/>
                <w:jc w:val="center"/>
              </w:trPr>
              <w:tc>
                <w:tcPr>
                  <w:tcW w:w="513" w:type="pct"/>
                  <w:vMerge w:val="continue"/>
                  <w:vAlign w:val="center"/>
                </w:tcPr>
                <w:p w14:paraId="2B6A373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1012" w:type="pct"/>
                  <w:vAlign w:val="center"/>
                </w:tcPr>
                <w:p w14:paraId="689ACCD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生产用水</w:t>
                  </w:r>
                </w:p>
              </w:tc>
              <w:tc>
                <w:tcPr>
                  <w:tcW w:w="1786" w:type="pct"/>
                  <w:vAlign w:val="center"/>
                </w:tcPr>
                <w:p w14:paraId="4997F87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冷却</w:t>
                  </w:r>
                </w:p>
              </w:tc>
              <w:tc>
                <w:tcPr>
                  <w:tcW w:w="1688" w:type="pct"/>
                  <w:vAlign w:val="center"/>
                </w:tcPr>
                <w:p w14:paraId="714C6738">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不外排</w:t>
                  </w:r>
                </w:p>
              </w:tc>
            </w:tr>
            <w:tr w14:paraId="694F4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exact"/>
                <w:jc w:val="center"/>
              </w:trPr>
              <w:tc>
                <w:tcPr>
                  <w:tcW w:w="513" w:type="pct"/>
                  <w:vAlign w:val="center"/>
                </w:tcPr>
                <w:p w14:paraId="6347A10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1012" w:type="pct"/>
                  <w:vAlign w:val="center"/>
                </w:tcPr>
                <w:p w14:paraId="0BA5338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设备噪声</w:t>
                  </w:r>
                </w:p>
              </w:tc>
              <w:tc>
                <w:tcPr>
                  <w:tcW w:w="1786" w:type="pct"/>
                  <w:vAlign w:val="center"/>
                </w:tcPr>
                <w:p w14:paraId="4CC70AF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生产工序</w:t>
                  </w:r>
                </w:p>
              </w:tc>
              <w:tc>
                <w:tcPr>
                  <w:tcW w:w="1688" w:type="pct"/>
                  <w:vAlign w:val="center"/>
                </w:tcPr>
                <w:p w14:paraId="06FB279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设备运转噪声</w:t>
                  </w:r>
                </w:p>
              </w:tc>
            </w:tr>
            <w:tr w14:paraId="2433E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exact"/>
                <w:jc w:val="center"/>
              </w:trPr>
              <w:tc>
                <w:tcPr>
                  <w:tcW w:w="513" w:type="pct"/>
                  <w:vMerge w:val="restart"/>
                  <w:vAlign w:val="center"/>
                </w:tcPr>
                <w:p w14:paraId="48AA106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固废</w:t>
                  </w:r>
                </w:p>
              </w:tc>
              <w:tc>
                <w:tcPr>
                  <w:tcW w:w="1012" w:type="pct"/>
                  <w:vAlign w:val="center"/>
                </w:tcPr>
                <w:p w14:paraId="514F27B9">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原料废包装</w:t>
                  </w:r>
                </w:p>
              </w:tc>
              <w:tc>
                <w:tcPr>
                  <w:tcW w:w="1786" w:type="pct"/>
                  <w:vAlign w:val="center"/>
                </w:tcPr>
                <w:p w14:paraId="7B63446D">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混料拆包</w:t>
                  </w:r>
                </w:p>
              </w:tc>
              <w:tc>
                <w:tcPr>
                  <w:tcW w:w="1688" w:type="pct"/>
                  <w:vAlign w:val="center"/>
                </w:tcPr>
                <w:p w14:paraId="4C4406A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原料废包装</w:t>
                  </w:r>
                </w:p>
              </w:tc>
            </w:tr>
            <w:tr w14:paraId="41CC5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exact"/>
                <w:jc w:val="center"/>
              </w:trPr>
              <w:tc>
                <w:tcPr>
                  <w:tcW w:w="513" w:type="pct"/>
                  <w:vMerge w:val="continue"/>
                  <w:vAlign w:val="center"/>
                </w:tcPr>
                <w:p w14:paraId="0E39C253">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1012" w:type="pct"/>
                  <w:vAlign w:val="center"/>
                </w:tcPr>
                <w:p w14:paraId="2D1DF24A">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边角料及残次品</w:t>
                  </w:r>
                </w:p>
              </w:tc>
              <w:tc>
                <w:tcPr>
                  <w:tcW w:w="1786" w:type="pct"/>
                  <w:vAlign w:val="center"/>
                </w:tcPr>
                <w:p w14:paraId="119442F4">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检验</w:t>
                  </w:r>
                  <w:r>
                    <w:rPr>
                      <w:rFonts w:hint="default" w:ascii="Times New Roman" w:hAnsi="Times New Roman" w:eastAsia="宋体" w:cs="Times New Roman"/>
                      <w:bCs/>
                      <w:color w:val="auto"/>
                      <w:sz w:val="21"/>
                      <w:szCs w:val="21"/>
                      <w:highlight w:val="none"/>
                    </w:rPr>
                    <w:t>、</w:t>
                  </w:r>
                  <w:r>
                    <w:rPr>
                      <w:rFonts w:hint="eastAsia" w:cs="Times New Roman"/>
                      <w:bCs/>
                      <w:color w:val="auto"/>
                      <w:sz w:val="21"/>
                      <w:szCs w:val="21"/>
                      <w:highlight w:val="none"/>
                      <w:lang w:val="en-US" w:eastAsia="zh-CN"/>
                    </w:rPr>
                    <w:t>制袋</w:t>
                  </w:r>
                </w:p>
              </w:tc>
              <w:tc>
                <w:tcPr>
                  <w:tcW w:w="1688" w:type="pct"/>
                  <w:vAlign w:val="center"/>
                </w:tcPr>
                <w:p w14:paraId="62A00F8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边角料及残次品</w:t>
                  </w:r>
                </w:p>
              </w:tc>
            </w:tr>
            <w:tr w14:paraId="19059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exact"/>
                <w:jc w:val="center"/>
              </w:trPr>
              <w:tc>
                <w:tcPr>
                  <w:tcW w:w="513" w:type="pct"/>
                  <w:vMerge w:val="continue"/>
                  <w:vAlign w:val="center"/>
                </w:tcPr>
                <w:p w14:paraId="0097F91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1012" w:type="pct"/>
                  <w:vAlign w:val="center"/>
                </w:tcPr>
                <w:p w14:paraId="22F5E5DC">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生活垃圾</w:t>
                  </w:r>
                </w:p>
              </w:tc>
              <w:tc>
                <w:tcPr>
                  <w:tcW w:w="1786" w:type="pct"/>
                  <w:vAlign w:val="center"/>
                </w:tcPr>
                <w:p w14:paraId="23F111F0">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员工生活</w:t>
                  </w:r>
                </w:p>
              </w:tc>
              <w:tc>
                <w:tcPr>
                  <w:tcW w:w="1688" w:type="pct"/>
                  <w:vAlign w:val="center"/>
                </w:tcPr>
                <w:p w14:paraId="5094FBFD">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塑料、纸等</w:t>
                  </w:r>
                </w:p>
              </w:tc>
            </w:tr>
            <w:tr w14:paraId="2CFD40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exact"/>
                <w:jc w:val="center"/>
              </w:trPr>
              <w:tc>
                <w:tcPr>
                  <w:tcW w:w="513" w:type="pct"/>
                  <w:vMerge w:val="continue"/>
                  <w:vAlign w:val="center"/>
                </w:tcPr>
                <w:p w14:paraId="1B43AD95">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1012" w:type="pct"/>
                  <w:vAlign w:val="center"/>
                </w:tcPr>
                <w:p w14:paraId="0195901D">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废活性炭</w:t>
                  </w:r>
                </w:p>
              </w:tc>
              <w:tc>
                <w:tcPr>
                  <w:tcW w:w="1786" w:type="pct"/>
                  <w:vAlign w:val="center"/>
                </w:tcPr>
                <w:p w14:paraId="5589D46B">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lang w:eastAsia="zh-CN"/>
                    </w:rPr>
                    <w:t>废气处置</w:t>
                  </w:r>
                </w:p>
              </w:tc>
              <w:tc>
                <w:tcPr>
                  <w:tcW w:w="1688" w:type="pct"/>
                  <w:vAlign w:val="center"/>
                </w:tcPr>
                <w:p w14:paraId="5B5CB621">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废活性炭</w:t>
                  </w:r>
                </w:p>
              </w:tc>
            </w:tr>
            <w:tr w14:paraId="00EAC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exact"/>
                <w:jc w:val="center"/>
              </w:trPr>
              <w:tc>
                <w:tcPr>
                  <w:tcW w:w="513" w:type="pct"/>
                  <w:vMerge w:val="continue"/>
                  <w:vAlign w:val="center"/>
                </w:tcPr>
                <w:p w14:paraId="7B180876">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1012" w:type="pct"/>
                  <w:vAlign w:val="center"/>
                </w:tcPr>
                <w:p w14:paraId="77204145">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lang w:eastAsia="zh-CN"/>
                    </w:rPr>
                    <w:t>废催化剂</w:t>
                  </w:r>
                </w:p>
              </w:tc>
              <w:tc>
                <w:tcPr>
                  <w:tcW w:w="1786" w:type="pct"/>
                  <w:vAlign w:val="center"/>
                </w:tcPr>
                <w:p w14:paraId="5A545ECE">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eastAsia="zh-CN"/>
                    </w:rPr>
                    <w:t>废气处置</w:t>
                  </w:r>
                </w:p>
              </w:tc>
              <w:tc>
                <w:tcPr>
                  <w:tcW w:w="1688" w:type="pct"/>
                  <w:vAlign w:val="center"/>
                </w:tcPr>
                <w:p w14:paraId="656ECBE4">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eastAsia="zh-CN"/>
                    </w:rPr>
                    <w:t>废催化剂</w:t>
                  </w:r>
                </w:p>
              </w:tc>
            </w:tr>
            <w:tr w14:paraId="3E6F4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exact"/>
                <w:jc w:val="center"/>
              </w:trPr>
              <w:tc>
                <w:tcPr>
                  <w:tcW w:w="513" w:type="pct"/>
                  <w:vMerge w:val="continue"/>
                  <w:vAlign w:val="center"/>
                </w:tcPr>
                <w:p w14:paraId="305DB2B1">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1012" w:type="pct"/>
                  <w:vAlign w:val="center"/>
                </w:tcPr>
                <w:p w14:paraId="45FA1492">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eastAsia"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rPr>
                    <w:t>废</w:t>
                  </w:r>
                  <w:r>
                    <w:rPr>
                      <w:rFonts w:hint="eastAsia" w:cs="Times New Roman"/>
                      <w:bCs/>
                      <w:color w:val="auto"/>
                      <w:sz w:val="21"/>
                      <w:szCs w:val="21"/>
                      <w:highlight w:val="none"/>
                      <w:lang w:val="en-US" w:eastAsia="zh-CN"/>
                    </w:rPr>
                    <w:t>布袋</w:t>
                  </w:r>
                </w:p>
              </w:tc>
              <w:tc>
                <w:tcPr>
                  <w:tcW w:w="1786" w:type="pct"/>
                  <w:vAlign w:val="center"/>
                </w:tcPr>
                <w:p w14:paraId="443B993A">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eastAsia="zh-CN"/>
                    </w:rPr>
                    <w:t>废气处置</w:t>
                  </w:r>
                </w:p>
              </w:tc>
              <w:tc>
                <w:tcPr>
                  <w:tcW w:w="1688" w:type="pct"/>
                  <w:vAlign w:val="center"/>
                </w:tcPr>
                <w:p w14:paraId="2B864FB4">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废</w:t>
                  </w:r>
                  <w:r>
                    <w:rPr>
                      <w:rFonts w:hint="eastAsia" w:cs="Times New Roman"/>
                      <w:bCs/>
                      <w:color w:val="auto"/>
                      <w:sz w:val="21"/>
                      <w:szCs w:val="21"/>
                      <w:highlight w:val="none"/>
                      <w:lang w:val="en-US" w:eastAsia="zh-CN"/>
                    </w:rPr>
                    <w:t>布袋</w:t>
                  </w:r>
                </w:p>
              </w:tc>
            </w:tr>
            <w:tr w14:paraId="75547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exact"/>
                <w:jc w:val="center"/>
              </w:trPr>
              <w:tc>
                <w:tcPr>
                  <w:tcW w:w="513" w:type="pct"/>
                  <w:vMerge w:val="continue"/>
                  <w:vAlign w:val="center"/>
                </w:tcPr>
                <w:p w14:paraId="3EDA8F13">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1012" w:type="pct"/>
                  <w:shd w:val="clear" w:color="auto" w:fill="auto"/>
                  <w:vAlign w:val="center"/>
                </w:tcPr>
                <w:p w14:paraId="1E4D2641">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废机油</w:t>
                  </w:r>
                </w:p>
              </w:tc>
              <w:tc>
                <w:tcPr>
                  <w:tcW w:w="1786" w:type="pct"/>
                  <w:shd w:val="clear" w:color="auto" w:fill="auto"/>
                  <w:vAlign w:val="center"/>
                </w:tcPr>
                <w:p w14:paraId="0829AF94">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生产设备更换</w:t>
                  </w:r>
                </w:p>
              </w:tc>
              <w:tc>
                <w:tcPr>
                  <w:tcW w:w="1688" w:type="pct"/>
                  <w:shd w:val="clear" w:color="auto" w:fill="auto"/>
                  <w:vAlign w:val="center"/>
                </w:tcPr>
                <w:p w14:paraId="1C8F6DC5">
                  <w:pPr>
                    <w:pStyle w:val="33"/>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废机油</w:t>
                  </w:r>
                </w:p>
              </w:tc>
            </w:tr>
          </w:tbl>
          <w:p w14:paraId="55FF9E17">
            <w:pPr>
              <w:spacing w:line="500" w:lineRule="exact"/>
              <w:jc w:val="left"/>
              <w:rPr>
                <w:rFonts w:eastAsiaTheme="minorEastAsia"/>
                <w:bCs/>
                <w:color w:val="auto"/>
                <w:szCs w:val="21"/>
                <w:highlight w:val="none"/>
              </w:rPr>
            </w:pPr>
          </w:p>
        </w:tc>
      </w:tr>
      <w:tr w14:paraId="23B9E3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05" w:hRule="atLeast"/>
          <w:jc w:val="center"/>
        </w:trPr>
        <w:tc>
          <w:tcPr>
            <w:tcW w:w="438" w:type="dxa"/>
            <w:vAlign w:val="center"/>
          </w:tcPr>
          <w:p w14:paraId="6F349599">
            <w:pPr>
              <w:pStyle w:val="29"/>
              <w:adjustRightInd w:val="0"/>
              <w:snapToGrid w:val="0"/>
              <w:spacing w:before="0" w:beforeAutospacing="0" w:after="0" w:afterAutospacing="0"/>
              <w:jc w:val="center"/>
              <w:rPr>
                <w:rFonts w:ascii="Times New Roman" w:hAnsi="Times New Roman" w:eastAsiaTheme="minorEastAsia"/>
                <w:color w:val="auto"/>
                <w:szCs w:val="24"/>
                <w:highlight w:val="none"/>
              </w:rPr>
            </w:pPr>
            <w:r>
              <w:rPr>
                <w:rFonts w:ascii="Times New Roman" w:hAnsiTheme="minorEastAsia" w:eastAsiaTheme="minorEastAsia"/>
                <w:bCs/>
                <w:color w:val="auto"/>
                <w:kern w:val="2"/>
                <w:szCs w:val="24"/>
                <w:highlight w:val="none"/>
              </w:rPr>
              <w:t>与项目有关的原有环境污染问题</w:t>
            </w:r>
          </w:p>
        </w:tc>
        <w:tc>
          <w:tcPr>
            <w:tcW w:w="8622" w:type="dxa"/>
            <w:vAlign w:val="center"/>
          </w:tcPr>
          <w:p w14:paraId="2E64D4A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本项目为新建，租赁已建的工业厂房简单装修后进行生产，没有与项目有关的原有环境污染问题。</w:t>
            </w:r>
          </w:p>
          <w:p w14:paraId="5F80A4C7">
            <w:pPr>
              <w:spacing w:line="500" w:lineRule="exact"/>
              <w:ind w:firstLine="480" w:firstLineChars="200"/>
              <w:rPr>
                <w:rFonts w:hAnsiTheme="minorEastAsia" w:eastAsiaTheme="minorEastAsia"/>
                <w:color w:val="auto"/>
                <w:sz w:val="24"/>
                <w:highlight w:val="none"/>
              </w:rPr>
            </w:pPr>
          </w:p>
        </w:tc>
      </w:tr>
    </w:tbl>
    <w:p w14:paraId="5A5D4342">
      <w:pPr>
        <w:pStyle w:val="29"/>
        <w:jc w:val="both"/>
        <w:rPr>
          <w:rFonts w:ascii="黑体" w:hAnsi="黑体" w:eastAsia="黑体"/>
          <w:snapToGrid w:val="0"/>
          <w:color w:val="auto"/>
          <w:sz w:val="36"/>
          <w:szCs w:val="36"/>
          <w:highlight w:val="none"/>
        </w:rPr>
        <w:sectPr>
          <w:pgSz w:w="11906" w:h="16838"/>
          <w:pgMar w:top="1701" w:right="1531" w:bottom="1701" w:left="1531" w:header="851" w:footer="851" w:gutter="0"/>
          <w:pgNumType w:fmt="decimal"/>
          <w:cols w:space="720" w:num="1"/>
          <w:docGrid w:linePitch="312" w:charSpace="0"/>
        </w:sectPr>
      </w:pPr>
    </w:p>
    <w:p w14:paraId="625D3697">
      <w:pPr>
        <w:pStyle w:val="29"/>
        <w:jc w:val="center"/>
        <w:outlineLvl w:val="0"/>
        <w:rPr>
          <w:rFonts w:ascii="黑体" w:hAnsi="黑体" w:eastAsia="黑体"/>
          <w:snapToGrid w:val="0"/>
          <w:color w:val="auto"/>
          <w:sz w:val="30"/>
          <w:szCs w:val="30"/>
          <w:highlight w:val="none"/>
        </w:rPr>
      </w:pPr>
      <w:bookmarkStart w:id="10" w:name="_Toc13746"/>
      <w:r>
        <w:rPr>
          <w:rFonts w:hint="eastAsia" w:ascii="黑体" w:hAnsi="黑体" w:eastAsia="黑体"/>
          <w:snapToGrid w:val="0"/>
          <w:color w:val="auto"/>
          <w:sz w:val="30"/>
          <w:szCs w:val="30"/>
          <w:highlight w:val="none"/>
        </w:rPr>
        <w:t>三、区域环境质量现状、环境保护目标及评价标准</w:t>
      </w:r>
      <w:bookmarkEnd w:id="10"/>
    </w:p>
    <w:tbl>
      <w:tblPr>
        <w:tblStyle w:val="34"/>
        <w:tblpPr w:leftFromText="180" w:rightFromText="180" w:vertAnchor="text" w:tblpXSpec="center" w:tblpY="1"/>
        <w:tblOverlap w:val="never"/>
        <w:tblW w:w="9079"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629"/>
      </w:tblGrid>
      <w:tr w14:paraId="26227D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455" w:type="dxa"/>
            <w:vAlign w:val="center"/>
          </w:tcPr>
          <w:p w14:paraId="29F8FC35">
            <w:pPr>
              <w:adjustRightInd w:val="0"/>
              <w:snapToGrid w:val="0"/>
              <w:jc w:val="center"/>
              <w:rPr>
                <w:rFonts w:eastAsiaTheme="minorEastAsia"/>
                <w:color w:val="auto"/>
                <w:kern w:val="0"/>
                <w:sz w:val="24"/>
                <w:highlight w:val="none"/>
              </w:rPr>
            </w:pPr>
            <w:r>
              <w:rPr>
                <w:rFonts w:hAnsiTheme="minorEastAsia" w:eastAsiaTheme="minorEastAsia"/>
                <w:color w:val="auto"/>
                <w:kern w:val="0"/>
                <w:sz w:val="24"/>
                <w:highlight w:val="none"/>
              </w:rPr>
              <w:t>区域</w:t>
            </w:r>
          </w:p>
          <w:p w14:paraId="2C169CC0">
            <w:pPr>
              <w:adjustRightInd w:val="0"/>
              <w:snapToGrid w:val="0"/>
              <w:jc w:val="center"/>
              <w:rPr>
                <w:rFonts w:eastAsiaTheme="minorEastAsia"/>
                <w:color w:val="auto"/>
                <w:kern w:val="0"/>
                <w:sz w:val="24"/>
                <w:highlight w:val="none"/>
              </w:rPr>
            </w:pPr>
            <w:r>
              <w:rPr>
                <w:rFonts w:hAnsiTheme="minorEastAsia" w:eastAsiaTheme="minorEastAsia"/>
                <w:color w:val="auto"/>
                <w:kern w:val="0"/>
                <w:sz w:val="24"/>
                <w:highlight w:val="none"/>
              </w:rPr>
              <w:t>环境</w:t>
            </w:r>
          </w:p>
          <w:p w14:paraId="7D54B38B">
            <w:pPr>
              <w:adjustRightInd w:val="0"/>
              <w:snapToGrid w:val="0"/>
              <w:jc w:val="center"/>
              <w:rPr>
                <w:rFonts w:eastAsiaTheme="minorEastAsia"/>
                <w:color w:val="auto"/>
                <w:kern w:val="0"/>
                <w:sz w:val="24"/>
                <w:highlight w:val="none"/>
              </w:rPr>
            </w:pPr>
            <w:r>
              <w:rPr>
                <w:rFonts w:hAnsiTheme="minorEastAsia" w:eastAsiaTheme="minorEastAsia"/>
                <w:color w:val="auto"/>
                <w:kern w:val="0"/>
                <w:sz w:val="24"/>
                <w:highlight w:val="none"/>
              </w:rPr>
              <w:t>质量</w:t>
            </w:r>
          </w:p>
          <w:p w14:paraId="6FAE4615">
            <w:pPr>
              <w:adjustRightInd w:val="0"/>
              <w:snapToGrid w:val="0"/>
              <w:jc w:val="center"/>
              <w:rPr>
                <w:rFonts w:eastAsiaTheme="minorEastAsia"/>
                <w:color w:val="auto"/>
                <w:kern w:val="0"/>
                <w:szCs w:val="21"/>
                <w:highlight w:val="none"/>
              </w:rPr>
            </w:pPr>
            <w:r>
              <w:rPr>
                <w:rFonts w:hAnsiTheme="minorEastAsia" w:eastAsiaTheme="minorEastAsia"/>
                <w:color w:val="auto"/>
                <w:kern w:val="0"/>
                <w:sz w:val="24"/>
                <w:highlight w:val="none"/>
              </w:rPr>
              <w:t>现状</w:t>
            </w:r>
          </w:p>
        </w:tc>
        <w:tc>
          <w:tcPr>
            <w:tcW w:w="8624" w:type="dxa"/>
            <w:vAlign w:val="center"/>
          </w:tcPr>
          <w:p w14:paraId="33681D98">
            <w:pPr>
              <w:topLinePunct/>
              <w:spacing w:line="500" w:lineRule="exact"/>
              <w:rPr>
                <w:rFonts w:eastAsiaTheme="minorEastAsia"/>
                <w:b/>
                <w:color w:val="auto"/>
                <w:sz w:val="24"/>
                <w:highlight w:val="none"/>
              </w:rPr>
            </w:pPr>
            <w:r>
              <w:rPr>
                <w:rFonts w:hAnsiTheme="minorEastAsia" w:eastAsiaTheme="minorEastAsia"/>
                <w:b/>
                <w:color w:val="auto"/>
                <w:sz w:val="24"/>
                <w:highlight w:val="none"/>
              </w:rPr>
              <w:t>区域环境质量现状：</w:t>
            </w:r>
          </w:p>
          <w:p w14:paraId="0473FAA6">
            <w:pPr>
              <w:spacing w:line="500" w:lineRule="exact"/>
              <w:jc w:val="left"/>
              <w:rPr>
                <w:rFonts w:eastAsiaTheme="minorEastAsia"/>
                <w:b/>
                <w:color w:val="auto"/>
                <w:sz w:val="24"/>
                <w:highlight w:val="none"/>
              </w:rPr>
            </w:pPr>
            <w:r>
              <w:rPr>
                <w:rFonts w:eastAsiaTheme="minorEastAsia"/>
                <w:b/>
                <w:color w:val="auto"/>
                <w:sz w:val="24"/>
                <w:highlight w:val="none"/>
              </w:rPr>
              <w:t>1</w:t>
            </w:r>
            <w:r>
              <w:rPr>
                <w:rFonts w:hAnsiTheme="minorEastAsia" w:eastAsiaTheme="minorEastAsia"/>
                <w:b/>
                <w:color w:val="auto"/>
                <w:sz w:val="24"/>
                <w:highlight w:val="none"/>
              </w:rPr>
              <w:t>、大气环境</w:t>
            </w:r>
          </w:p>
          <w:p w14:paraId="48CD3949">
            <w:pPr>
              <w:spacing w:line="500" w:lineRule="exact"/>
              <w:jc w:val="left"/>
              <w:rPr>
                <w:rFonts w:eastAsiaTheme="minorEastAsia"/>
                <w:b/>
                <w:color w:val="auto"/>
                <w:sz w:val="24"/>
                <w:highlight w:val="none"/>
              </w:rPr>
            </w:pPr>
            <w:r>
              <w:rPr>
                <w:rFonts w:eastAsiaTheme="minorEastAsia"/>
                <w:b/>
                <w:color w:val="auto"/>
                <w:sz w:val="24"/>
                <w:highlight w:val="none"/>
              </w:rPr>
              <w:t>1</w:t>
            </w:r>
            <w:r>
              <w:rPr>
                <w:rFonts w:hint="eastAsia" w:eastAsiaTheme="minorEastAsia"/>
                <w:b/>
                <w:color w:val="auto"/>
                <w:sz w:val="24"/>
                <w:highlight w:val="none"/>
              </w:rPr>
              <w:t>.1</w:t>
            </w:r>
            <w:r>
              <w:rPr>
                <w:rFonts w:hint="eastAsia" w:hAnsiTheme="minorEastAsia" w:eastAsiaTheme="minorEastAsia"/>
                <w:b/>
                <w:color w:val="auto"/>
                <w:sz w:val="24"/>
                <w:highlight w:val="none"/>
              </w:rPr>
              <w:t>基本污染物环境质量现状评价</w:t>
            </w:r>
          </w:p>
          <w:p w14:paraId="684727AE">
            <w:pPr>
              <w:pStyle w:val="171"/>
              <w:adjustRightInd/>
              <w:snapToGrid/>
              <w:spacing w:line="540" w:lineRule="exact"/>
              <w:ind w:firstLine="480"/>
              <w:rPr>
                <w:rFonts w:eastAsiaTheme="minorEastAsia"/>
                <w:color w:val="auto"/>
                <w:szCs w:val="24"/>
                <w:highlight w:val="none"/>
              </w:rPr>
            </w:pPr>
            <w:r>
              <w:rPr>
                <w:rFonts w:hAnsiTheme="minorEastAsia" w:eastAsiaTheme="minorEastAsia"/>
                <w:color w:val="auto"/>
                <w:szCs w:val="24"/>
                <w:highlight w:val="none"/>
              </w:rPr>
              <w:t>根据《建设项目环境影响报告表编制技术指南》（污染影响类）（试行）要求，常规污染物引用与建设项目距离近的有效数据，包括近</w:t>
            </w:r>
            <w:r>
              <w:rPr>
                <w:rFonts w:eastAsiaTheme="minorEastAsia"/>
                <w:color w:val="auto"/>
                <w:szCs w:val="24"/>
                <w:highlight w:val="none"/>
              </w:rPr>
              <w:t>3</w:t>
            </w:r>
            <w:r>
              <w:rPr>
                <w:rFonts w:hAnsiTheme="minorEastAsia" w:eastAsiaTheme="minorEastAsia"/>
                <w:color w:val="auto"/>
                <w:szCs w:val="24"/>
                <w:highlight w:val="none"/>
              </w:rPr>
              <w:t>年的规划环境影响评价的监测数据，国家、地方环境空气质量监测网数据或生态环境主管部门公开发布的质量数据等。</w:t>
            </w:r>
          </w:p>
          <w:p w14:paraId="70791A12">
            <w:pPr>
              <w:spacing w:line="540" w:lineRule="exact"/>
              <w:ind w:firstLine="480" w:firstLineChars="200"/>
              <w:rPr>
                <w:rFonts w:eastAsiaTheme="minorEastAsia"/>
                <w:color w:val="auto"/>
                <w:sz w:val="24"/>
                <w:highlight w:val="none"/>
              </w:rPr>
            </w:pPr>
            <w:r>
              <w:rPr>
                <w:rFonts w:hint="eastAsia" w:eastAsiaTheme="minorEastAsia"/>
                <w:color w:val="auto"/>
                <w:sz w:val="24"/>
                <w:highlight w:val="none"/>
                <w:lang w:eastAsia="zh-CN"/>
              </w:rPr>
              <w:t>（</w:t>
            </w:r>
            <w:r>
              <w:rPr>
                <w:rFonts w:hint="eastAsia" w:eastAsiaTheme="minorEastAsia"/>
                <w:color w:val="auto"/>
                <w:sz w:val="24"/>
                <w:highlight w:val="none"/>
                <w:lang w:val="en-US" w:eastAsia="zh-CN"/>
              </w:rPr>
              <w:t>1</w:t>
            </w:r>
            <w:r>
              <w:rPr>
                <w:rFonts w:hint="eastAsia" w:eastAsiaTheme="minorEastAsia"/>
                <w:color w:val="auto"/>
                <w:sz w:val="24"/>
                <w:highlight w:val="none"/>
                <w:lang w:eastAsia="zh-CN"/>
              </w:rPr>
              <w:t>）</w:t>
            </w:r>
            <w:r>
              <w:rPr>
                <w:rFonts w:hAnsiTheme="minorEastAsia" w:eastAsiaTheme="minorEastAsia"/>
                <w:color w:val="auto"/>
                <w:sz w:val="24"/>
                <w:highlight w:val="none"/>
              </w:rPr>
              <w:t>数据来源</w:t>
            </w:r>
          </w:p>
          <w:p w14:paraId="50C1FC91">
            <w:pPr>
              <w:spacing w:line="540" w:lineRule="exact"/>
              <w:ind w:firstLine="480" w:firstLineChars="200"/>
              <w:rPr>
                <w:rFonts w:hAnsi="宋体"/>
                <w:color w:val="auto"/>
                <w:sz w:val="24"/>
                <w:highlight w:val="none"/>
              </w:rPr>
            </w:pPr>
            <w:r>
              <w:rPr>
                <w:rFonts w:hint="eastAsia" w:ascii="Times New Roman" w:cs="Times New Roman" w:hAnsiTheme="minorEastAsia" w:eastAsiaTheme="minorEastAsia"/>
                <w:color w:val="auto"/>
                <w:kern w:val="2"/>
                <w:sz w:val="24"/>
                <w:szCs w:val="24"/>
                <w:highlight w:val="none"/>
                <w:lang w:val="en-US" w:eastAsia="zh-CN" w:bidi="ar-SA"/>
              </w:rPr>
              <w:t>据《环境影响评价技术导则 大气环境》</w:t>
            </w:r>
            <w:r>
              <w:rPr>
                <w:rFonts w:hint="eastAsia" w:cs="Times New Roman" w:hAnsiTheme="minorEastAsia" w:eastAsiaTheme="minorEastAsia"/>
                <w:color w:val="auto"/>
                <w:kern w:val="2"/>
                <w:sz w:val="24"/>
                <w:szCs w:val="24"/>
                <w:highlight w:val="none"/>
                <w:lang w:val="en-US" w:eastAsia="zh-CN" w:bidi="ar-SA"/>
              </w:rPr>
              <w:t>（</w:t>
            </w:r>
            <w:r>
              <w:rPr>
                <w:rFonts w:hint="eastAsia" w:ascii="Times New Roman" w:cs="Times New Roman" w:hAnsiTheme="minorEastAsia" w:eastAsiaTheme="minorEastAsia"/>
                <w:color w:val="auto"/>
                <w:kern w:val="2"/>
                <w:sz w:val="24"/>
                <w:szCs w:val="24"/>
                <w:highlight w:val="none"/>
                <w:lang w:val="en-US" w:eastAsia="zh-CN" w:bidi="ar-SA"/>
              </w:rPr>
              <w:t>H.J2.2-2018</w:t>
            </w:r>
            <w:r>
              <w:rPr>
                <w:rFonts w:hint="eastAsia" w:cs="Times New Roman" w:hAnsiTheme="minorEastAsia" w:eastAsiaTheme="minorEastAsia"/>
                <w:color w:val="auto"/>
                <w:kern w:val="2"/>
                <w:sz w:val="24"/>
                <w:szCs w:val="24"/>
                <w:highlight w:val="none"/>
                <w:lang w:val="en-US" w:eastAsia="zh-CN" w:bidi="ar-SA"/>
              </w:rPr>
              <w:t>）</w:t>
            </w:r>
            <w:r>
              <w:rPr>
                <w:rFonts w:hint="eastAsia" w:ascii="Times New Roman" w:cs="Times New Roman" w:hAnsiTheme="minorEastAsia" w:eastAsiaTheme="minorEastAsia"/>
                <w:color w:val="auto"/>
                <w:kern w:val="2"/>
                <w:sz w:val="24"/>
                <w:szCs w:val="24"/>
                <w:highlight w:val="none"/>
                <w:lang w:val="en-US" w:eastAsia="zh-CN" w:bidi="ar-SA"/>
              </w:rPr>
              <w:t>，对于基本污染物环境质量现状数据，项目所在区域达标判定优先采用国家或地方生态环境主管部门公开发布的评价基准年环境质量公告或环境质量报告中的数据或结论。根据导则对环境质量现状数据的要求，本次评价选取环境空气质量模型技术支持服务系统中和静县监测站2024年的监测数据，作为本项目环境空气现状评价基本污染物SO</w:t>
            </w:r>
            <w:r>
              <w:rPr>
                <w:rFonts w:hint="eastAsia" w:ascii="Times New Roman" w:cs="Times New Roman" w:hAnsiTheme="minorEastAsia" w:eastAsiaTheme="minorEastAsia"/>
                <w:color w:val="auto"/>
                <w:kern w:val="2"/>
                <w:sz w:val="24"/>
                <w:szCs w:val="24"/>
                <w:highlight w:val="none"/>
                <w:vertAlign w:val="subscript"/>
                <w:lang w:val="en-US" w:eastAsia="zh-CN" w:bidi="ar-SA"/>
              </w:rPr>
              <w:t>2</w:t>
            </w:r>
            <w:r>
              <w:rPr>
                <w:rFonts w:hint="eastAsia" w:ascii="Times New Roman" w:cs="Times New Roman" w:hAnsiTheme="minorEastAsia" w:eastAsiaTheme="minorEastAsia"/>
                <w:color w:val="auto"/>
                <w:kern w:val="2"/>
                <w:sz w:val="24"/>
                <w:szCs w:val="24"/>
                <w:highlight w:val="none"/>
                <w:lang w:val="en-US" w:eastAsia="zh-CN" w:bidi="ar-SA"/>
              </w:rPr>
              <w:t>、NO</w:t>
            </w:r>
            <w:r>
              <w:rPr>
                <w:rFonts w:hint="eastAsia" w:ascii="Times New Roman" w:cs="Times New Roman" w:hAnsiTheme="minorEastAsia" w:eastAsiaTheme="minorEastAsia"/>
                <w:color w:val="auto"/>
                <w:kern w:val="2"/>
                <w:sz w:val="24"/>
                <w:szCs w:val="24"/>
                <w:highlight w:val="none"/>
                <w:vertAlign w:val="subscript"/>
                <w:lang w:val="en-US" w:eastAsia="zh-CN" w:bidi="ar-SA"/>
              </w:rPr>
              <w:t>2</w:t>
            </w:r>
            <w:r>
              <w:rPr>
                <w:rFonts w:hint="eastAsia" w:ascii="Times New Roman" w:cs="Times New Roman" w:hAnsiTheme="minorEastAsia" w:eastAsiaTheme="minorEastAsia"/>
                <w:color w:val="auto"/>
                <w:kern w:val="2"/>
                <w:sz w:val="24"/>
                <w:szCs w:val="24"/>
                <w:highlight w:val="none"/>
                <w:lang w:val="en-US" w:eastAsia="zh-CN" w:bidi="ar-SA"/>
              </w:rPr>
              <w:t>、PM</w:t>
            </w:r>
            <w:r>
              <w:rPr>
                <w:rFonts w:hint="eastAsia" w:ascii="Times New Roman" w:cs="Times New Roman" w:hAnsiTheme="minorEastAsia" w:eastAsiaTheme="minorEastAsia"/>
                <w:color w:val="auto"/>
                <w:kern w:val="2"/>
                <w:sz w:val="24"/>
                <w:szCs w:val="24"/>
                <w:highlight w:val="none"/>
                <w:vertAlign w:val="subscript"/>
                <w:lang w:val="en-US" w:eastAsia="zh-CN" w:bidi="ar-SA"/>
              </w:rPr>
              <w:t>10</w:t>
            </w:r>
            <w:r>
              <w:rPr>
                <w:rFonts w:hint="eastAsia" w:ascii="Times New Roman" w:cs="Times New Roman" w:hAnsiTheme="minorEastAsia" w:eastAsiaTheme="minorEastAsia"/>
                <w:color w:val="auto"/>
                <w:kern w:val="2"/>
                <w:sz w:val="24"/>
                <w:szCs w:val="24"/>
                <w:highlight w:val="none"/>
                <w:lang w:val="en-US" w:eastAsia="zh-CN" w:bidi="ar-SA"/>
              </w:rPr>
              <w:t>、PM</w:t>
            </w:r>
            <w:r>
              <w:rPr>
                <w:rFonts w:hint="eastAsia" w:ascii="Times New Roman" w:cs="Times New Roman" w:hAnsiTheme="minorEastAsia" w:eastAsiaTheme="minorEastAsia"/>
                <w:color w:val="auto"/>
                <w:kern w:val="2"/>
                <w:sz w:val="24"/>
                <w:szCs w:val="24"/>
                <w:highlight w:val="none"/>
                <w:vertAlign w:val="subscript"/>
                <w:lang w:val="en-US" w:eastAsia="zh-CN" w:bidi="ar-SA"/>
              </w:rPr>
              <w:t>2.5</w:t>
            </w:r>
            <w:r>
              <w:rPr>
                <w:rFonts w:hint="eastAsia" w:ascii="Times New Roman" w:cs="Times New Roman" w:hAnsiTheme="minorEastAsia" w:eastAsiaTheme="minorEastAsia"/>
                <w:color w:val="auto"/>
                <w:kern w:val="2"/>
                <w:sz w:val="24"/>
                <w:szCs w:val="24"/>
                <w:highlight w:val="none"/>
                <w:lang w:val="en-US" w:eastAsia="zh-CN" w:bidi="ar-SA"/>
              </w:rPr>
              <w:t>、CO和O</w:t>
            </w:r>
            <w:r>
              <w:rPr>
                <w:rFonts w:hint="eastAsia" w:ascii="Times New Roman" w:cs="Times New Roman" w:hAnsiTheme="minorEastAsia" w:eastAsiaTheme="minorEastAsia"/>
                <w:color w:val="auto"/>
                <w:kern w:val="2"/>
                <w:sz w:val="24"/>
                <w:szCs w:val="24"/>
                <w:highlight w:val="none"/>
                <w:vertAlign w:val="subscript"/>
                <w:lang w:val="en-US" w:eastAsia="zh-CN" w:bidi="ar-SA"/>
              </w:rPr>
              <w:t>3</w:t>
            </w:r>
            <w:r>
              <w:rPr>
                <w:rFonts w:hint="eastAsia" w:ascii="Times New Roman" w:cs="Times New Roman" w:hAnsiTheme="minorEastAsia" w:eastAsiaTheme="minorEastAsia"/>
                <w:color w:val="auto"/>
                <w:kern w:val="2"/>
                <w:sz w:val="24"/>
                <w:szCs w:val="24"/>
                <w:highlight w:val="none"/>
                <w:lang w:val="en-US" w:eastAsia="zh-CN" w:bidi="ar-SA"/>
              </w:rPr>
              <w:t>的数据来源。</w:t>
            </w:r>
          </w:p>
          <w:p w14:paraId="1A73416E">
            <w:pPr>
              <w:spacing w:line="540" w:lineRule="exact"/>
              <w:ind w:firstLine="480" w:firstLineChars="200"/>
              <w:rPr>
                <w:rFonts w:eastAsiaTheme="minorEastAsia"/>
                <w:color w:val="auto"/>
                <w:sz w:val="24"/>
                <w:highlight w:val="none"/>
              </w:rPr>
            </w:pPr>
            <w:r>
              <w:rPr>
                <w:rFonts w:hint="eastAsia" w:eastAsiaTheme="minorEastAsia"/>
                <w:color w:val="auto"/>
                <w:sz w:val="24"/>
                <w:highlight w:val="none"/>
                <w:lang w:eastAsia="zh-CN"/>
              </w:rPr>
              <w:t>（</w:t>
            </w:r>
            <w:r>
              <w:rPr>
                <w:rFonts w:hint="eastAsia" w:eastAsiaTheme="minorEastAsia"/>
                <w:color w:val="auto"/>
                <w:sz w:val="24"/>
                <w:highlight w:val="none"/>
                <w:lang w:val="en-US" w:eastAsia="zh-CN"/>
              </w:rPr>
              <w:t>2</w:t>
            </w:r>
            <w:r>
              <w:rPr>
                <w:rFonts w:hint="eastAsia" w:eastAsiaTheme="minorEastAsia"/>
                <w:color w:val="auto"/>
                <w:sz w:val="24"/>
                <w:highlight w:val="none"/>
                <w:lang w:eastAsia="zh-CN"/>
              </w:rPr>
              <w:t>）</w:t>
            </w:r>
            <w:r>
              <w:rPr>
                <w:rFonts w:hAnsiTheme="minorEastAsia" w:eastAsiaTheme="minorEastAsia"/>
                <w:color w:val="auto"/>
                <w:sz w:val="24"/>
                <w:highlight w:val="none"/>
              </w:rPr>
              <w:t>评价标准</w:t>
            </w:r>
          </w:p>
          <w:p w14:paraId="0CFD7620">
            <w:pPr>
              <w:spacing w:line="540" w:lineRule="exact"/>
              <w:ind w:firstLine="480" w:firstLineChars="200"/>
              <w:rPr>
                <w:rFonts w:eastAsiaTheme="minorEastAsia"/>
                <w:color w:val="auto"/>
                <w:sz w:val="24"/>
                <w:highlight w:val="none"/>
              </w:rPr>
            </w:pPr>
            <w:r>
              <w:rPr>
                <w:rFonts w:hAnsiTheme="minorEastAsia" w:eastAsiaTheme="minorEastAsia"/>
                <w:color w:val="auto"/>
                <w:sz w:val="24"/>
                <w:highlight w:val="none"/>
              </w:rPr>
              <w:t>评价标准：</w:t>
            </w:r>
            <w:r>
              <w:rPr>
                <w:rFonts w:eastAsiaTheme="minorEastAsia"/>
                <w:color w:val="auto"/>
                <w:sz w:val="24"/>
                <w:highlight w:val="none"/>
              </w:rPr>
              <w:t>SO</w:t>
            </w:r>
            <w:r>
              <w:rPr>
                <w:rFonts w:eastAsiaTheme="minorEastAsia"/>
                <w:color w:val="auto"/>
                <w:sz w:val="24"/>
                <w:highlight w:val="none"/>
                <w:vertAlign w:val="subscript"/>
              </w:rPr>
              <w:t>2</w:t>
            </w:r>
            <w:r>
              <w:rPr>
                <w:rFonts w:hAnsiTheme="minorEastAsia" w:eastAsiaTheme="minorEastAsia"/>
                <w:color w:val="auto"/>
                <w:sz w:val="24"/>
                <w:highlight w:val="none"/>
              </w:rPr>
              <w:t>、</w:t>
            </w:r>
            <w:r>
              <w:rPr>
                <w:rFonts w:eastAsiaTheme="minorEastAsia"/>
                <w:color w:val="auto"/>
                <w:sz w:val="24"/>
                <w:highlight w:val="none"/>
              </w:rPr>
              <w:t>NO</w:t>
            </w:r>
            <w:r>
              <w:rPr>
                <w:rFonts w:eastAsiaTheme="minorEastAsia"/>
                <w:color w:val="auto"/>
                <w:sz w:val="24"/>
                <w:highlight w:val="none"/>
                <w:vertAlign w:val="subscript"/>
              </w:rPr>
              <w:t>2</w:t>
            </w:r>
            <w:r>
              <w:rPr>
                <w:rFonts w:hAnsiTheme="minorEastAsia" w:eastAsiaTheme="minorEastAsia"/>
                <w:color w:val="auto"/>
                <w:sz w:val="24"/>
                <w:highlight w:val="none"/>
              </w:rPr>
              <w:t>、</w:t>
            </w:r>
            <w:r>
              <w:rPr>
                <w:rFonts w:eastAsiaTheme="minorEastAsia"/>
                <w:color w:val="auto"/>
                <w:sz w:val="24"/>
                <w:highlight w:val="none"/>
              </w:rPr>
              <w:t>PM</w:t>
            </w:r>
            <w:r>
              <w:rPr>
                <w:rFonts w:eastAsiaTheme="minorEastAsia"/>
                <w:color w:val="auto"/>
                <w:sz w:val="24"/>
                <w:highlight w:val="none"/>
                <w:vertAlign w:val="subscript"/>
              </w:rPr>
              <w:t>10</w:t>
            </w:r>
            <w:r>
              <w:rPr>
                <w:rFonts w:hAnsiTheme="minorEastAsia" w:eastAsiaTheme="minorEastAsia"/>
                <w:color w:val="auto"/>
                <w:sz w:val="24"/>
                <w:highlight w:val="none"/>
              </w:rPr>
              <w:t>、</w:t>
            </w:r>
            <w:r>
              <w:rPr>
                <w:rFonts w:eastAsiaTheme="minorEastAsia"/>
                <w:color w:val="auto"/>
                <w:sz w:val="24"/>
                <w:highlight w:val="none"/>
              </w:rPr>
              <w:t>PM</w:t>
            </w:r>
            <w:r>
              <w:rPr>
                <w:rFonts w:eastAsiaTheme="minorEastAsia"/>
                <w:color w:val="auto"/>
                <w:sz w:val="24"/>
                <w:highlight w:val="none"/>
                <w:vertAlign w:val="subscript"/>
              </w:rPr>
              <w:t>2.5</w:t>
            </w:r>
            <w:r>
              <w:rPr>
                <w:rFonts w:hAnsiTheme="minorEastAsia" w:eastAsiaTheme="minorEastAsia"/>
                <w:color w:val="auto"/>
                <w:sz w:val="24"/>
                <w:highlight w:val="none"/>
              </w:rPr>
              <w:t>、</w:t>
            </w:r>
            <w:r>
              <w:rPr>
                <w:rFonts w:eastAsiaTheme="minorEastAsia"/>
                <w:color w:val="auto"/>
                <w:sz w:val="24"/>
                <w:highlight w:val="none"/>
              </w:rPr>
              <w:t>CO</w:t>
            </w:r>
            <w:r>
              <w:rPr>
                <w:rFonts w:hAnsiTheme="minorEastAsia" w:eastAsiaTheme="minorEastAsia"/>
                <w:color w:val="auto"/>
                <w:sz w:val="24"/>
                <w:highlight w:val="none"/>
              </w:rPr>
              <w:t>、</w:t>
            </w:r>
            <w:r>
              <w:rPr>
                <w:rFonts w:eastAsiaTheme="minorEastAsia"/>
                <w:color w:val="auto"/>
                <w:sz w:val="24"/>
                <w:highlight w:val="none"/>
              </w:rPr>
              <w:t>O</w:t>
            </w:r>
            <w:r>
              <w:rPr>
                <w:rFonts w:eastAsiaTheme="minorEastAsia"/>
                <w:color w:val="auto"/>
                <w:sz w:val="24"/>
                <w:highlight w:val="none"/>
                <w:vertAlign w:val="subscript"/>
              </w:rPr>
              <w:t>3</w:t>
            </w:r>
            <w:r>
              <w:rPr>
                <w:rFonts w:hAnsiTheme="minorEastAsia" w:eastAsiaTheme="minorEastAsia"/>
                <w:color w:val="auto"/>
                <w:sz w:val="24"/>
                <w:highlight w:val="none"/>
              </w:rPr>
              <w:t>执行</w:t>
            </w:r>
            <w:r>
              <w:rPr>
                <w:rFonts w:hint="eastAsia" w:ascii="Times New Roman" w:cs="Times New Roman" w:hAnsiTheme="minorEastAsia" w:eastAsiaTheme="minorEastAsia"/>
                <w:color w:val="auto"/>
                <w:sz w:val="24"/>
                <w:highlight w:val="none"/>
              </w:rPr>
              <w:t>《环境空气质量标准》（GB3095-2026）过渡阶段浓度限值的二级标准要求</w:t>
            </w:r>
            <w:r>
              <w:rPr>
                <w:rFonts w:ascii="Times New Roman" w:cs="Times New Roman" w:hAnsiTheme="minorEastAsia" w:eastAsiaTheme="minorEastAsia"/>
                <w:color w:val="auto"/>
                <w:sz w:val="24"/>
                <w:highlight w:val="none"/>
              </w:rPr>
              <w:t>。</w:t>
            </w:r>
          </w:p>
          <w:p w14:paraId="220C14B8">
            <w:pPr>
              <w:spacing w:line="540" w:lineRule="exact"/>
              <w:ind w:firstLine="480" w:firstLineChars="200"/>
              <w:rPr>
                <w:rFonts w:eastAsiaTheme="minorEastAsia"/>
                <w:color w:val="auto"/>
                <w:sz w:val="24"/>
                <w:highlight w:val="none"/>
              </w:rPr>
            </w:pPr>
            <w:r>
              <w:rPr>
                <w:rFonts w:hint="eastAsia" w:eastAsiaTheme="minorEastAsia"/>
                <w:color w:val="auto"/>
                <w:sz w:val="24"/>
                <w:highlight w:val="none"/>
                <w:lang w:eastAsia="zh-CN"/>
              </w:rPr>
              <w:t>（</w:t>
            </w:r>
            <w:r>
              <w:rPr>
                <w:rFonts w:hint="eastAsia" w:eastAsiaTheme="minorEastAsia"/>
                <w:color w:val="auto"/>
                <w:sz w:val="24"/>
                <w:highlight w:val="none"/>
                <w:lang w:val="en-US" w:eastAsia="zh-CN"/>
              </w:rPr>
              <w:t>3</w:t>
            </w:r>
            <w:r>
              <w:rPr>
                <w:rFonts w:hint="eastAsia" w:eastAsiaTheme="minorEastAsia"/>
                <w:color w:val="auto"/>
                <w:sz w:val="24"/>
                <w:highlight w:val="none"/>
                <w:lang w:eastAsia="zh-CN"/>
              </w:rPr>
              <w:t>）</w:t>
            </w:r>
            <w:r>
              <w:rPr>
                <w:rFonts w:hAnsiTheme="minorEastAsia" w:eastAsiaTheme="minorEastAsia"/>
                <w:color w:val="auto"/>
                <w:sz w:val="24"/>
                <w:highlight w:val="none"/>
              </w:rPr>
              <w:t>评价方法</w:t>
            </w:r>
          </w:p>
          <w:p w14:paraId="44AE1611">
            <w:pPr>
              <w:spacing w:line="540" w:lineRule="exact"/>
              <w:ind w:firstLine="480" w:firstLineChars="200"/>
              <w:rPr>
                <w:rFonts w:eastAsiaTheme="minorEastAsia"/>
                <w:color w:val="auto"/>
                <w:sz w:val="24"/>
                <w:highlight w:val="none"/>
              </w:rPr>
            </w:pPr>
            <w:r>
              <w:rPr>
                <w:rFonts w:hint="eastAsia" w:hAnsiTheme="minorEastAsia" w:eastAsiaTheme="minorEastAsia"/>
                <w:color w:val="auto"/>
                <w:sz w:val="24"/>
                <w:highlight w:val="none"/>
              </w:rPr>
              <w:t>根据《环境影响评价技术导则 大气环境》（HJ2.2-2018），基本污染物按照《环境空气质量评价技术规范（试行）》（HJ 663-2013）中各评价项目的年评价指标进行判定。年评价指标中的年均浓度和相应百分位数24h平均或8h平均质量浓度满足GB3095-2012中浓度限值要求的即为达标。</w:t>
            </w:r>
          </w:p>
          <w:p w14:paraId="64F0CD10">
            <w:pPr>
              <w:spacing w:line="540" w:lineRule="exact"/>
              <w:ind w:firstLine="480" w:firstLineChars="200"/>
              <w:rPr>
                <w:rFonts w:eastAsiaTheme="minorEastAsia"/>
                <w:color w:val="auto"/>
                <w:sz w:val="24"/>
                <w:highlight w:val="none"/>
              </w:rPr>
            </w:pPr>
            <w:r>
              <w:rPr>
                <w:rFonts w:hint="eastAsia" w:eastAsiaTheme="minorEastAsia"/>
                <w:color w:val="auto"/>
                <w:sz w:val="24"/>
                <w:highlight w:val="none"/>
                <w:lang w:eastAsia="zh-CN"/>
              </w:rPr>
              <w:t>（</w:t>
            </w:r>
            <w:r>
              <w:rPr>
                <w:rFonts w:hint="eastAsia" w:eastAsiaTheme="minorEastAsia"/>
                <w:color w:val="auto"/>
                <w:sz w:val="24"/>
                <w:highlight w:val="none"/>
                <w:lang w:val="en-US" w:eastAsia="zh-CN"/>
              </w:rPr>
              <w:t>4</w:t>
            </w:r>
            <w:r>
              <w:rPr>
                <w:rFonts w:hint="eastAsia" w:eastAsiaTheme="minorEastAsia"/>
                <w:color w:val="auto"/>
                <w:sz w:val="24"/>
                <w:highlight w:val="none"/>
                <w:lang w:eastAsia="zh-CN"/>
              </w:rPr>
              <w:t>）</w:t>
            </w:r>
            <w:r>
              <w:rPr>
                <w:rFonts w:hAnsiTheme="minorEastAsia" w:eastAsiaTheme="minorEastAsia"/>
                <w:color w:val="auto"/>
                <w:sz w:val="24"/>
                <w:highlight w:val="none"/>
              </w:rPr>
              <w:t>监测及评价结果</w:t>
            </w:r>
          </w:p>
          <w:p w14:paraId="78D4882E">
            <w:pPr>
              <w:spacing w:line="540" w:lineRule="exact"/>
              <w:ind w:firstLine="480" w:firstLineChars="200"/>
              <w:rPr>
                <w:rFonts w:hAnsiTheme="minorEastAsia" w:eastAsiaTheme="minorEastAsia"/>
                <w:b/>
                <w:color w:val="auto"/>
                <w:highlight w:val="none"/>
              </w:rPr>
            </w:pPr>
            <w:r>
              <w:rPr>
                <w:rFonts w:hAnsiTheme="minorEastAsia" w:eastAsiaTheme="minorEastAsia"/>
                <w:color w:val="auto"/>
                <w:sz w:val="24"/>
                <w:highlight w:val="none"/>
              </w:rPr>
              <w:t>大气环境质量现状监测、评价结果见表</w:t>
            </w:r>
            <w:r>
              <w:rPr>
                <w:rFonts w:hint="eastAsia" w:hAnsiTheme="minorEastAsia" w:eastAsiaTheme="minorEastAsia"/>
                <w:color w:val="auto"/>
                <w:sz w:val="24"/>
                <w:highlight w:val="none"/>
                <w:lang w:val="en-US" w:eastAsia="zh-CN"/>
              </w:rPr>
              <w:t>3-1</w:t>
            </w:r>
            <w:r>
              <w:rPr>
                <w:rFonts w:hAnsiTheme="minorEastAsia" w:eastAsiaTheme="minorEastAsia"/>
                <w:color w:val="auto"/>
                <w:sz w:val="24"/>
                <w:highlight w:val="none"/>
              </w:rPr>
              <w:t>。</w:t>
            </w:r>
          </w:p>
          <w:p w14:paraId="1F430176">
            <w:pPr>
              <w:spacing w:line="500" w:lineRule="exact"/>
              <w:ind w:firstLine="422" w:firstLineChars="200"/>
              <w:jc w:val="center"/>
              <w:rPr>
                <w:rFonts w:eastAsiaTheme="minorEastAsia"/>
                <w:b/>
                <w:color w:val="auto"/>
                <w:highlight w:val="none"/>
              </w:rPr>
            </w:pPr>
            <w:r>
              <w:rPr>
                <w:rFonts w:hAnsiTheme="minorEastAsia" w:eastAsiaTheme="minorEastAsia"/>
                <w:b/>
                <w:color w:val="auto"/>
                <w:highlight w:val="none"/>
              </w:rPr>
              <w:t>表</w:t>
            </w:r>
            <w:r>
              <w:rPr>
                <w:rFonts w:hint="eastAsia" w:hAnsiTheme="minorEastAsia" w:eastAsiaTheme="minorEastAsia"/>
                <w:b/>
                <w:color w:val="auto"/>
                <w:highlight w:val="none"/>
                <w:lang w:val="en-US" w:eastAsia="zh-CN"/>
              </w:rPr>
              <w:t>3-1</w:t>
            </w:r>
            <w:r>
              <w:rPr>
                <w:b/>
                <w:bCs/>
                <w:color w:val="auto"/>
                <w:szCs w:val="21"/>
                <w:highlight w:val="none"/>
              </w:rPr>
              <w:t xml:space="preserve">        </w:t>
            </w:r>
            <w:r>
              <w:rPr>
                <w:rFonts w:hint="eastAsia" w:hAnsiTheme="minorEastAsia" w:eastAsiaTheme="minorEastAsia"/>
                <w:b/>
                <w:color w:val="auto"/>
                <w:highlight w:val="none"/>
              </w:rPr>
              <w:t>区域环境空气质量现状评价表ug/m</w:t>
            </w:r>
            <w:r>
              <w:rPr>
                <w:rFonts w:hint="eastAsia" w:hAnsiTheme="minorEastAsia" w:eastAsiaTheme="minorEastAsia"/>
                <w:b/>
                <w:color w:val="auto"/>
                <w:highlight w:val="none"/>
                <w:vertAlign w:val="superscript"/>
              </w:rPr>
              <w:t>3</w:t>
            </w:r>
          </w:p>
          <w:tbl>
            <w:tblPr>
              <w:tblStyle w:val="35"/>
              <w:tblW w:w="4994"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624"/>
              <w:gridCol w:w="1404"/>
              <w:gridCol w:w="1495"/>
              <w:gridCol w:w="862"/>
              <w:gridCol w:w="1020"/>
            </w:tblGrid>
            <w:tr w14:paraId="4C82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88" w:type="pct"/>
                  <w:tcBorders>
                    <w:tl2br w:val="nil"/>
                    <w:tr2bl w:val="nil"/>
                  </w:tcBorders>
                  <w:noWrap w:val="0"/>
                  <w:vAlign w:val="center"/>
                </w:tcPr>
                <w:p w14:paraId="7A191702">
                  <w:pPr>
                    <w:pStyle w:val="243"/>
                    <w:bidi w:val="0"/>
                  </w:pPr>
                  <w:r>
                    <w:rPr>
                      <w:rFonts w:hint="eastAsia"/>
                    </w:rPr>
                    <w:t>污染物</w:t>
                  </w:r>
                </w:p>
              </w:tc>
              <w:tc>
                <w:tcPr>
                  <w:tcW w:w="1562" w:type="pct"/>
                  <w:tcBorders>
                    <w:tl2br w:val="nil"/>
                    <w:tr2bl w:val="nil"/>
                  </w:tcBorders>
                  <w:noWrap w:val="0"/>
                  <w:vAlign w:val="center"/>
                </w:tcPr>
                <w:p w14:paraId="295A8CAB">
                  <w:pPr>
                    <w:pStyle w:val="243"/>
                    <w:bidi w:val="0"/>
                  </w:pPr>
                  <w:r>
                    <w:rPr>
                      <w:rFonts w:hint="eastAsia"/>
                    </w:rPr>
                    <w:t>评价项目</w:t>
                  </w:r>
                </w:p>
              </w:tc>
              <w:tc>
                <w:tcPr>
                  <w:tcW w:w="836" w:type="pct"/>
                  <w:tcBorders>
                    <w:tl2br w:val="nil"/>
                    <w:tr2bl w:val="nil"/>
                  </w:tcBorders>
                  <w:noWrap w:val="0"/>
                  <w:vAlign w:val="center"/>
                </w:tcPr>
                <w:p w14:paraId="3289D6F3">
                  <w:pPr>
                    <w:pStyle w:val="243"/>
                    <w:bidi w:val="0"/>
                  </w:pPr>
                  <w:r>
                    <w:t>浓度（μ</w:t>
                  </w:r>
                  <w:r>
                    <w:rPr>
                      <w:rFonts w:hint="eastAsia"/>
                      <w:lang w:val="en-US" w:eastAsia="zh-CN"/>
                    </w:rPr>
                    <w:t>g</w:t>
                  </w:r>
                  <w:r>
                    <w:t>/m</w:t>
                  </w:r>
                  <w:r>
                    <w:rPr>
                      <w:vertAlign w:val="superscript"/>
                    </w:rPr>
                    <w:t>3</w:t>
                  </w:r>
                  <w:r>
                    <w:t>）</w:t>
                  </w:r>
                </w:p>
              </w:tc>
              <w:tc>
                <w:tcPr>
                  <w:tcW w:w="890" w:type="pct"/>
                  <w:tcBorders>
                    <w:tl2br w:val="nil"/>
                    <w:tr2bl w:val="nil"/>
                  </w:tcBorders>
                  <w:noWrap w:val="0"/>
                  <w:vAlign w:val="center"/>
                </w:tcPr>
                <w:p w14:paraId="6BA6632D">
                  <w:pPr>
                    <w:pStyle w:val="243"/>
                    <w:bidi w:val="0"/>
                  </w:pPr>
                  <w:r>
                    <w:rPr>
                      <w:rFonts w:hint="eastAsia"/>
                    </w:rPr>
                    <w:t>标准（二级）</w:t>
                  </w:r>
                  <w:r>
                    <w:t>（μ</w:t>
                  </w:r>
                  <w:r>
                    <w:rPr>
                      <w:rFonts w:hint="eastAsia"/>
                      <w:lang w:val="en-US" w:eastAsia="zh-CN"/>
                    </w:rPr>
                    <w:t>g</w:t>
                  </w:r>
                  <w:r>
                    <w:t>/m3）</w:t>
                  </w:r>
                </w:p>
              </w:tc>
              <w:tc>
                <w:tcPr>
                  <w:tcW w:w="513" w:type="pct"/>
                  <w:tcBorders>
                    <w:tl2br w:val="nil"/>
                    <w:tr2bl w:val="nil"/>
                  </w:tcBorders>
                  <w:noWrap w:val="0"/>
                  <w:vAlign w:val="center"/>
                </w:tcPr>
                <w:p w14:paraId="6A4726E8">
                  <w:pPr>
                    <w:pStyle w:val="243"/>
                    <w:bidi w:val="0"/>
                    <w:rPr>
                      <w:rFonts w:hint="default"/>
                      <w:lang w:val="en-US" w:eastAsia="zh-CN"/>
                    </w:rPr>
                  </w:pPr>
                  <w:r>
                    <w:rPr>
                      <w:rFonts w:hint="eastAsia"/>
                      <w:lang w:eastAsia="zh-CN"/>
                    </w:rPr>
                    <w:t>占标率</w:t>
                  </w:r>
                  <w:r>
                    <w:rPr>
                      <w:rFonts w:hint="eastAsia"/>
                      <w:lang w:val="en-US" w:eastAsia="zh-CN"/>
                    </w:rPr>
                    <w:t>%</w:t>
                  </w:r>
                </w:p>
              </w:tc>
              <w:tc>
                <w:tcPr>
                  <w:tcW w:w="607" w:type="pct"/>
                  <w:tcBorders>
                    <w:tl2br w:val="nil"/>
                    <w:tr2bl w:val="nil"/>
                  </w:tcBorders>
                  <w:noWrap w:val="0"/>
                  <w:vAlign w:val="center"/>
                </w:tcPr>
                <w:p w14:paraId="757FCADB">
                  <w:pPr>
                    <w:pStyle w:val="243"/>
                    <w:bidi w:val="0"/>
                    <w:rPr>
                      <w:rFonts w:hint="eastAsia"/>
                      <w:lang w:eastAsia="zh-CN"/>
                    </w:rPr>
                  </w:pPr>
                  <w:r>
                    <w:rPr>
                      <w:rFonts w:hint="eastAsia"/>
                      <w:lang w:eastAsia="zh-CN"/>
                    </w:rPr>
                    <w:t>达标情况</w:t>
                  </w:r>
                </w:p>
              </w:tc>
            </w:tr>
            <w:tr w14:paraId="634FC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pct"/>
                  <w:vMerge w:val="restart"/>
                  <w:tcBorders>
                    <w:tl2br w:val="nil"/>
                    <w:tr2bl w:val="nil"/>
                  </w:tcBorders>
                  <w:noWrap w:val="0"/>
                  <w:vAlign w:val="center"/>
                </w:tcPr>
                <w:p w14:paraId="2F0F2705">
                  <w:pPr>
                    <w:pStyle w:val="243"/>
                    <w:bidi w:val="0"/>
                  </w:pPr>
                  <w:r>
                    <w:rPr>
                      <w:rFonts w:hint="eastAsia"/>
                    </w:rPr>
                    <w:t>SO</w:t>
                  </w:r>
                  <w:r>
                    <w:rPr>
                      <w:rFonts w:hint="eastAsia"/>
                      <w:vertAlign w:val="subscript"/>
                    </w:rPr>
                    <w:t>2</w:t>
                  </w:r>
                </w:p>
              </w:tc>
              <w:tc>
                <w:tcPr>
                  <w:tcW w:w="1562" w:type="pct"/>
                  <w:tcBorders>
                    <w:tl2br w:val="nil"/>
                    <w:tr2bl w:val="nil"/>
                  </w:tcBorders>
                  <w:noWrap w:val="0"/>
                  <w:vAlign w:val="center"/>
                </w:tcPr>
                <w:p w14:paraId="26572E87">
                  <w:pPr>
                    <w:pStyle w:val="243"/>
                    <w:bidi w:val="0"/>
                    <w:rPr>
                      <w:rFonts w:hint="default"/>
                      <w:lang w:val="en-US" w:eastAsia="zh-CN"/>
                    </w:rPr>
                  </w:pPr>
                  <w:r>
                    <w:rPr>
                      <w:rFonts w:hint="eastAsia"/>
                      <w:lang w:val="en-US" w:eastAsia="zh-CN"/>
                    </w:rPr>
                    <w:t>年平均</w:t>
                  </w:r>
                </w:p>
              </w:tc>
              <w:tc>
                <w:tcPr>
                  <w:tcW w:w="836" w:type="pct"/>
                  <w:tcBorders>
                    <w:tl2br w:val="nil"/>
                    <w:tr2bl w:val="nil"/>
                  </w:tcBorders>
                  <w:noWrap w:val="0"/>
                  <w:vAlign w:val="center"/>
                </w:tcPr>
                <w:p w14:paraId="575552E6">
                  <w:pPr>
                    <w:pStyle w:val="243"/>
                    <w:bidi w:val="0"/>
                    <w:rPr>
                      <w:rFonts w:hint="default"/>
                      <w:lang w:val="en-US" w:eastAsia="zh-CN"/>
                    </w:rPr>
                  </w:pPr>
                  <w:r>
                    <w:rPr>
                      <w:rFonts w:hint="eastAsia"/>
                      <w:lang w:val="en-US" w:eastAsia="zh-CN"/>
                    </w:rPr>
                    <w:t>6</w:t>
                  </w:r>
                </w:p>
              </w:tc>
              <w:tc>
                <w:tcPr>
                  <w:tcW w:w="890" w:type="pct"/>
                  <w:tcBorders>
                    <w:tl2br w:val="nil"/>
                    <w:tr2bl w:val="nil"/>
                  </w:tcBorders>
                  <w:noWrap w:val="0"/>
                  <w:vAlign w:val="center"/>
                </w:tcPr>
                <w:p w14:paraId="587A74D1">
                  <w:pPr>
                    <w:pStyle w:val="243"/>
                    <w:bidi w:val="0"/>
                  </w:pPr>
                  <w:r>
                    <w:rPr>
                      <w:rFonts w:hint="eastAsia"/>
                    </w:rPr>
                    <w:t>60</w:t>
                  </w:r>
                </w:p>
              </w:tc>
              <w:tc>
                <w:tcPr>
                  <w:tcW w:w="513" w:type="pct"/>
                  <w:tcBorders>
                    <w:tl2br w:val="nil"/>
                    <w:tr2bl w:val="nil"/>
                  </w:tcBorders>
                  <w:noWrap w:val="0"/>
                  <w:vAlign w:val="center"/>
                </w:tcPr>
                <w:p w14:paraId="6E1917B3">
                  <w:pPr>
                    <w:pStyle w:val="243"/>
                    <w:bidi w:val="0"/>
                    <w:rPr>
                      <w:rFonts w:hint="default"/>
                      <w:lang w:val="en-US" w:eastAsia="zh-CN"/>
                    </w:rPr>
                  </w:pPr>
                  <w:r>
                    <w:rPr>
                      <w:rFonts w:hint="eastAsia"/>
                      <w:lang w:val="en-US" w:eastAsia="zh-CN"/>
                    </w:rPr>
                    <w:t>10</w:t>
                  </w:r>
                </w:p>
              </w:tc>
              <w:tc>
                <w:tcPr>
                  <w:tcW w:w="607" w:type="pct"/>
                  <w:tcBorders>
                    <w:tl2br w:val="nil"/>
                    <w:tr2bl w:val="nil"/>
                  </w:tcBorders>
                  <w:noWrap w:val="0"/>
                  <w:vAlign w:val="center"/>
                </w:tcPr>
                <w:p w14:paraId="196CADE3">
                  <w:pPr>
                    <w:pStyle w:val="243"/>
                    <w:bidi w:val="0"/>
                    <w:rPr>
                      <w:rFonts w:hint="eastAsia"/>
                      <w:lang w:eastAsia="zh-CN"/>
                    </w:rPr>
                  </w:pPr>
                  <w:r>
                    <w:rPr>
                      <w:rFonts w:hint="default"/>
                      <w:lang w:eastAsia="zh-CN"/>
                    </w:rPr>
                    <w:t>达标</w:t>
                  </w:r>
                </w:p>
              </w:tc>
            </w:tr>
            <w:tr w14:paraId="53C40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pct"/>
                  <w:vMerge w:val="continue"/>
                  <w:tcBorders>
                    <w:tl2br w:val="nil"/>
                    <w:tr2bl w:val="nil"/>
                  </w:tcBorders>
                  <w:noWrap w:val="0"/>
                  <w:vAlign w:val="center"/>
                </w:tcPr>
                <w:p w14:paraId="141705F4">
                  <w:pPr>
                    <w:pStyle w:val="243"/>
                    <w:bidi w:val="0"/>
                  </w:pPr>
                </w:p>
              </w:tc>
              <w:tc>
                <w:tcPr>
                  <w:tcW w:w="1562" w:type="pct"/>
                  <w:tcBorders>
                    <w:tl2br w:val="nil"/>
                    <w:tr2bl w:val="nil"/>
                  </w:tcBorders>
                  <w:shd w:val="clear" w:color="auto" w:fill="auto"/>
                  <w:noWrap w:val="0"/>
                  <w:vAlign w:val="center"/>
                </w:tcPr>
                <w:p w14:paraId="251E588F">
                  <w:pPr>
                    <w:pStyle w:val="235"/>
                    <w:bidi w:val="0"/>
                    <w:ind w:firstLine="0" w:firstLineChars="0"/>
                    <w:rPr>
                      <w:rFonts w:hint="default"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24小时平均第98百分位数</w:t>
                  </w:r>
                </w:p>
              </w:tc>
              <w:tc>
                <w:tcPr>
                  <w:tcW w:w="836" w:type="pct"/>
                  <w:tcBorders>
                    <w:tl2br w:val="nil"/>
                    <w:tr2bl w:val="nil"/>
                  </w:tcBorders>
                  <w:noWrap w:val="0"/>
                  <w:vAlign w:val="center"/>
                </w:tcPr>
                <w:p w14:paraId="5FC565B9">
                  <w:pPr>
                    <w:pStyle w:val="243"/>
                    <w:bidi w:val="0"/>
                    <w:rPr>
                      <w:rFonts w:hint="default"/>
                      <w:lang w:val="en-US" w:eastAsia="zh-CN"/>
                    </w:rPr>
                  </w:pPr>
                  <w:r>
                    <w:rPr>
                      <w:rFonts w:hint="eastAsia"/>
                      <w:lang w:val="en-US" w:eastAsia="zh-CN"/>
                    </w:rPr>
                    <w:t>12</w:t>
                  </w:r>
                </w:p>
              </w:tc>
              <w:tc>
                <w:tcPr>
                  <w:tcW w:w="890" w:type="pct"/>
                  <w:tcBorders>
                    <w:tl2br w:val="nil"/>
                    <w:tr2bl w:val="nil"/>
                  </w:tcBorders>
                  <w:noWrap w:val="0"/>
                  <w:vAlign w:val="center"/>
                </w:tcPr>
                <w:p w14:paraId="2E060882">
                  <w:pPr>
                    <w:pStyle w:val="243"/>
                    <w:bidi w:val="0"/>
                  </w:pPr>
                  <w:r>
                    <w:rPr>
                      <w:rFonts w:hint="eastAsia"/>
                    </w:rPr>
                    <w:t>150</w:t>
                  </w:r>
                </w:p>
              </w:tc>
              <w:tc>
                <w:tcPr>
                  <w:tcW w:w="513" w:type="pct"/>
                  <w:tcBorders>
                    <w:tl2br w:val="nil"/>
                    <w:tr2bl w:val="nil"/>
                  </w:tcBorders>
                  <w:noWrap w:val="0"/>
                  <w:vAlign w:val="center"/>
                </w:tcPr>
                <w:p w14:paraId="10B3E129">
                  <w:pPr>
                    <w:pStyle w:val="243"/>
                    <w:bidi w:val="0"/>
                    <w:rPr>
                      <w:rFonts w:hint="default"/>
                      <w:lang w:val="en-US" w:eastAsia="zh-CN"/>
                    </w:rPr>
                  </w:pPr>
                  <w:r>
                    <w:rPr>
                      <w:rFonts w:hint="eastAsia"/>
                      <w:lang w:val="en-US" w:eastAsia="zh-CN"/>
                    </w:rPr>
                    <w:t>8</w:t>
                  </w:r>
                </w:p>
              </w:tc>
              <w:tc>
                <w:tcPr>
                  <w:tcW w:w="607" w:type="pct"/>
                  <w:tcBorders>
                    <w:tl2br w:val="nil"/>
                    <w:tr2bl w:val="nil"/>
                  </w:tcBorders>
                  <w:noWrap w:val="0"/>
                  <w:vAlign w:val="center"/>
                </w:tcPr>
                <w:p w14:paraId="1A9A07AA">
                  <w:pPr>
                    <w:pStyle w:val="243"/>
                    <w:bidi w:val="0"/>
                    <w:rPr>
                      <w:rFonts w:hint="eastAsia"/>
                    </w:rPr>
                  </w:pPr>
                  <w:r>
                    <w:rPr>
                      <w:rFonts w:hint="default"/>
                      <w:lang w:eastAsia="zh-CN"/>
                    </w:rPr>
                    <w:t>达标</w:t>
                  </w:r>
                </w:p>
              </w:tc>
            </w:tr>
            <w:tr w14:paraId="1AD1C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pct"/>
                  <w:vMerge w:val="restart"/>
                  <w:tcBorders>
                    <w:tl2br w:val="nil"/>
                    <w:tr2bl w:val="nil"/>
                  </w:tcBorders>
                  <w:noWrap w:val="0"/>
                  <w:vAlign w:val="center"/>
                </w:tcPr>
                <w:p w14:paraId="661A196E">
                  <w:pPr>
                    <w:pStyle w:val="243"/>
                    <w:bidi w:val="0"/>
                  </w:pPr>
                  <w:r>
                    <w:rPr>
                      <w:rFonts w:hint="eastAsia"/>
                    </w:rPr>
                    <w:t>NO</w:t>
                  </w:r>
                  <w:r>
                    <w:rPr>
                      <w:rFonts w:hint="eastAsia"/>
                      <w:vertAlign w:val="subscript"/>
                    </w:rPr>
                    <w:t>2</w:t>
                  </w:r>
                </w:p>
              </w:tc>
              <w:tc>
                <w:tcPr>
                  <w:tcW w:w="1562" w:type="pct"/>
                  <w:tcBorders>
                    <w:tl2br w:val="nil"/>
                    <w:tr2bl w:val="nil"/>
                  </w:tcBorders>
                  <w:noWrap w:val="0"/>
                  <w:vAlign w:val="center"/>
                </w:tcPr>
                <w:p w14:paraId="02FC5D94">
                  <w:pPr>
                    <w:pStyle w:val="243"/>
                    <w:bidi w:val="0"/>
                    <w:rPr>
                      <w:rFonts w:hint="default"/>
                      <w:lang w:val="en-US" w:eastAsia="zh-CN"/>
                    </w:rPr>
                  </w:pPr>
                  <w:r>
                    <w:rPr>
                      <w:rFonts w:hint="eastAsia"/>
                      <w:lang w:val="en-US" w:eastAsia="zh-CN"/>
                    </w:rPr>
                    <w:t>年平均</w:t>
                  </w:r>
                </w:p>
              </w:tc>
              <w:tc>
                <w:tcPr>
                  <w:tcW w:w="836" w:type="pct"/>
                  <w:tcBorders>
                    <w:tl2br w:val="nil"/>
                    <w:tr2bl w:val="nil"/>
                  </w:tcBorders>
                  <w:noWrap w:val="0"/>
                  <w:vAlign w:val="center"/>
                </w:tcPr>
                <w:p w14:paraId="1C2373D1">
                  <w:pPr>
                    <w:pStyle w:val="243"/>
                    <w:bidi w:val="0"/>
                    <w:rPr>
                      <w:rFonts w:hint="default"/>
                      <w:lang w:val="en-US" w:eastAsia="zh-CN"/>
                    </w:rPr>
                  </w:pPr>
                  <w:r>
                    <w:rPr>
                      <w:rFonts w:hint="eastAsia"/>
                      <w:lang w:val="en-US" w:eastAsia="zh-CN"/>
                    </w:rPr>
                    <w:t>19</w:t>
                  </w:r>
                </w:p>
              </w:tc>
              <w:tc>
                <w:tcPr>
                  <w:tcW w:w="890" w:type="pct"/>
                  <w:tcBorders>
                    <w:tl2br w:val="nil"/>
                    <w:tr2bl w:val="nil"/>
                  </w:tcBorders>
                  <w:noWrap w:val="0"/>
                  <w:vAlign w:val="center"/>
                </w:tcPr>
                <w:p w14:paraId="003B8C72">
                  <w:pPr>
                    <w:pStyle w:val="243"/>
                    <w:bidi w:val="0"/>
                  </w:pPr>
                  <w:r>
                    <w:rPr>
                      <w:rFonts w:hint="eastAsia"/>
                    </w:rPr>
                    <w:t>40</w:t>
                  </w:r>
                </w:p>
              </w:tc>
              <w:tc>
                <w:tcPr>
                  <w:tcW w:w="513" w:type="pct"/>
                  <w:tcBorders>
                    <w:tl2br w:val="nil"/>
                    <w:tr2bl w:val="nil"/>
                  </w:tcBorders>
                  <w:noWrap w:val="0"/>
                  <w:vAlign w:val="center"/>
                </w:tcPr>
                <w:p w14:paraId="19B7C462">
                  <w:pPr>
                    <w:pStyle w:val="243"/>
                    <w:bidi w:val="0"/>
                    <w:rPr>
                      <w:rFonts w:hint="default"/>
                      <w:lang w:val="en-US" w:eastAsia="zh-CN"/>
                    </w:rPr>
                  </w:pPr>
                  <w:r>
                    <w:rPr>
                      <w:rFonts w:hint="eastAsia"/>
                      <w:lang w:val="en-US" w:eastAsia="zh-CN"/>
                    </w:rPr>
                    <w:t>48</w:t>
                  </w:r>
                </w:p>
              </w:tc>
              <w:tc>
                <w:tcPr>
                  <w:tcW w:w="607" w:type="pct"/>
                  <w:tcBorders>
                    <w:tl2br w:val="nil"/>
                    <w:tr2bl w:val="nil"/>
                  </w:tcBorders>
                  <w:noWrap w:val="0"/>
                  <w:vAlign w:val="center"/>
                </w:tcPr>
                <w:p w14:paraId="62F4D9D3">
                  <w:pPr>
                    <w:pStyle w:val="243"/>
                    <w:bidi w:val="0"/>
                    <w:rPr>
                      <w:rFonts w:hint="eastAsia"/>
                    </w:rPr>
                  </w:pPr>
                  <w:r>
                    <w:rPr>
                      <w:rFonts w:hint="default"/>
                      <w:lang w:eastAsia="zh-CN"/>
                    </w:rPr>
                    <w:t>达标</w:t>
                  </w:r>
                </w:p>
              </w:tc>
            </w:tr>
            <w:tr w14:paraId="4C760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pct"/>
                  <w:vMerge w:val="continue"/>
                  <w:tcBorders>
                    <w:tl2br w:val="nil"/>
                    <w:tr2bl w:val="nil"/>
                  </w:tcBorders>
                  <w:noWrap w:val="0"/>
                  <w:vAlign w:val="center"/>
                </w:tcPr>
                <w:p w14:paraId="4A76ECE4">
                  <w:pPr>
                    <w:pStyle w:val="243"/>
                    <w:bidi w:val="0"/>
                  </w:pPr>
                </w:p>
              </w:tc>
              <w:tc>
                <w:tcPr>
                  <w:tcW w:w="1562" w:type="pct"/>
                  <w:tcBorders>
                    <w:tl2br w:val="nil"/>
                    <w:tr2bl w:val="nil"/>
                  </w:tcBorders>
                  <w:noWrap w:val="0"/>
                  <w:vAlign w:val="center"/>
                </w:tcPr>
                <w:p w14:paraId="2C127158">
                  <w:pPr>
                    <w:pStyle w:val="243"/>
                    <w:bidi w:val="0"/>
                    <w:rPr>
                      <w:rFonts w:hint="default"/>
                      <w:lang w:val="en-US" w:eastAsia="zh-CN"/>
                    </w:rPr>
                  </w:pPr>
                  <w:r>
                    <w:rPr>
                      <w:rFonts w:hint="eastAsia"/>
                      <w:color w:val="000000" w:themeColor="text1"/>
                      <w:highlight w:val="none"/>
                      <w:lang w:val="en-US" w:eastAsia="zh-CN"/>
                      <w14:textFill>
                        <w14:solidFill>
                          <w14:schemeClr w14:val="tx1"/>
                        </w14:solidFill>
                      </w14:textFill>
                    </w:rPr>
                    <w:t>24小时平均第98百分位数</w:t>
                  </w:r>
                </w:p>
              </w:tc>
              <w:tc>
                <w:tcPr>
                  <w:tcW w:w="836" w:type="pct"/>
                  <w:tcBorders>
                    <w:tl2br w:val="nil"/>
                    <w:tr2bl w:val="nil"/>
                  </w:tcBorders>
                  <w:noWrap w:val="0"/>
                  <w:vAlign w:val="center"/>
                </w:tcPr>
                <w:p w14:paraId="65BD0104">
                  <w:pPr>
                    <w:pStyle w:val="243"/>
                    <w:bidi w:val="0"/>
                    <w:rPr>
                      <w:rFonts w:hint="default"/>
                      <w:lang w:val="en-US" w:eastAsia="zh-CN"/>
                    </w:rPr>
                  </w:pPr>
                  <w:r>
                    <w:rPr>
                      <w:rFonts w:hint="eastAsia"/>
                      <w:lang w:val="en-US" w:eastAsia="zh-CN"/>
                    </w:rPr>
                    <w:t>49</w:t>
                  </w:r>
                </w:p>
              </w:tc>
              <w:tc>
                <w:tcPr>
                  <w:tcW w:w="890" w:type="pct"/>
                  <w:tcBorders>
                    <w:tl2br w:val="nil"/>
                    <w:tr2bl w:val="nil"/>
                  </w:tcBorders>
                  <w:noWrap w:val="0"/>
                  <w:vAlign w:val="center"/>
                </w:tcPr>
                <w:p w14:paraId="3D97FE61">
                  <w:pPr>
                    <w:pStyle w:val="243"/>
                    <w:bidi w:val="0"/>
                  </w:pPr>
                  <w:r>
                    <w:rPr>
                      <w:rFonts w:hint="eastAsia"/>
                    </w:rPr>
                    <w:t>80</w:t>
                  </w:r>
                </w:p>
              </w:tc>
              <w:tc>
                <w:tcPr>
                  <w:tcW w:w="513" w:type="pct"/>
                  <w:tcBorders>
                    <w:tl2br w:val="nil"/>
                    <w:tr2bl w:val="nil"/>
                  </w:tcBorders>
                  <w:noWrap w:val="0"/>
                  <w:vAlign w:val="center"/>
                </w:tcPr>
                <w:p w14:paraId="7324EF34">
                  <w:pPr>
                    <w:pStyle w:val="243"/>
                    <w:bidi w:val="0"/>
                    <w:rPr>
                      <w:rFonts w:hint="default"/>
                      <w:lang w:val="en-US" w:eastAsia="zh-CN"/>
                    </w:rPr>
                  </w:pPr>
                  <w:r>
                    <w:rPr>
                      <w:rFonts w:hint="eastAsia"/>
                      <w:lang w:val="en-US" w:eastAsia="zh-CN"/>
                    </w:rPr>
                    <w:t>61</w:t>
                  </w:r>
                </w:p>
              </w:tc>
              <w:tc>
                <w:tcPr>
                  <w:tcW w:w="607" w:type="pct"/>
                  <w:tcBorders>
                    <w:tl2br w:val="nil"/>
                    <w:tr2bl w:val="nil"/>
                  </w:tcBorders>
                  <w:noWrap w:val="0"/>
                  <w:vAlign w:val="center"/>
                </w:tcPr>
                <w:p w14:paraId="5782809F">
                  <w:pPr>
                    <w:pStyle w:val="243"/>
                    <w:bidi w:val="0"/>
                    <w:rPr>
                      <w:rFonts w:hint="eastAsia"/>
                    </w:rPr>
                  </w:pPr>
                  <w:r>
                    <w:rPr>
                      <w:rFonts w:hint="default"/>
                      <w:lang w:eastAsia="zh-CN"/>
                    </w:rPr>
                    <w:t>达标</w:t>
                  </w:r>
                </w:p>
              </w:tc>
            </w:tr>
            <w:tr w14:paraId="0120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pct"/>
                  <w:tcBorders>
                    <w:tl2br w:val="nil"/>
                    <w:tr2bl w:val="nil"/>
                  </w:tcBorders>
                  <w:noWrap w:val="0"/>
                  <w:vAlign w:val="center"/>
                </w:tcPr>
                <w:p w14:paraId="5E78EE0F">
                  <w:pPr>
                    <w:pStyle w:val="243"/>
                    <w:bidi w:val="0"/>
                  </w:pPr>
                  <w:r>
                    <w:rPr>
                      <w:rFonts w:hint="eastAsia"/>
                    </w:rPr>
                    <w:t>CO</w:t>
                  </w:r>
                </w:p>
              </w:tc>
              <w:tc>
                <w:tcPr>
                  <w:tcW w:w="1562" w:type="pct"/>
                  <w:tcBorders>
                    <w:tl2br w:val="nil"/>
                    <w:tr2bl w:val="nil"/>
                  </w:tcBorders>
                  <w:noWrap w:val="0"/>
                  <w:vAlign w:val="center"/>
                </w:tcPr>
                <w:p w14:paraId="0D78A91E">
                  <w:pPr>
                    <w:pStyle w:val="243"/>
                    <w:bidi w:val="0"/>
                    <w:rPr>
                      <w:rFonts w:hint="default"/>
                      <w:lang w:val="en-US" w:eastAsia="zh-CN"/>
                    </w:rPr>
                  </w:pPr>
                  <w:r>
                    <w:rPr>
                      <w:rFonts w:hint="eastAsia"/>
                      <w:color w:val="000000" w:themeColor="text1"/>
                      <w:highlight w:val="none"/>
                      <w:lang w:val="en-US" w:eastAsia="zh-CN"/>
                      <w14:textFill>
                        <w14:solidFill>
                          <w14:schemeClr w14:val="tx1"/>
                        </w14:solidFill>
                      </w14:textFill>
                    </w:rPr>
                    <w:t>24小时平均第95百分位数</w:t>
                  </w:r>
                </w:p>
              </w:tc>
              <w:tc>
                <w:tcPr>
                  <w:tcW w:w="836" w:type="pct"/>
                  <w:tcBorders>
                    <w:tl2br w:val="nil"/>
                    <w:tr2bl w:val="nil"/>
                  </w:tcBorders>
                  <w:noWrap w:val="0"/>
                  <w:vAlign w:val="center"/>
                </w:tcPr>
                <w:p w14:paraId="019BBAD0">
                  <w:pPr>
                    <w:pStyle w:val="243"/>
                    <w:bidi w:val="0"/>
                    <w:rPr>
                      <w:rFonts w:hint="default"/>
                      <w:lang w:val="en-US" w:eastAsia="zh-CN"/>
                    </w:rPr>
                  </w:pPr>
                  <w:r>
                    <w:rPr>
                      <w:rFonts w:hint="eastAsia"/>
                      <w:lang w:val="en-US" w:eastAsia="zh-CN"/>
                    </w:rPr>
                    <w:t>2.2</w:t>
                  </w:r>
                </w:p>
              </w:tc>
              <w:tc>
                <w:tcPr>
                  <w:tcW w:w="890" w:type="pct"/>
                  <w:tcBorders>
                    <w:tl2br w:val="nil"/>
                    <w:tr2bl w:val="nil"/>
                  </w:tcBorders>
                  <w:noWrap w:val="0"/>
                  <w:vAlign w:val="center"/>
                </w:tcPr>
                <w:p w14:paraId="0FA1CF6E">
                  <w:pPr>
                    <w:pStyle w:val="243"/>
                    <w:bidi w:val="0"/>
                    <w:rPr>
                      <w:rFonts w:hint="default"/>
                      <w:lang w:val="en-US" w:eastAsia="zh-CN"/>
                    </w:rPr>
                  </w:pPr>
                  <w:r>
                    <w:rPr>
                      <w:rFonts w:hint="eastAsia"/>
                    </w:rPr>
                    <w:t>4</w:t>
                  </w:r>
                  <w:r>
                    <w:rPr>
                      <w:rFonts w:hint="eastAsia"/>
                      <w:lang w:val="en-US" w:eastAsia="zh-CN"/>
                    </w:rPr>
                    <w:t>000</w:t>
                  </w:r>
                </w:p>
              </w:tc>
              <w:tc>
                <w:tcPr>
                  <w:tcW w:w="513" w:type="pct"/>
                  <w:tcBorders>
                    <w:tl2br w:val="nil"/>
                    <w:tr2bl w:val="nil"/>
                  </w:tcBorders>
                  <w:noWrap w:val="0"/>
                  <w:vAlign w:val="center"/>
                </w:tcPr>
                <w:p w14:paraId="778D0DEE">
                  <w:pPr>
                    <w:pStyle w:val="243"/>
                    <w:bidi w:val="0"/>
                    <w:rPr>
                      <w:rFonts w:hint="default"/>
                      <w:lang w:val="en-US" w:eastAsia="zh-CN"/>
                    </w:rPr>
                  </w:pPr>
                  <w:r>
                    <w:rPr>
                      <w:rFonts w:hint="eastAsia"/>
                      <w:lang w:val="en-US" w:eastAsia="zh-CN"/>
                    </w:rPr>
                    <w:t>55</w:t>
                  </w:r>
                </w:p>
              </w:tc>
              <w:tc>
                <w:tcPr>
                  <w:tcW w:w="607" w:type="pct"/>
                  <w:tcBorders>
                    <w:tl2br w:val="nil"/>
                    <w:tr2bl w:val="nil"/>
                  </w:tcBorders>
                  <w:noWrap w:val="0"/>
                  <w:vAlign w:val="center"/>
                </w:tcPr>
                <w:p w14:paraId="2C8FC23F">
                  <w:pPr>
                    <w:pStyle w:val="243"/>
                    <w:bidi w:val="0"/>
                    <w:rPr>
                      <w:rFonts w:hint="eastAsia"/>
                    </w:rPr>
                  </w:pPr>
                  <w:r>
                    <w:rPr>
                      <w:rFonts w:hint="default"/>
                      <w:lang w:eastAsia="zh-CN"/>
                    </w:rPr>
                    <w:t>达标</w:t>
                  </w:r>
                </w:p>
              </w:tc>
            </w:tr>
            <w:tr w14:paraId="4F189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pct"/>
                  <w:tcBorders>
                    <w:tl2br w:val="nil"/>
                    <w:tr2bl w:val="nil"/>
                  </w:tcBorders>
                  <w:noWrap w:val="0"/>
                  <w:vAlign w:val="center"/>
                </w:tcPr>
                <w:p w14:paraId="52FF3513">
                  <w:pPr>
                    <w:pStyle w:val="243"/>
                    <w:bidi w:val="0"/>
                  </w:pPr>
                  <w:r>
                    <w:rPr>
                      <w:rFonts w:hint="eastAsia"/>
                    </w:rPr>
                    <w:t>O</w:t>
                  </w:r>
                  <w:r>
                    <w:rPr>
                      <w:rFonts w:hint="eastAsia"/>
                      <w:vertAlign w:val="subscript"/>
                    </w:rPr>
                    <w:t>3</w:t>
                  </w:r>
                </w:p>
              </w:tc>
              <w:tc>
                <w:tcPr>
                  <w:tcW w:w="1562" w:type="pct"/>
                  <w:tcBorders>
                    <w:tl2br w:val="nil"/>
                    <w:tr2bl w:val="nil"/>
                  </w:tcBorders>
                  <w:noWrap w:val="0"/>
                  <w:vAlign w:val="center"/>
                </w:tcPr>
                <w:p w14:paraId="7D97B2F4">
                  <w:pPr>
                    <w:pStyle w:val="243"/>
                    <w:bidi w:val="0"/>
                    <w:rPr>
                      <w:rFonts w:hint="default"/>
                      <w:lang w:val="en-US" w:eastAsia="zh-CN"/>
                    </w:rPr>
                  </w:pPr>
                  <w:r>
                    <w:rPr>
                      <w:rFonts w:hint="eastAsia"/>
                      <w:color w:val="000000" w:themeColor="text1"/>
                      <w:highlight w:val="none"/>
                      <w:lang w:val="en-US" w:eastAsia="zh-CN"/>
                      <w14:textFill>
                        <w14:solidFill>
                          <w14:schemeClr w14:val="tx1"/>
                        </w14:solidFill>
                      </w14:textFill>
                    </w:rPr>
                    <w:t>24小时最大8小时滑动平均值的第90百分位数</w:t>
                  </w:r>
                </w:p>
              </w:tc>
              <w:tc>
                <w:tcPr>
                  <w:tcW w:w="836" w:type="pct"/>
                  <w:tcBorders>
                    <w:tl2br w:val="nil"/>
                    <w:tr2bl w:val="nil"/>
                  </w:tcBorders>
                  <w:noWrap w:val="0"/>
                  <w:vAlign w:val="center"/>
                </w:tcPr>
                <w:p w14:paraId="19DA28BE">
                  <w:pPr>
                    <w:pStyle w:val="243"/>
                    <w:bidi w:val="0"/>
                    <w:rPr>
                      <w:rFonts w:hint="default"/>
                      <w:lang w:val="en-US" w:eastAsia="zh-CN"/>
                    </w:rPr>
                  </w:pPr>
                  <w:r>
                    <w:rPr>
                      <w:rFonts w:hint="eastAsia"/>
                      <w:lang w:val="en-US" w:eastAsia="zh-CN"/>
                    </w:rPr>
                    <w:t>130</w:t>
                  </w:r>
                </w:p>
              </w:tc>
              <w:tc>
                <w:tcPr>
                  <w:tcW w:w="890" w:type="pct"/>
                  <w:tcBorders>
                    <w:tl2br w:val="nil"/>
                    <w:tr2bl w:val="nil"/>
                  </w:tcBorders>
                  <w:noWrap w:val="0"/>
                  <w:vAlign w:val="center"/>
                </w:tcPr>
                <w:p w14:paraId="34724468">
                  <w:pPr>
                    <w:pStyle w:val="243"/>
                    <w:bidi w:val="0"/>
                  </w:pPr>
                  <w:r>
                    <w:rPr>
                      <w:rFonts w:hint="eastAsia"/>
                    </w:rPr>
                    <w:t>160</w:t>
                  </w:r>
                </w:p>
              </w:tc>
              <w:tc>
                <w:tcPr>
                  <w:tcW w:w="513" w:type="pct"/>
                  <w:tcBorders>
                    <w:tl2br w:val="nil"/>
                    <w:tr2bl w:val="nil"/>
                  </w:tcBorders>
                  <w:noWrap w:val="0"/>
                  <w:vAlign w:val="center"/>
                </w:tcPr>
                <w:p w14:paraId="324E2DE4">
                  <w:pPr>
                    <w:pStyle w:val="243"/>
                    <w:bidi w:val="0"/>
                    <w:rPr>
                      <w:rFonts w:hint="default"/>
                      <w:lang w:val="en-US" w:eastAsia="zh-CN"/>
                    </w:rPr>
                  </w:pPr>
                  <w:r>
                    <w:rPr>
                      <w:rFonts w:hint="eastAsia"/>
                      <w:lang w:val="en-US" w:eastAsia="zh-CN"/>
                    </w:rPr>
                    <w:t>81</w:t>
                  </w:r>
                </w:p>
              </w:tc>
              <w:tc>
                <w:tcPr>
                  <w:tcW w:w="607" w:type="pct"/>
                  <w:tcBorders>
                    <w:tl2br w:val="nil"/>
                    <w:tr2bl w:val="nil"/>
                  </w:tcBorders>
                  <w:noWrap w:val="0"/>
                  <w:vAlign w:val="center"/>
                </w:tcPr>
                <w:p w14:paraId="2F5A2A2D">
                  <w:pPr>
                    <w:pStyle w:val="243"/>
                    <w:bidi w:val="0"/>
                    <w:rPr>
                      <w:rFonts w:hint="eastAsia"/>
                    </w:rPr>
                  </w:pPr>
                  <w:r>
                    <w:rPr>
                      <w:rFonts w:hint="default"/>
                      <w:lang w:eastAsia="zh-CN"/>
                    </w:rPr>
                    <w:t>达标</w:t>
                  </w:r>
                </w:p>
              </w:tc>
            </w:tr>
            <w:tr w14:paraId="51FFA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588" w:type="pct"/>
                  <w:vMerge w:val="restart"/>
                  <w:tcBorders>
                    <w:tl2br w:val="nil"/>
                    <w:tr2bl w:val="nil"/>
                  </w:tcBorders>
                  <w:noWrap w:val="0"/>
                  <w:vAlign w:val="center"/>
                </w:tcPr>
                <w:p w14:paraId="76622009">
                  <w:pPr>
                    <w:pStyle w:val="243"/>
                    <w:bidi w:val="0"/>
                  </w:pPr>
                  <w:r>
                    <w:rPr>
                      <w:rFonts w:hint="eastAsia"/>
                    </w:rPr>
                    <w:t>PM</w:t>
                  </w:r>
                  <w:r>
                    <w:rPr>
                      <w:rFonts w:hint="eastAsia"/>
                      <w:vertAlign w:val="subscript"/>
                    </w:rPr>
                    <w:t>10</w:t>
                  </w:r>
                </w:p>
              </w:tc>
              <w:tc>
                <w:tcPr>
                  <w:tcW w:w="1562" w:type="pct"/>
                  <w:tcBorders>
                    <w:tl2br w:val="nil"/>
                    <w:tr2bl w:val="nil"/>
                  </w:tcBorders>
                  <w:noWrap w:val="0"/>
                  <w:vAlign w:val="center"/>
                </w:tcPr>
                <w:p w14:paraId="5DB879F5">
                  <w:pPr>
                    <w:pStyle w:val="243"/>
                    <w:bidi w:val="0"/>
                    <w:rPr>
                      <w:rFonts w:hint="default"/>
                      <w:lang w:val="en-US" w:eastAsia="zh-CN"/>
                    </w:rPr>
                  </w:pPr>
                  <w:r>
                    <w:rPr>
                      <w:rFonts w:hint="eastAsia"/>
                      <w:lang w:val="en-US" w:eastAsia="zh-CN"/>
                    </w:rPr>
                    <w:t>年平均</w:t>
                  </w:r>
                </w:p>
              </w:tc>
              <w:tc>
                <w:tcPr>
                  <w:tcW w:w="836" w:type="pct"/>
                  <w:tcBorders>
                    <w:tl2br w:val="nil"/>
                    <w:tr2bl w:val="nil"/>
                  </w:tcBorders>
                  <w:noWrap w:val="0"/>
                  <w:vAlign w:val="center"/>
                </w:tcPr>
                <w:p w14:paraId="20D7D9BC">
                  <w:pPr>
                    <w:pStyle w:val="243"/>
                    <w:bidi w:val="0"/>
                    <w:rPr>
                      <w:rFonts w:hint="default"/>
                      <w:lang w:val="en-US" w:eastAsia="zh-CN"/>
                    </w:rPr>
                  </w:pPr>
                  <w:r>
                    <w:rPr>
                      <w:rFonts w:hint="eastAsia"/>
                      <w:lang w:val="en-US" w:eastAsia="zh-CN"/>
                    </w:rPr>
                    <w:t>108</w:t>
                  </w:r>
                </w:p>
              </w:tc>
              <w:tc>
                <w:tcPr>
                  <w:tcW w:w="890" w:type="pct"/>
                  <w:tcBorders>
                    <w:tl2br w:val="nil"/>
                    <w:tr2bl w:val="nil"/>
                  </w:tcBorders>
                  <w:noWrap w:val="0"/>
                  <w:vAlign w:val="center"/>
                </w:tcPr>
                <w:p w14:paraId="1647B3FE">
                  <w:pPr>
                    <w:pStyle w:val="243"/>
                    <w:bidi w:val="0"/>
                    <w:rPr>
                      <w:rFonts w:hint="default"/>
                      <w:lang w:val="en-US" w:eastAsia="zh-CN"/>
                    </w:rPr>
                  </w:pPr>
                  <w:r>
                    <w:rPr>
                      <w:rFonts w:hint="eastAsia"/>
                      <w:lang w:val="en-US" w:eastAsia="zh-CN"/>
                    </w:rPr>
                    <w:t>60</w:t>
                  </w:r>
                </w:p>
              </w:tc>
              <w:tc>
                <w:tcPr>
                  <w:tcW w:w="513" w:type="pct"/>
                  <w:tcBorders>
                    <w:tl2br w:val="nil"/>
                    <w:tr2bl w:val="nil"/>
                  </w:tcBorders>
                  <w:noWrap w:val="0"/>
                  <w:vAlign w:val="center"/>
                </w:tcPr>
                <w:p w14:paraId="4EA7D275">
                  <w:pPr>
                    <w:pStyle w:val="243"/>
                    <w:bidi w:val="0"/>
                    <w:rPr>
                      <w:rFonts w:hint="default"/>
                      <w:lang w:val="en-US" w:eastAsia="zh-CN"/>
                    </w:rPr>
                  </w:pPr>
                  <w:r>
                    <w:rPr>
                      <w:rFonts w:hint="eastAsia"/>
                      <w:lang w:val="en-US" w:eastAsia="zh-CN"/>
                    </w:rPr>
                    <w:t>180</w:t>
                  </w:r>
                </w:p>
              </w:tc>
              <w:tc>
                <w:tcPr>
                  <w:tcW w:w="607" w:type="pct"/>
                  <w:tcBorders>
                    <w:tl2br w:val="nil"/>
                    <w:tr2bl w:val="nil"/>
                  </w:tcBorders>
                  <w:noWrap w:val="0"/>
                  <w:vAlign w:val="center"/>
                </w:tcPr>
                <w:p w14:paraId="32C6F650">
                  <w:pPr>
                    <w:pStyle w:val="243"/>
                    <w:bidi w:val="0"/>
                    <w:rPr>
                      <w:rFonts w:hint="eastAsia"/>
                    </w:rPr>
                  </w:pPr>
                  <w:r>
                    <w:rPr>
                      <w:rFonts w:hint="eastAsia"/>
                      <w:lang w:val="en-US" w:eastAsia="zh-CN"/>
                    </w:rPr>
                    <w:t>超标</w:t>
                  </w:r>
                </w:p>
              </w:tc>
            </w:tr>
            <w:tr w14:paraId="09FD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pct"/>
                  <w:vMerge w:val="continue"/>
                  <w:tcBorders>
                    <w:tl2br w:val="nil"/>
                    <w:tr2bl w:val="nil"/>
                  </w:tcBorders>
                  <w:noWrap w:val="0"/>
                  <w:vAlign w:val="center"/>
                </w:tcPr>
                <w:p w14:paraId="37C18C9F">
                  <w:pPr>
                    <w:pStyle w:val="243"/>
                    <w:bidi w:val="0"/>
                  </w:pPr>
                </w:p>
              </w:tc>
              <w:tc>
                <w:tcPr>
                  <w:tcW w:w="1562" w:type="pct"/>
                  <w:tcBorders>
                    <w:tl2br w:val="nil"/>
                    <w:tr2bl w:val="nil"/>
                  </w:tcBorders>
                  <w:noWrap w:val="0"/>
                  <w:vAlign w:val="center"/>
                </w:tcPr>
                <w:p w14:paraId="773CBE29">
                  <w:pPr>
                    <w:pStyle w:val="243"/>
                    <w:bidi w:val="0"/>
                    <w:rPr>
                      <w:rFonts w:hint="default"/>
                      <w:lang w:val="en-US" w:eastAsia="zh-CN"/>
                    </w:rPr>
                  </w:pPr>
                  <w:r>
                    <w:rPr>
                      <w:rFonts w:hint="eastAsia"/>
                      <w:color w:val="000000" w:themeColor="text1"/>
                      <w:highlight w:val="none"/>
                      <w:lang w:val="en-US" w:eastAsia="zh-CN"/>
                      <w14:textFill>
                        <w14:solidFill>
                          <w14:schemeClr w14:val="tx1"/>
                        </w14:solidFill>
                      </w14:textFill>
                    </w:rPr>
                    <w:t>24小时平均第95百分位数</w:t>
                  </w:r>
                </w:p>
              </w:tc>
              <w:tc>
                <w:tcPr>
                  <w:tcW w:w="836" w:type="pct"/>
                  <w:tcBorders>
                    <w:tl2br w:val="nil"/>
                    <w:tr2bl w:val="nil"/>
                  </w:tcBorders>
                  <w:noWrap w:val="0"/>
                  <w:vAlign w:val="center"/>
                </w:tcPr>
                <w:p w14:paraId="35E24D19">
                  <w:pPr>
                    <w:pStyle w:val="243"/>
                    <w:bidi w:val="0"/>
                    <w:rPr>
                      <w:rFonts w:hint="default"/>
                      <w:lang w:val="en-US" w:eastAsia="zh-CN"/>
                    </w:rPr>
                  </w:pPr>
                  <w:r>
                    <w:rPr>
                      <w:rFonts w:hint="eastAsia"/>
                      <w:lang w:val="en-US" w:eastAsia="zh-CN"/>
                    </w:rPr>
                    <w:t>318</w:t>
                  </w:r>
                </w:p>
              </w:tc>
              <w:tc>
                <w:tcPr>
                  <w:tcW w:w="890" w:type="pct"/>
                  <w:tcBorders>
                    <w:tl2br w:val="nil"/>
                    <w:tr2bl w:val="nil"/>
                  </w:tcBorders>
                  <w:noWrap w:val="0"/>
                  <w:vAlign w:val="center"/>
                </w:tcPr>
                <w:p w14:paraId="7CFD8CB8">
                  <w:pPr>
                    <w:pStyle w:val="243"/>
                    <w:bidi w:val="0"/>
                    <w:rPr>
                      <w:rFonts w:hint="default"/>
                      <w:lang w:val="en-US" w:eastAsia="zh-CN"/>
                    </w:rPr>
                  </w:pPr>
                  <w:r>
                    <w:rPr>
                      <w:rFonts w:hint="eastAsia"/>
                      <w:lang w:val="en-US" w:eastAsia="zh-CN"/>
                    </w:rPr>
                    <w:t>120</w:t>
                  </w:r>
                </w:p>
              </w:tc>
              <w:tc>
                <w:tcPr>
                  <w:tcW w:w="513" w:type="pct"/>
                  <w:tcBorders>
                    <w:tl2br w:val="nil"/>
                    <w:tr2bl w:val="nil"/>
                  </w:tcBorders>
                  <w:noWrap w:val="0"/>
                  <w:vAlign w:val="center"/>
                </w:tcPr>
                <w:p w14:paraId="11426988">
                  <w:pPr>
                    <w:pStyle w:val="243"/>
                    <w:bidi w:val="0"/>
                    <w:rPr>
                      <w:rFonts w:hint="default"/>
                      <w:lang w:val="en-US" w:eastAsia="zh-CN"/>
                    </w:rPr>
                  </w:pPr>
                  <w:r>
                    <w:rPr>
                      <w:rFonts w:hint="eastAsia"/>
                      <w:lang w:val="en-US" w:eastAsia="zh-CN"/>
                    </w:rPr>
                    <w:t>265</w:t>
                  </w:r>
                </w:p>
              </w:tc>
              <w:tc>
                <w:tcPr>
                  <w:tcW w:w="607" w:type="pct"/>
                  <w:tcBorders>
                    <w:tl2br w:val="nil"/>
                    <w:tr2bl w:val="nil"/>
                  </w:tcBorders>
                  <w:noWrap w:val="0"/>
                  <w:vAlign w:val="center"/>
                </w:tcPr>
                <w:p w14:paraId="0E5BF221">
                  <w:pPr>
                    <w:pStyle w:val="243"/>
                    <w:bidi w:val="0"/>
                    <w:rPr>
                      <w:rFonts w:hint="eastAsia"/>
                    </w:rPr>
                  </w:pPr>
                  <w:r>
                    <w:rPr>
                      <w:rFonts w:hint="eastAsia"/>
                      <w:lang w:val="en-US" w:eastAsia="zh-CN"/>
                    </w:rPr>
                    <w:t>超标</w:t>
                  </w:r>
                </w:p>
              </w:tc>
            </w:tr>
            <w:tr w14:paraId="326EB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pct"/>
                  <w:vMerge w:val="restart"/>
                  <w:tcBorders>
                    <w:tl2br w:val="nil"/>
                    <w:tr2bl w:val="nil"/>
                  </w:tcBorders>
                  <w:noWrap w:val="0"/>
                  <w:vAlign w:val="center"/>
                </w:tcPr>
                <w:p w14:paraId="6716E4E9">
                  <w:pPr>
                    <w:pStyle w:val="243"/>
                    <w:bidi w:val="0"/>
                  </w:pPr>
                  <w:r>
                    <w:rPr>
                      <w:rFonts w:hint="eastAsia"/>
                    </w:rPr>
                    <w:t>PM</w:t>
                  </w:r>
                  <w:r>
                    <w:rPr>
                      <w:rFonts w:hint="eastAsia"/>
                      <w:vertAlign w:val="subscript"/>
                    </w:rPr>
                    <w:t>2.5</w:t>
                  </w:r>
                </w:p>
              </w:tc>
              <w:tc>
                <w:tcPr>
                  <w:tcW w:w="1562" w:type="pct"/>
                  <w:tcBorders>
                    <w:tl2br w:val="nil"/>
                    <w:tr2bl w:val="nil"/>
                  </w:tcBorders>
                  <w:noWrap w:val="0"/>
                  <w:vAlign w:val="center"/>
                </w:tcPr>
                <w:p w14:paraId="0EF25748">
                  <w:pPr>
                    <w:pStyle w:val="243"/>
                    <w:bidi w:val="0"/>
                    <w:rPr>
                      <w:rFonts w:hint="default"/>
                      <w:lang w:val="en-US" w:eastAsia="zh-CN"/>
                    </w:rPr>
                  </w:pPr>
                  <w:r>
                    <w:rPr>
                      <w:rFonts w:hint="eastAsia"/>
                      <w:lang w:val="en-US" w:eastAsia="zh-CN"/>
                    </w:rPr>
                    <w:t>年平均</w:t>
                  </w:r>
                </w:p>
              </w:tc>
              <w:tc>
                <w:tcPr>
                  <w:tcW w:w="836" w:type="pct"/>
                  <w:tcBorders>
                    <w:tl2br w:val="nil"/>
                    <w:tr2bl w:val="nil"/>
                  </w:tcBorders>
                  <w:noWrap w:val="0"/>
                  <w:vAlign w:val="center"/>
                </w:tcPr>
                <w:p w14:paraId="36BD082F">
                  <w:pPr>
                    <w:pStyle w:val="243"/>
                    <w:bidi w:val="0"/>
                    <w:rPr>
                      <w:rFonts w:hint="default"/>
                      <w:lang w:val="en-US" w:eastAsia="zh-CN"/>
                    </w:rPr>
                  </w:pPr>
                  <w:r>
                    <w:rPr>
                      <w:rFonts w:hint="eastAsia"/>
                      <w:lang w:val="en-US" w:eastAsia="zh-CN"/>
                    </w:rPr>
                    <w:t>36</w:t>
                  </w:r>
                </w:p>
              </w:tc>
              <w:tc>
                <w:tcPr>
                  <w:tcW w:w="890" w:type="pct"/>
                  <w:tcBorders>
                    <w:tl2br w:val="nil"/>
                    <w:tr2bl w:val="nil"/>
                  </w:tcBorders>
                  <w:noWrap w:val="0"/>
                  <w:vAlign w:val="center"/>
                </w:tcPr>
                <w:p w14:paraId="6FE81C48">
                  <w:pPr>
                    <w:pStyle w:val="243"/>
                    <w:bidi w:val="0"/>
                    <w:rPr>
                      <w:rFonts w:hint="default"/>
                      <w:lang w:val="en-US" w:eastAsia="zh-CN"/>
                    </w:rPr>
                  </w:pPr>
                  <w:r>
                    <w:rPr>
                      <w:rFonts w:hint="eastAsia"/>
                      <w:lang w:val="en-US" w:eastAsia="zh-CN"/>
                    </w:rPr>
                    <w:t>30</w:t>
                  </w:r>
                </w:p>
              </w:tc>
              <w:tc>
                <w:tcPr>
                  <w:tcW w:w="513" w:type="pct"/>
                  <w:tcBorders>
                    <w:tl2br w:val="nil"/>
                    <w:tr2bl w:val="nil"/>
                  </w:tcBorders>
                  <w:noWrap w:val="0"/>
                  <w:vAlign w:val="center"/>
                </w:tcPr>
                <w:p w14:paraId="52D4C50B">
                  <w:pPr>
                    <w:pStyle w:val="243"/>
                    <w:bidi w:val="0"/>
                    <w:rPr>
                      <w:rFonts w:hint="default"/>
                      <w:lang w:val="en-US" w:eastAsia="zh-CN"/>
                    </w:rPr>
                  </w:pPr>
                  <w:r>
                    <w:rPr>
                      <w:rFonts w:hint="eastAsia"/>
                      <w:lang w:val="en-US" w:eastAsia="zh-CN"/>
                    </w:rPr>
                    <w:t>120</w:t>
                  </w:r>
                </w:p>
              </w:tc>
              <w:tc>
                <w:tcPr>
                  <w:tcW w:w="607" w:type="pct"/>
                  <w:tcBorders>
                    <w:tl2br w:val="nil"/>
                    <w:tr2bl w:val="nil"/>
                  </w:tcBorders>
                  <w:noWrap w:val="0"/>
                  <w:vAlign w:val="center"/>
                </w:tcPr>
                <w:p w14:paraId="6CFD9BD8">
                  <w:pPr>
                    <w:pStyle w:val="243"/>
                    <w:bidi w:val="0"/>
                    <w:rPr>
                      <w:rFonts w:hint="eastAsia"/>
                    </w:rPr>
                  </w:pPr>
                  <w:r>
                    <w:rPr>
                      <w:rFonts w:hint="eastAsia"/>
                      <w:lang w:val="en-US" w:eastAsia="zh-CN"/>
                    </w:rPr>
                    <w:t>超标</w:t>
                  </w:r>
                </w:p>
              </w:tc>
            </w:tr>
            <w:tr w14:paraId="19633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pct"/>
                  <w:vMerge w:val="continue"/>
                  <w:tcBorders>
                    <w:tl2br w:val="nil"/>
                    <w:tr2bl w:val="nil"/>
                  </w:tcBorders>
                  <w:noWrap w:val="0"/>
                  <w:vAlign w:val="center"/>
                </w:tcPr>
                <w:p w14:paraId="4EB63C02">
                  <w:pPr>
                    <w:pStyle w:val="243"/>
                    <w:bidi w:val="0"/>
                  </w:pPr>
                </w:p>
              </w:tc>
              <w:tc>
                <w:tcPr>
                  <w:tcW w:w="1562" w:type="pct"/>
                  <w:tcBorders>
                    <w:tl2br w:val="nil"/>
                    <w:tr2bl w:val="nil"/>
                  </w:tcBorders>
                  <w:noWrap w:val="0"/>
                  <w:vAlign w:val="center"/>
                </w:tcPr>
                <w:p w14:paraId="7D8020CF">
                  <w:pPr>
                    <w:pStyle w:val="243"/>
                    <w:bidi w:val="0"/>
                    <w:rPr>
                      <w:rFonts w:hint="default"/>
                      <w:lang w:val="en-US" w:eastAsia="zh-CN"/>
                    </w:rPr>
                  </w:pPr>
                  <w:r>
                    <w:rPr>
                      <w:rFonts w:hint="eastAsia"/>
                      <w:color w:val="000000" w:themeColor="text1"/>
                      <w:highlight w:val="none"/>
                      <w:lang w:val="en-US" w:eastAsia="zh-CN"/>
                      <w14:textFill>
                        <w14:solidFill>
                          <w14:schemeClr w14:val="tx1"/>
                        </w14:solidFill>
                      </w14:textFill>
                    </w:rPr>
                    <w:t>24小时平均第95百分位数</w:t>
                  </w:r>
                </w:p>
              </w:tc>
              <w:tc>
                <w:tcPr>
                  <w:tcW w:w="836" w:type="pct"/>
                  <w:tcBorders>
                    <w:tl2br w:val="nil"/>
                    <w:tr2bl w:val="nil"/>
                  </w:tcBorders>
                  <w:noWrap w:val="0"/>
                  <w:vAlign w:val="center"/>
                </w:tcPr>
                <w:p w14:paraId="36B4D328">
                  <w:pPr>
                    <w:pStyle w:val="243"/>
                    <w:bidi w:val="0"/>
                    <w:rPr>
                      <w:rFonts w:hint="default"/>
                      <w:lang w:val="en-US" w:eastAsia="zh-CN"/>
                    </w:rPr>
                  </w:pPr>
                  <w:r>
                    <w:rPr>
                      <w:rFonts w:hint="eastAsia"/>
                      <w:lang w:val="en-US" w:eastAsia="zh-CN"/>
                    </w:rPr>
                    <w:t>78</w:t>
                  </w:r>
                </w:p>
              </w:tc>
              <w:tc>
                <w:tcPr>
                  <w:tcW w:w="890" w:type="pct"/>
                  <w:tcBorders>
                    <w:tl2br w:val="nil"/>
                    <w:tr2bl w:val="nil"/>
                  </w:tcBorders>
                  <w:noWrap w:val="0"/>
                  <w:vAlign w:val="center"/>
                </w:tcPr>
                <w:p w14:paraId="35734AC4">
                  <w:pPr>
                    <w:pStyle w:val="243"/>
                    <w:bidi w:val="0"/>
                    <w:rPr>
                      <w:rFonts w:hint="default"/>
                      <w:lang w:val="en-US" w:eastAsia="zh-CN"/>
                    </w:rPr>
                  </w:pPr>
                  <w:r>
                    <w:rPr>
                      <w:rFonts w:hint="eastAsia"/>
                      <w:lang w:val="en-US" w:eastAsia="zh-CN"/>
                    </w:rPr>
                    <w:t>60</w:t>
                  </w:r>
                </w:p>
              </w:tc>
              <w:tc>
                <w:tcPr>
                  <w:tcW w:w="513" w:type="pct"/>
                  <w:tcBorders>
                    <w:tl2br w:val="nil"/>
                    <w:tr2bl w:val="nil"/>
                  </w:tcBorders>
                  <w:noWrap w:val="0"/>
                  <w:vAlign w:val="center"/>
                </w:tcPr>
                <w:p w14:paraId="33D0F1EE">
                  <w:pPr>
                    <w:pStyle w:val="243"/>
                    <w:bidi w:val="0"/>
                    <w:rPr>
                      <w:rFonts w:hint="default"/>
                      <w:lang w:val="en-US" w:eastAsia="zh-CN"/>
                    </w:rPr>
                  </w:pPr>
                  <w:r>
                    <w:rPr>
                      <w:rFonts w:hint="eastAsia"/>
                      <w:lang w:val="en-US" w:eastAsia="zh-CN"/>
                    </w:rPr>
                    <w:t>130</w:t>
                  </w:r>
                </w:p>
              </w:tc>
              <w:tc>
                <w:tcPr>
                  <w:tcW w:w="607" w:type="pct"/>
                  <w:tcBorders>
                    <w:tl2br w:val="nil"/>
                    <w:tr2bl w:val="nil"/>
                  </w:tcBorders>
                  <w:noWrap w:val="0"/>
                  <w:vAlign w:val="center"/>
                </w:tcPr>
                <w:p w14:paraId="452EDA99">
                  <w:pPr>
                    <w:pStyle w:val="243"/>
                    <w:bidi w:val="0"/>
                    <w:rPr>
                      <w:rFonts w:hint="eastAsia"/>
                    </w:rPr>
                  </w:pPr>
                  <w:r>
                    <w:rPr>
                      <w:rFonts w:hint="eastAsia"/>
                      <w:lang w:val="en-US" w:eastAsia="zh-CN"/>
                    </w:rPr>
                    <w:t>超标</w:t>
                  </w:r>
                </w:p>
              </w:tc>
            </w:tr>
          </w:tbl>
          <w:p w14:paraId="7420C20B">
            <w:pPr>
              <w:spacing w:line="500" w:lineRule="exact"/>
              <w:ind w:firstLine="480" w:firstLineChars="200"/>
              <w:jc w:val="left"/>
              <w:rPr>
                <w:rFonts w:hint="eastAsia" w:hAnsiTheme="minorEastAsia"/>
                <w:color w:val="auto"/>
                <w:sz w:val="24"/>
                <w:highlight w:val="none"/>
              </w:rPr>
            </w:pPr>
            <w:r>
              <w:rPr>
                <w:rFonts w:hint="eastAsia" w:hAnsiTheme="minorEastAsia"/>
                <w:color w:val="auto"/>
                <w:sz w:val="24"/>
                <w:highlight w:val="none"/>
              </w:rPr>
              <w:t>由上表可知，项目区所在区域PM</w:t>
            </w:r>
            <w:r>
              <w:rPr>
                <w:rFonts w:hint="eastAsia" w:hAnsiTheme="minorEastAsia"/>
                <w:color w:val="auto"/>
                <w:sz w:val="24"/>
                <w:highlight w:val="none"/>
                <w:vertAlign w:val="subscript"/>
              </w:rPr>
              <w:t>10</w:t>
            </w:r>
            <w:r>
              <w:rPr>
                <w:rFonts w:hint="eastAsia" w:hAnsiTheme="minorEastAsia"/>
                <w:color w:val="auto"/>
                <w:sz w:val="24"/>
                <w:highlight w:val="none"/>
              </w:rPr>
              <w:t>年平均值，日平均值和PM</w:t>
            </w:r>
            <w:r>
              <w:rPr>
                <w:rFonts w:hint="eastAsia" w:hAnsiTheme="minorEastAsia"/>
                <w:color w:val="auto"/>
                <w:sz w:val="24"/>
                <w:highlight w:val="none"/>
                <w:vertAlign w:val="subscript"/>
              </w:rPr>
              <w:t>2.5</w:t>
            </w:r>
            <w:r>
              <w:rPr>
                <w:rFonts w:hint="eastAsia" w:hAnsiTheme="minorEastAsia"/>
                <w:color w:val="auto"/>
                <w:sz w:val="24"/>
                <w:highlight w:val="none"/>
              </w:rPr>
              <w:t>年平均值，日平均值浓度超过《环境空气质量标准》（GB3095-2026）过渡阶段浓度限值的二级标准要求，SO</w:t>
            </w:r>
            <w:r>
              <w:rPr>
                <w:rFonts w:hint="eastAsia" w:hAnsiTheme="minorEastAsia"/>
                <w:color w:val="auto"/>
                <w:sz w:val="24"/>
                <w:highlight w:val="none"/>
                <w:vertAlign w:val="subscript"/>
              </w:rPr>
              <w:t>2</w:t>
            </w:r>
            <w:r>
              <w:rPr>
                <w:rFonts w:hint="eastAsia" w:hAnsiTheme="minorEastAsia"/>
                <w:color w:val="auto"/>
                <w:sz w:val="24"/>
                <w:highlight w:val="none"/>
              </w:rPr>
              <w:t>、NO</w:t>
            </w:r>
            <w:r>
              <w:rPr>
                <w:rFonts w:hint="eastAsia" w:hAnsiTheme="minorEastAsia"/>
                <w:color w:val="auto"/>
                <w:sz w:val="24"/>
                <w:highlight w:val="none"/>
                <w:vertAlign w:val="subscript"/>
              </w:rPr>
              <w:t>2</w:t>
            </w:r>
            <w:r>
              <w:rPr>
                <w:rFonts w:hint="eastAsia" w:hAnsiTheme="minorEastAsia"/>
                <w:color w:val="auto"/>
                <w:sz w:val="24"/>
                <w:highlight w:val="none"/>
              </w:rPr>
              <w:t>、CO、O</w:t>
            </w:r>
            <w:r>
              <w:rPr>
                <w:rFonts w:hint="eastAsia" w:hAnsiTheme="minorEastAsia"/>
                <w:color w:val="auto"/>
                <w:sz w:val="24"/>
                <w:highlight w:val="none"/>
                <w:vertAlign w:val="subscript"/>
              </w:rPr>
              <w:t>3</w:t>
            </w:r>
            <w:r>
              <w:rPr>
                <w:rFonts w:hint="eastAsia" w:hAnsiTheme="minorEastAsia"/>
                <w:color w:val="auto"/>
                <w:sz w:val="24"/>
                <w:highlight w:val="none"/>
              </w:rPr>
              <w:t>等其他监测指标均满足二级标准。PM</w:t>
            </w:r>
            <w:r>
              <w:rPr>
                <w:rFonts w:hint="eastAsia" w:hAnsiTheme="minorEastAsia"/>
                <w:color w:val="auto"/>
                <w:sz w:val="24"/>
                <w:highlight w:val="none"/>
                <w:vertAlign w:val="subscript"/>
              </w:rPr>
              <w:t>10</w:t>
            </w:r>
            <w:r>
              <w:rPr>
                <w:rFonts w:hint="eastAsia" w:hAnsiTheme="minorEastAsia"/>
                <w:color w:val="auto"/>
                <w:sz w:val="24"/>
                <w:highlight w:val="none"/>
              </w:rPr>
              <w:t>、PM</w:t>
            </w:r>
            <w:r>
              <w:rPr>
                <w:rFonts w:hint="eastAsia" w:hAnsiTheme="minorEastAsia"/>
                <w:color w:val="auto"/>
                <w:sz w:val="24"/>
                <w:highlight w:val="none"/>
                <w:vertAlign w:val="subscript"/>
              </w:rPr>
              <w:t>2.5</w:t>
            </w:r>
            <w:r>
              <w:rPr>
                <w:rFonts w:hint="eastAsia" w:hAnsiTheme="minorEastAsia"/>
                <w:color w:val="auto"/>
                <w:sz w:val="24"/>
                <w:highlight w:val="none"/>
              </w:rPr>
              <w:t>超标主要是与当地气候条件和地理位置有关，评价区大气由于受当地干旱气候的影响，空气中PM</w:t>
            </w:r>
            <w:r>
              <w:rPr>
                <w:rFonts w:hint="eastAsia" w:hAnsiTheme="minorEastAsia"/>
                <w:color w:val="auto"/>
                <w:sz w:val="24"/>
                <w:highlight w:val="none"/>
                <w:vertAlign w:val="subscript"/>
              </w:rPr>
              <w:t>2.5</w:t>
            </w:r>
            <w:r>
              <w:rPr>
                <w:rFonts w:hint="eastAsia" w:hAnsiTheme="minorEastAsia"/>
                <w:color w:val="auto"/>
                <w:sz w:val="24"/>
                <w:highlight w:val="none"/>
              </w:rPr>
              <w:t>、PM</w:t>
            </w:r>
            <w:r>
              <w:rPr>
                <w:rFonts w:hint="eastAsia" w:hAnsiTheme="minorEastAsia"/>
                <w:color w:val="auto"/>
                <w:sz w:val="24"/>
                <w:highlight w:val="none"/>
                <w:vertAlign w:val="subscript"/>
              </w:rPr>
              <w:t>10</w:t>
            </w:r>
            <w:r>
              <w:rPr>
                <w:rFonts w:hint="eastAsia" w:hAnsiTheme="minorEastAsia"/>
                <w:color w:val="auto"/>
                <w:sz w:val="24"/>
                <w:highlight w:val="none"/>
              </w:rPr>
              <w:t>的本底值偏高，尤其在沙尘暴和浮尘天气，会出现严重超标。因此，项目所在区域为不达标区。</w:t>
            </w:r>
          </w:p>
          <w:p w14:paraId="1D6D6E94">
            <w:pPr>
              <w:spacing w:line="500" w:lineRule="exact"/>
              <w:jc w:val="left"/>
              <w:rPr>
                <w:rFonts w:eastAsiaTheme="minorEastAsia"/>
                <w:b/>
                <w:color w:val="auto"/>
                <w:sz w:val="24"/>
                <w:highlight w:val="none"/>
              </w:rPr>
            </w:pPr>
            <w:r>
              <w:rPr>
                <w:rFonts w:eastAsiaTheme="minorEastAsia"/>
                <w:b/>
                <w:color w:val="auto"/>
                <w:sz w:val="24"/>
                <w:highlight w:val="none"/>
              </w:rPr>
              <w:t>1</w:t>
            </w:r>
            <w:r>
              <w:rPr>
                <w:rFonts w:hint="eastAsia" w:eastAsiaTheme="minorEastAsia"/>
                <w:b/>
                <w:color w:val="auto"/>
                <w:sz w:val="24"/>
                <w:highlight w:val="none"/>
              </w:rPr>
              <w:t>.2</w:t>
            </w:r>
            <w:r>
              <w:rPr>
                <w:rFonts w:hint="eastAsia" w:hAnsiTheme="minorEastAsia" w:eastAsiaTheme="minorEastAsia"/>
                <w:b/>
                <w:color w:val="auto"/>
                <w:sz w:val="24"/>
                <w:highlight w:val="none"/>
              </w:rPr>
              <w:t>其他污染物环境质量现状评价</w:t>
            </w:r>
          </w:p>
          <w:p w14:paraId="5EA4EC3E">
            <w:pPr>
              <w:spacing w:line="500" w:lineRule="exact"/>
              <w:ind w:firstLine="480" w:firstLineChars="200"/>
              <w:rPr>
                <w:rFonts w:eastAsiaTheme="minorEastAsia"/>
                <w:color w:val="auto"/>
                <w:sz w:val="24"/>
                <w:highlight w:val="none"/>
              </w:rPr>
            </w:pPr>
            <w:r>
              <w:rPr>
                <w:rFonts w:hAnsiTheme="minorEastAsia" w:eastAsiaTheme="minorEastAsia"/>
                <w:color w:val="auto"/>
                <w:sz w:val="24"/>
                <w:highlight w:val="none"/>
              </w:rPr>
              <w:t>（</w:t>
            </w:r>
            <w:r>
              <w:rPr>
                <w:rFonts w:eastAsiaTheme="minorEastAsia"/>
                <w:color w:val="auto"/>
                <w:sz w:val="24"/>
                <w:highlight w:val="none"/>
              </w:rPr>
              <w:t>1</w:t>
            </w:r>
            <w:r>
              <w:rPr>
                <w:rFonts w:hAnsiTheme="minorEastAsia" w:eastAsiaTheme="minorEastAsia"/>
                <w:color w:val="auto"/>
                <w:sz w:val="24"/>
                <w:highlight w:val="none"/>
              </w:rPr>
              <w:t>）监测点和监测因子</w:t>
            </w:r>
          </w:p>
          <w:p w14:paraId="206EA98D">
            <w:pPr>
              <w:spacing w:line="500" w:lineRule="exact"/>
              <w:ind w:firstLine="480" w:firstLineChars="200"/>
              <w:rPr>
                <w:rFonts w:hAnsiTheme="minorEastAsia" w:eastAsiaTheme="minorEastAsia"/>
                <w:color w:val="auto"/>
                <w:sz w:val="24"/>
                <w:highlight w:val="none"/>
              </w:rPr>
            </w:pPr>
            <w:r>
              <w:rPr>
                <w:rFonts w:hAnsiTheme="minorEastAsia" w:eastAsiaTheme="minorEastAsia"/>
                <w:color w:val="auto"/>
                <w:sz w:val="24"/>
                <w:highlight w:val="none"/>
              </w:rPr>
              <w:t>本项目特征污染物为</w:t>
            </w:r>
            <w:r>
              <w:rPr>
                <w:rFonts w:hint="eastAsia" w:hAnsiTheme="minorEastAsia" w:eastAsiaTheme="minorEastAsia"/>
                <w:color w:val="auto"/>
                <w:sz w:val="24"/>
                <w:highlight w:val="none"/>
              </w:rPr>
              <w:t>非甲烷总烃</w:t>
            </w:r>
            <w:r>
              <w:rPr>
                <w:rFonts w:hint="eastAsia" w:hAnsiTheme="minorEastAsia" w:eastAsiaTheme="minorEastAsia"/>
                <w:color w:val="auto"/>
                <w:sz w:val="24"/>
                <w:highlight w:val="none"/>
                <w:lang w:val="en-US" w:eastAsia="zh-CN"/>
              </w:rPr>
              <w:t>和TSP</w:t>
            </w:r>
            <w:r>
              <w:rPr>
                <w:rFonts w:hint="eastAsia" w:hAnsiTheme="minorEastAsia" w:eastAsiaTheme="minorEastAsia"/>
                <w:color w:val="auto"/>
                <w:sz w:val="24"/>
                <w:highlight w:val="none"/>
              </w:rPr>
              <w:t>，本次评价</w:t>
            </w:r>
            <w:r>
              <w:rPr>
                <w:rFonts w:hint="eastAsia" w:hAnsiTheme="minorEastAsia" w:eastAsiaTheme="minorEastAsia"/>
                <w:color w:val="auto"/>
                <w:sz w:val="24"/>
                <w:highlight w:val="none"/>
                <w:lang w:val="en-US" w:eastAsia="zh-CN"/>
              </w:rPr>
              <w:t>采用</w:t>
            </w:r>
            <w:r>
              <w:rPr>
                <w:rFonts w:hint="eastAsia" w:hAnsiTheme="minorEastAsia" w:eastAsiaTheme="minorEastAsia"/>
                <w:color w:val="auto"/>
                <w:sz w:val="24"/>
                <w:highlight w:val="none"/>
              </w:rPr>
              <w:t>新疆锡水金山环境科技有限公司于202</w:t>
            </w:r>
            <w:r>
              <w:rPr>
                <w:rFonts w:hint="eastAsia" w:hAnsiTheme="minorEastAsia" w:eastAsiaTheme="minorEastAsia"/>
                <w:color w:val="auto"/>
                <w:sz w:val="24"/>
                <w:highlight w:val="none"/>
                <w:lang w:val="en-US" w:eastAsia="zh-CN"/>
              </w:rPr>
              <w:t>5</w:t>
            </w:r>
            <w:r>
              <w:rPr>
                <w:rFonts w:hint="eastAsia" w:hAnsiTheme="minorEastAsia" w:eastAsiaTheme="minorEastAsia"/>
                <w:color w:val="auto"/>
                <w:sz w:val="24"/>
                <w:highlight w:val="none"/>
              </w:rPr>
              <w:t>年</w:t>
            </w:r>
            <w:r>
              <w:rPr>
                <w:rFonts w:hint="eastAsia" w:hAnsiTheme="minorEastAsia" w:eastAsiaTheme="minorEastAsia"/>
                <w:color w:val="auto"/>
                <w:sz w:val="24"/>
                <w:highlight w:val="none"/>
                <w:lang w:val="en-US" w:eastAsia="zh-CN"/>
              </w:rPr>
              <w:t>3</w:t>
            </w:r>
            <w:r>
              <w:rPr>
                <w:rFonts w:hint="eastAsia" w:hAnsiTheme="minorEastAsia" w:eastAsiaTheme="minorEastAsia"/>
                <w:color w:val="auto"/>
                <w:sz w:val="24"/>
                <w:highlight w:val="none"/>
              </w:rPr>
              <w:t>月</w:t>
            </w:r>
            <w:r>
              <w:rPr>
                <w:rFonts w:hint="eastAsia" w:hAnsiTheme="minorEastAsia" w:eastAsiaTheme="minorEastAsia"/>
                <w:color w:val="auto"/>
                <w:sz w:val="24"/>
                <w:highlight w:val="none"/>
                <w:lang w:val="en-US" w:eastAsia="zh-CN"/>
              </w:rPr>
              <w:t>11</w:t>
            </w:r>
            <w:r>
              <w:rPr>
                <w:rFonts w:hint="eastAsia" w:hAnsiTheme="minorEastAsia" w:eastAsiaTheme="minorEastAsia"/>
                <w:color w:val="auto"/>
                <w:sz w:val="24"/>
                <w:highlight w:val="none"/>
              </w:rPr>
              <w:t>日~</w:t>
            </w:r>
            <w:r>
              <w:rPr>
                <w:rFonts w:hint="eastAsia" w:hAnsiTheme="minorEastAsia" w:eastAsiaTheme="minorEastAsia"/>
                <w:color w:val="auto"/>
                <w:sz w:val="24"/>
                <w:highlight w:val="none"/>
                <w:lang w:val="en-US" w:eastAsia="zh-CN"/>
              </w:rPr>
              <w:t>3</w:t>
            </w:r>
            <w:r>
              <w:rPr>
                <w:rFonts w:hint="eastAsia" w:hAnsiTheme="minorEastAsia" w:eastAsiaTheme="minorEastAsia"/>
                <w:color w:val="auto"/>
                <w:sz w:val="24"/>
                <w:highlight w:val="none"/>
              </w:rPr>
              <w:t>月1</w:t>
            </w:r>
            <w:r>
              <w:rPr>
                <w:rFonts w:hint="eastAsia" w:hAnsiTheme="minorEastAsia" w:eastAsiaTheme="minorEastAsia"/>
                <w:color w:val="auto"/>
                <w:sz w:val="24"/>
                <w:highlight w:val="none"/>
                <w:lang w:val="en-US" w:eastAsia="zh-CN"/>
              </w:rPr>
              <w:t>3</w:t>
            </w:r>
            <w:r>
              <w:rPr>
                <w:rFonts w:hint="eastAsia" w:hAnsiTheme="minorEastAsia" w:eastAsiaTheme="minorEastAsia"/>
                <w:color w:val="auto"/>
                <w:sz w:val="24"/>
                <w:highlight w:val="none"/>
              </w:rPr>
              <w:t>日对</w:t>
            </w:r>
            <w:r>
              <w:rPr>
                <w:rFonts w:hint="eastAsia" w:ascii="Times New Roman" w:hAnsi="Times New Roman" w:cs="Times New Roman" w:eastAsiaTheme="minorEastAsia"/>
                <w:color w:val="auto"/>
                <w:sz w:val="24"/>
                <w:highlight w:val="none"/>
              </w:rPr>
              <w:t>“</w:t>
            </w:r>
            <w:r>
              <w:rPr>
                <w:rFonts w:hint="default" w:ascii="Times New Roman" w:hAnsi="Times New Roman" w:cs="Times New Roman" w:eastAsiaTheme="minorEastAsia"/>
                <w:color w:val="auto"/>
                <w:sz w:val="24"/>
                <w:highlight w:val="none"/>
              </w:rPr>
              <w:t>巴州格森塑业有限公司农用可降解塑料制品生产线建设项目</w:t>
            </w:r>
            <w:r>
              <w:rPr>
                <w:rFonts w:hint="eastAsia" w:ascii="Times New Roman" w:hAnsi="Times New Roman" w:cs="Times New Roman" w:eastAsiaTheme="minorEastAsia"/>
                <w:color w:val="auto"/>
                <w:sz w:val="24"/>
                <w:highlight w:val="none"/>
              </w:rPr>
              <w:t>”</w:t>
            </w:r>
            <w:r>
              <w:rPr>
                <w:rFonts w:hint="eastAsia" w:hAnsiTheme="minorEastAsia" w:eastAsiaTheme="minorEastAsia"/>
                <w:color w:val="auto"/>
                <w:sz w:val="24"/>
                <w:highlight w:val="none"/>
              </w:rPr>
              <w:t>项目区下风向进行监测的数据</w:t>
            </w:r>
            <w:r>
              <w:rPr>
                <w:rFonts w:hint="eastAsia" w:hAnsiTheme="minorEastAsia" w:eastAsiaTheme="minorEastAsia"/>
                <w:color w:val="auto"/>
                <w:sz w:val="24"/>
                <w:highlight w:val="none"/>
                <w:lang w:eastAsia="zh-CN"/>
              </w:rPr>
              <w:t>，</w:t>
            </w:r>
            <w:r>
              <w:rPr>
                <w:rFonts w:hint="eastAsia" w:hAnsiTheme="minorEastAsia" w:eastAsiaTheme="minorEastAsia"/>
                <w:color w:val="auto"/>
                <w:sz w:val="24"/>
                <w:highlight w:val="none"/>
                <w:lang w:val="en-US" w:eastAsia="zh-CN"/>
              </w:rPr>
              <w:t>该监测点位位于</w:t>
            </w:r>
            <w:r>
              <w:rPr>
                <w:rFonts w:ascii="宋体" w:hAnsi="宋体" w:eastAsia="宋体" w:cs="宋体"/>
                <w:sz w:val="24"/>
                <w:szCs w:val="24"/>
              </w:rPr>
              <w:t>塑料包装袋加工厂房</w:t>
            </w:r>
            <w:r>
              <w:rPr>
                <w:rFonts w:hint="eastAsia" w:ascii="宋体" w:hAnsi="宋体" w:eastAsia="宋体" w:cs="宋体"/>
                <w:sz w:val="24"/>
                <w:szCs w:val="24"/>
                <w:lang w:val="en-US" w:eastAsia="zh-CN"/>
              </w:rPr>
              <w:t>西南方向</w:t>
            </w:r>
            <w:r>
              <w:rPr>
                <w:rFonts w:hint="default" w:ascii="Times New Roman" w:hAnsi="Times New Roman" w:eastAsia="宋体" w:cs="Times New Roman"/>
                <w:sz w:val="24"/>
                <w:szCs w:val="24"/>
                <w:lang w:val="en-US" w:eastAsia="zh-CN"/>
              </w:rPr>
              <w:t>96m处，位于</w:t>
            </w:r>
            <w:r>
              <w:rPr>
                <w:rFonts w:hint="default" w:ascii="Times New Roman" w:hAnsi="Times New Roman" w:eastAsia="宋体" w:cs="Times New Roman"/>
                <w:sz w:val="24"/>
                <w:szCs w:val="24"/>
              </w:rPr>
              <w:t>农用贴片滴灌带加工厂房</w:t>
            </w:r>
            <w:r>
              <w:rPr>
                <w:rFonts w:hint="default" w:ascii="Times New Roman" w:hAnsi="Times New Roman" w:eastAsia="宋体" w:cs="Times New Roman"/>
                <w:sz w:val="24"/>
                <w:szCs w:val="24"/>
                <w:lang w:val="en-US" w:eastAsia="zh-CN"/>
              </w:rPr>
              <w:t>西南方向</w:t>
            </w: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lang w:val="en-US" w:eastAsia="zh-CN"/>
              </w:rPr>
              <w:t>96m处</w:t>
            </w:r>
            <w:r>
              <w:rPr>
                <w:rFonts w:hint="default" w:ascii="Times New Roman" w:hAnsi="Times New Roman" w:cs="Times New Roman" w:eastAsiaTheme="minorEastAsia"/>
                <w:color w:val="auto"/>
                <w:sz w:val="24"/>
                <w:highlight w:val="none"/>
              </w:rPr>
              <w:t>。</w:t>
            </w:r>
            <w:r>
              <w:rPr>
                <w:rFonts w:hint="default" w:ascii="Times New Roman" w:hAnsi="Times New Roman" w:cs="Times New Roman"/>
                <w:color w:val="auto"/>
                <w:kern w:val="0"/>
                <w:sz w:val="24"/>
                <w:highlight w:val="none"/>
              </w:rPr>
              <w:t>监测点位布置见附图</w:t>
            </w:r>
            <w:r>
              <w:rPr>
                <w:rFonts w:hint="default" w:ascii="Times New Roman" w:hAnsi="Times New Roman" w:cs="Times New Roman"/>
                <w:color w:val="auto"/>
                <w:kern w:val="0"/>
                <w:sz w:val="24"/>
                <w:highlight w:val="none"/>
                <w:lang w:val="en-US" w:eastAsia="zh-CN"/>
              </w:rPr>
              <w:t>6</w:t>
            </w:r>
            <w:r>
              <w:rPr>
                <w:rFonts w:hint="eastAsia"/>
                <w:color w:val="auto"/>
                <w:kern w:val="0"/>
                <w:sz w:val="24"/>
                <w:highlight w:val="none"/>
              </w:rPr>
              <w:t>。</w:t>
            </w:r>
          </w:p>
          <w:p w14:paraId="4340D7D9">
            <w:pPr>
              <w:spacing w:line="500" w:lineRule="exact"/>
              <w:ind w:firstLine="480" w:firstLineChars="200"/>
              <w:outlineLvl w:val="3"/>
              <w:rPr>
                <w:rFonts w:eastAsiaTheme="minorEastAsia"/>
                <w:color w:val="auto"/>
                <w:sz w:val="24"/>
                <w:highlight w:val="none"/>
              </w:rPr>
            </w:pPr>
            <w:r>
              <w:rPr>
                <w:rFonts w:hAnsiTheme="minorEastAsia" w:eastAsiaTheme="minorEastAsia"/>
                <w:color w:val="auto"/>
                <w:sz w:val="24"/>
                <w:highlight w:val="none"/>
              </w:rPr>
              <w:t>（</w:t>
            </w:r>
            <w:r>
              <w:rPr>
                <w:rFonts w:eastAsiaTheme="minorEastAsia"/>
                <w:color w:val="auto"/>
                <w:sz w:val="24"/>
                <w:highlight w:val="none"/>
              </w:rPr>
              <w:t>2</w:t>
            </w:r>
            <w:r>
              <w:rPr>
                <w:rFonts w:hAnsiTheme="minorEastAsia" w:eastAsiaTheme="minorEastAsia"/>
                <w:color w:val="auto"/>
                <w:sz w:val="24"/>
                <w:highlight w:val="none"/>
              </w:rPr>
              <w:t>）评价标准</w:t>
            </w:r>
          </w:p>
          <w:p w14:paraId="05311539">
            <w:pPr>
              <w:spacing w:line="500" w:lineRule="exact"/>
              <w:ind w:firstLine="480" w:firstLineChars="200"/>
              <w:rPr>
                <w:rFonts w:hAnsiTheme="minorEastAsia" w:eastAsiaTheme="minorEastAsia"/>
                <w:color w:val="auto"/>
                <w:sz w:val="24"/>
                <w:highlight w:val="none"/>
              </w:rPr>
            </w:pPr>
            <w:r>
              <w:rPr>
                <w:rFonts w:hint="eastAsia"/>
                <w:color w:val="auto"/>
                <w:sz w:val="24"/>
                <w:highlight w:val="none"/>
              </w:rPr>
              <w:t>非甲烷总烃执行《大气污染物综合排放标准详解》中浓度限值（2mg/m</w:t>
            </w:r>
            <w:r>
              <w:rPr>
                <w:rFonts w:hint="eastAsia"/>
                <w:color w:val="auto"/>
                <w:sz w:val="24"/>
                <w:highlight w:val="none"/>
                <w:vertAlign w:val="superscript"/>
              </w:rPr>
              <w:t>3</w:t>
            </w:r>
            <w:r>
              <w:rPr>
                <w:rFonts w:hint="eastAsia"/>
                <w:color w:val="auto"/>
                <w:sz w:val="24"/>
                <w:highlight w:val="none"/>
              </w:rPr>
              <w:t>）</w:t>
            </w:r>
            <w:r>
              <w:rPr>
                <w:rFonts w:hint="eastAsia" w:hAnsiTheme="minorEastAsia" w:eastAsiaTheme="minorEastAsia"/>
                <w:color w:val="auto"/>
                <w:sz w:val="24"/>
                <w:highlight w:val="none"/>
              </w:rPr>
              <w:t>。</w:t>
            </w:r>
          </w:p>
          <w:p w14:paraId="3DBDDCEB">
            <w:pPr>
              <w:spacing w:line="500" w:lineRule="exact"/>
              <w:ind w:firstLine="480" w:firstLineChars="200"/>
              <w:rPr>
                <w:rFonts w:eastAsiaTheme="minorEastAsia"/>
                <w:color w:val="auto"/>
                <w:sz w:val="24"/>
                <w:highlight w:val="none"/>
              </w:rPr>
            </w:pPr>
            <w:r>
              <w:rPr>
                <w:rFonts w:hAnsiTheme="minorEastAsia" w:eastAsiaTheme="minorEastAsia"/>
                <w:color w:val="auto"/>
                <w:sz w:val="24"/>
                <w:highlight w:val="none"/>
              </w:rPr>
              <w:t>（</w:t>
            </w:r>
            <w:r>
              <w:rPr>
                <w:rFonts w:eastAsiaTheme="minorEastAsia"/>
                <w:color w:val="auto"/>
                <w:sz w:val="24"/>
                <w:highlight w:val="none"/>
              </w:rPr>
              <w:t>3</w:t>
            </w:r>
            <w:r>
              <w:rPr>
                <w:rFonts w:hAnsiTheme="minorEastAsia" w:eastAsiaTheme="minorEastAsia"/>
                <w:color w:val="auto"/>
                <w:sz w:val="24"/>
                <w:highlight w:val="none"/>
              </w:rPr>
              <w:t>）评价方法</w:t>
            </w:r>
          </w:p>
          <w:p w14:paraId="3371B476">
            <w:pPr>
              <w:spacing w:line="500" w:lineRule="exact"/>
              <w:ind w:firstLine="480" w:firstLineChars="200"/>
              <w:rPr>
                <w:rFonts w:eastAsiaTheme="minorEastAsia"/>
                <w:color w:val="auto"/>
                <w:sz w:val="24"/>
                <w:highlight w:val="none"/>
              </w:rPr>
            </w:pPr>
            <w:r>
              <w:rPr>
                <w:rFonts w:hAnsiTheme="minorEastAsia" w:eastAsiaTheme="minorEastAsia"/>
                <w:color w:val="auto"/>
                <w:sz w:val="24"/>
                <w:highlight w:val="none"/>
              </w:rPr>
              <w:t>本次评价</w:t>
            </w:r>
            <w:r>
              <w:rPr>
                <w:rFonts w:hint="eastAsia" w:hAnsiTheme="minorEastAsia" w:eastAsiaTheme="minorEastAsia"/>
                <w:color w:val="auto"/>
                <w:sz w:val="24"/>
                <w:highlight w:val="none"/>
              </w:rPr>
              <w:t>方法</w:t>
            </w:r>
            <w:r>
              <w:rPr>
                <w:rFonts w:hAnsiTheme="minorEastAsia" w:eastAsiaTheme="minorEastAsia"/>
                <w:color w:val="auto"/>
                <w:sz w:val="24"/>
                <w:highlight w:val="none"/>
              </w:rPr>
              <w:t>采用单因子指数法。</w:t>
            </w:r>
          </w:p>
          <w:p w14:paraId="00D27B78">
            <w:pPr>
              <w:spacing w:line="500" w:lineRule="exact"/>
              <w:ind w:firstLine="480" w:firstLineChars="200"/>
              <w:rPr>
                <w:rFonts w:eastAsiaTheme="minorEastAsia"/>
                <w:color w:val="auto"/>
                <w:sz w:val="24"/>
                <w:highlight w:val="none"/>
              </w:rPr>
            </w:pPr>
            <w:r>
              <w:rPr>
                <w:rFonts w:hAnsiTheme="minorEastAsia" w:eastAsiaTheme="minorEastAsia"/>
                <w:color w:val="auto"/>
                <w:sz w:val="24"/>
                <w:highlight w:val="none"/>
              </w:rPr>
              <w:t>（</w:t>
            </w:r>
            <w:r>
              <w:rPr>
                <w:rFonts w:hint="eastAsia" w:eastAsiaTheme="minorEastAsia"/>
                <w:color w:val="auto"/>
                <w:sz w:val="24"/>
                <w:highlight w:val="none"/>
              </w:rPr>
              <w:t>4</w:t>
            </w:r>
            <w:r>
              <w:rPr>
                <w:rFonts w:hAnsiTheme="minorEastAsia" w:eastAsiaTheme="minorEastAsia"/>
                <w:color w:val="auto"/>
                <w:sz w:val="24"/>
                <w:highlight w:val="none"/>
              </w:rPr>
              <w:t>）</w:t>
            </w:r>
            <w:r>
              <w:rPr>
                <w:rFonts w:hint="eastAsia" w:hAnsiTheme="minorEastAsia" w:eastAsiaTheme="minorEastAsia"/>
                <w:color w:val="auto"/>
                <w:sz w:val="24"/>
                <w:highlight w:val="none"/>
              </w:rPr>
              <w:t>监测</w:t>
            </w:r>
            <w:r>
              <w:rPr>
                <w:rFonts w:hAnsiTheme="minorEastAsia" w:eastAsiaTheme="minorEastAsia"/>
                <w:color w:val="auto"/>
                <w:sz w:val="24"/>
                <w:highlight w:val="none"/>
              </w:rPr>
              <w:t>结果</w:t>
            </w:r>
          </w:p>
          <w:p w14:paraId="16474271">
            <w:pPr>
              <w:spacing w:line="500" w:lineRule="exact"/>
              <w:ind w:firstLine="480" w:firstLineChars="200"/>
              <w:rPr>
                <w:rFonts w:eastAsiaTheme="minorEastAsia"/>
                <w:color w:val="auto"/>
                <w:sz w:val="24"/>
                <w:highlight w:val="none"/>
              </w:rPr>
            </w:pPr>
            <w:r>
              <w:rPr>
                <w:rFonts w:hAnsiTheme="minorEastAsia" w:eastAsiaTheme="minorEastAsia"/>
                <w:color w:val="auto"/>
                <w:sz w:val="24"/>
                <w:highlight w:val="none"/>
              </w:rPr>
              <w:t>评价结果见表</w:t>
            </w:r>
            <w:r>
              <w:rPr>
                <w:rFonts w:hint="eastAsia" w:eastAsiaTheme="minorEastAsia"/>
                <w:color w:val="auto"/>
                <w:sz w:val="24"/>
                <w:highlight w:val="none"/>
                <w:lang w:val="en-US" w:eastAsia="zh-CN"/>
              </w:rPr>
              <w:t>3-2、表3-3</w:t>
            </w:r>
            <w:r>
              <w:rPr>
                <w:rFonts w:hAnsiTheme="minorEastAsia" w:eastAsiaTheme="minorEastAsia"/>
                <w:color w:val="auto"/>
                <w:sz w:val="24"/>
                <w:highlight w:val="none"/>
              </w:rPr>
              <w:t>。</w:t>
            </w:r>
          </w:p>
          <w:p w14:paraId="376831D8">
            <w:pPr>
              <w:pStyle w:val="5"/>
              <w:widowControl/>
              <w:spacing w:before="0" w:beforeAutospacing="0" w:after="0" w:afterAutospacing="0" w:line="240" w:lineRule="auto"/>
              <w:ind w:left="0" w:right="0"/>
              <w:jc w:val="center"/>
              <w:outlineLvl w:val="3"/>
              <w:rPr>
                <w:rFonts w:hint="default" w:ascii="Times New Roman" w:hAnsi="Times New Roman" w:eastAsia="黑体" w:cs="Times New Roman"/>
                <w:b/>
                <w:bCs w:val="0"/>
                <w:color w:val="auto"/>
                <w:kern w:val="2"/>
                <w:sz w:val="21"/>
                <w:szCs w:val="21"/>
              </w:rPr>
            </w:pPr>
            <w:r>
              <w:rPr>
                <w:rFonts w:hint="eastAsia" w:ascii="宋体" w:hAnsi="宋体" w:eastAsia="宋体" w:cs="宋体"/>
                <w:b/>
                <w:bCs w:val="0"/>
                <w:color w:val="auto"/>
                <w:kern w:val="0"/>
                <w:sz w:val="21"/>
                <w:szCs w:val="21"/>
              </w:rPr>
              <w:t>表</w:t>
            </w:r>
            <w:r>
              <w:rPr>
                <w:rFonts w:hint="default" w:ascii="Times New Roman" w:hAnsi="Times New Roman" w:eastAsia="宋体" w:cs="Times New Roman"/>
                <w:b/>
                <w:bCs w:val="0"/>
                <w:color w:val="auto"/>
                <w:kern w:val="0"/>
                <w:sz w:val="21"/>
                <w:szCs w:val="21"/>
              </w:rPr>
              <w:t>3-2</w:t>
            </w:r>
            <w:r>
              <w:rPr>
                <w:rFonts w:hint="eastAsia" w:ascii="Times New Roman" w:hAnsi="Times New Roman" w:eastAsia="宋体" w:cs="Times New Roman"/>
                <w:b/>
                <w:bCs w:val="0"/>
                <w:color w:val="auto"/>
                <w:kern w:val="0"/>
                <w:sz w:val="21"/>
                <w:szCs w:val="21"/>
                <w:lang w:val="en-US" w:eastAsia="zh-CN"/>
              </w:rPr>
              <w:t xml:space="preserve">    </w:t>
            </w:r>
            <w:r>
              <w:rPr>
                <w:rFonts w:hint="eastAsia" w:ascii="宋体" w:hAnsi="宋体" w:eastAsia="宋体" w:cs="宋体"/>
                <w:b/>
                <w:bCs w:val="0"/>
                <w:color w:val="auto"/>
                <w:kern w:val="0"/>
                <w:sz w:val="21"/>
                <w:szCs w:val="21"/>
              </w:rPr>
              <w:t>特征污染物</w:t>
            </w:r>
            <w:r>
              <w:rPr>
                <w:rFonts w:hint="eastAsia" w:ascii="宋体" w:hAnsi="宋体" w:eastAsia="宋体" w:cs="宋体"/>
                <w:b/>
                <w:bCs w:val="0"/>
                <w:color w:val="auto"/>
                <w:kern w:val="0"/>
                <w:sz w:val="21"/>
                <w:szCs w:val="21"/>
                <w:lang w:eastAsia="zh-CN"/>
              </w:rPr>
              <w:t>（</w:t>
            </w:r>
            <w:r>
              <w:rPr>
                <w:rFonts w:hint="eastAsia" w:ascii="宋体" w:hAnsi="宋体" w:eastAsia="宋体" w:cs="宋体"/>
                <w:b/>
                <w:bCs w:val="0"/>
                <w:color w:val="auto"/>
                <w:kern w:val="0"/>
                <w:sz w:val="21"/>
                <w:szCs w:val="21"/>
                <w:lang w:val="en-US" w:eastAsia="zh-CN"/>
              </w:rPr>
              <w:t>TSP）</w:t>
            </w:r>
            <w:r>
              <w:rPr>
                <w:rFonts w:hint="eastAsia" w:ascii="宋体" w:hAnsi="宋体" w:eastAsia="宋体" w:cs="宋体"/>
                <w:b/>
                <w:bCs w:val="0"/>
                <w:color w:val="auto"/>
                <w:kern w:val="0"/>
                <w:sz w:val="21"/>
                <w:szCs w:val="21"/>
              </w:rPr>
              <w:t>监测结果</w:t>
            </w:r>
            <w:r>
              <w:rPr>
                <w:rFonts w:hint="eastAsia" w:ascii="Times New Roman" w:hAnsi="Times New Roman" w:eastAsia="宋体" w:cs="宋体"/>
                <w:b/>
                <w:bCs w:val="0"/>
                <w:color w:val="auto"/>
                <w:kern w:val="0"/>
                <w:sz w:val="21"/>
                <w:szCs w:val="21"/>
              </w:rPr>
              <w:t xml:space="preserve">  </w:t>
            </w:r>
            <w:r>
              <w:rPr>
                <w:rFonts w:hint="eastAsia" w:ascii="宋体" w:hAnsi="宋体" w:eastAsia="宋体" w:cs="宋体"/>
                <w:b/>
                <w:bCs w:val="0"/>
                <w:color w:val="auto"/>
                <w:kern w:val="0"/>
                <w:sz w:val="21"/>
                <w:szCs w:val="21"/>
              </w:rPr>
              <w:t>（单位：</w:t>
            </w:r>
            <w:r>
              <w:rPr>
                <w:rFonts w:hint="default" w:ascii="Times New Roman" w:hAnsi="Times New Roman" w:eastAsia="宋体" w:cs="Times New Roman"/>
                <w:b/>
                <w:bCs w:val="0"/>
                <w:color w:val="auto"/>
                <w:kern w:val="0"/>
                <w:sz w:val="21"/>
                <w:szCs w:val="21"/>
              </w:rPr>
              <w:t>mg/m</w:t>
            </w:r>
            <w:r>
              <w:rPr>
                <w:rFonts w:hint="default" w:ascii="Times New Roman" w:hAnsi="Times New Roman" w:eastAsia="宋体" w:cs="Times New Roman"/>
                <w:b/>
                <w:bCs w:val="0"/>
                <w:color w:val="auto"/>
                <w:kern w:val="0"/>
                <w:sz w:val="21"/>
                <w:szCs w:val="21"/>
                <w:vertAlign w:val="superscript"/>
              </w:rPr>
              <w:t>3</w:t>
            </w:r>
            <w:r>
              <w:rPr>
                <w:rFonts w:hint="eastAsia" w:ascii="宋体" w:hAnsi="宋体" w:eastAsia="宋体" w:cs="宋体"/>
                <w:b/>
                <w:bCs w:val="0"/>
                <w:color w:val="auto"/>
                <w:kern w:val="0"/>
                <w:sz w:val="21"/>
                <w:szCs w:val="21"/>
              </w:rPr>
              <w:t>）</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96"/>
              <w:gridCol w:w="1200"/>
              <w:gridCol w:w="1200"/>
              <w:gridCol w:w="1200"/>
              <w:gridCol w:w="1200"/>
              <w:gridCol w:w="1202"/>
              <w:gridCol w:w="1202"/>
            </w:tblGrid>
            <w:tr w14:paraId="7616F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3" w:hRule="atLeast"/>
                <w:jc w:val="center"/>
              </w:trPr>
              <w:tc>
                <w:tcPr>
                  <w:tcW w:w="712" w:type="pct"/>
                  <w:tcBorders>
                    <w:tl2br w:val="nil"/>
                    <w:tr2bl w:val="nil"/>
                  </w:tcBorders>
                  <w:shd w:val="clear" w:color="auto" w:fill="auto"/>
                  <w:vAlign w:val="center"/>
                </w:tcPr>
                <w:p w14:paraId="3E3D4146">
                  <w:pPr>
                    <w:pStyle w:val="29"/>
                    <w:keepNext w:val="0"/>
                    <w:keepLines w:val="0"/>
                    <w:widowControl w:val="0"/>
                    <w:suppressLineNumbers w:val="0"/>
                    <w:spacing w:before="0" w:beforeAutospacing="0" w:after="0" w:afterAutospacing="0"/>
                    <w:ind w:left="-105" w:leftChars="-50" w:right="-105" w:rightChars="-50"/>
                    <w:jc w:val="center"/>
                    <w:rPr>
                      <w:rFonts w:hint="eastAsia" w:ascii="Times New Roman" w:hAnsi="Times New Roman" w:eastAsia="宋体" w:cs="宋体"/>
                      <w:color w:val="auto"/>
                      <w:kern w:val="2"/>
                      <w:sz w:val="21"/>
                      <w:szCs w:val="21"/>
                    </w:rPr>
                  </w:pPr>
                  <w:r>
                    <w:rPr>
                      <w:rFonts w:hint="eastAsia" w:ascii="宋体" w:hAnsi="宋体" w:eastAsia="宋体" w:cs="宋体"/>
                      <w:color w:val="auto"/>
                      <w:kern w:val="2"/>
                      <w:sz w:val="21"/>
                      <w:szCs w:val="21"/>
                      <w:lang w:val="en-US" w:eastAsia="zh-CN" w:bidi="ar"/>
                    </w:rPr>
                    <w:t>采样日期</w:t>
                  </w:r>
                </w:p>
              </w:tc>
              <w:tc>
                <w:tcPr>
                  <w:tcW w:w="714" w:type="pct"/>
                  <w:tcBorders>
                    <w:tl2br w:val="nil"/>
                    <w:tr2bl w:val="nil"/>
                  </w:tcBorders>
                  <w:shd w:val="clear" w:color="auto" w:fill="auto"/>
                  <w:vAlign w:val="top"/>
                </w:tcPr>
                <w:p w14:paraId="7E6E6A30">
                  <w:pPr>
                    <w:pStyle w:val="29"/>
                    <w:keepNext w:val="0"/>
                    <w:keepLines w:val="0"/>
                    <w:widowControl w:val="0"/>
                    <w:suppressLineNumbers w:val="0"/>
                    <w:spacing w:before="0" w:beforeAutospacing="0" w:after="0" w:afterAutospacing="0"/>
                    <w:ind w:left="-105" w:leftChars="-50" w:right="-105" w:rightChars="-50"/>
                    <w:jc w:val="center"/>
                    <w:rPr>
                      <w:rFonts w:hint="eastAsia" w:ascii="Times New Roman" w:hAnsi="Times New Roman" w:eastAsia="宋体" w:cs="宋体"/>
                      <w:color w:val="auto"/>
                      <w:kern w:val="2"/>
                      <w:sz w:val="21"/>
                      <w:szCs w:val="21"/>
                    </w:rPr>
                  </w:pPr>
                  <w:r>
                    <w:rPr>
                      <w:rFonts w:hint="eastAsia" w:ascii="宋体" w:hAnsi="宋体" w:eastAsia="宋体" w:cs="宋体"/>
                      <w:color w:val="auto"/>
                      <w:kern w:val="2"/>
                      <w:sz w:val="21"/>
                      <w:szCs w:val="21"/>
                      <w:lang w:val="en-US" w:eastAsia="zh-CN" w:bidi="ar"/>
                    </w:rPr>
                    <w:t>监测点位</w:t>
                  </w:r>
                </w:p>
              </w:tc>
              <w:tc>
                <w:tcPr>
                  <w:tcW w:w="714" w:type="pct"/>
                  <w:tcBorders>
                    <w:tl2br w:val="nil"/>
                    <w:tr2bl w:val="nil"/>
                  </w:tcBorders>
                  <w:shd w:val="clear" w:color="auto" w:fill="auto"/>
                  <w:vAlign w:val="top"/>
                </w:tcPr>
                <w:p w14:paraId="58324D86">
                  <w:pPr>
                    <w:pStyle w:val="29"/>
                    <w:keepNext w:val="0"/>
                    <w:keepLines w:val="0"/>
                    <w:widowControl w:val="0"/>
                    <w:suppressLineNumbers w:val="0"/>
                    <w:spacing w:before="0" w:beforeAutospacing="0" w:after="0" w:afterAutospacing="0"/>
                    <w:ind w:left="-105" w:leftChars="-50" w:right="-105" w:rightChars="-50"/>
                    <w:jc w:val="center"/>
                    <w:rPr>
                      <w:rFonts w:hint="eastAsia" w:ascii="Times New Roman" w:hAnsi="Times New Roman" w:eastAsia="宋体" w:cs="宋体"/>
                      <w:color w:val="auto"/>
                      <w:kern w:val="2"/>
                      <w:sz w:val="21"/>
                      <w:szCs w:val="21"/>
                    </w:rPr>
                  </w:pPr>
                  <w:r>
                    <w:rPr>
                      <w:rFonts w:hint="eastAsia" w:ascii="宋体" w:hAnsi="宋体" w:eastAsia="宋体" w:cs="宋体"/>
                      <w:color w:val="auto"/>
                      <w:kern w:val="2"/>
                      <w:sz w:val="21"/>
                      <w:szCs w:val="21"/>
                      <w:lang w:val="en-US" w:eastAsia="zh-CN" w:bidi="ar"/>
                    </w:rPr>
                    <w:t>采样时间</w:t>
                  </w:r>
                </w:p>
              </w:tc>
              <w:tc>
                <w:tcPr>
                  <w:tcW w:w="714" w:type="pct"/>
                  <w:tcBorders>
                    <w:tl2br w:val="nil"/>
                    <w:tr2bl w:val="nil"/>
                  </w:tcBorders>
                  <w:shd w:val="clear" w:color="auto" w:fill="auto"/>
                  <w:vAlign w:val="top"/>
                </w:tcPr>
                <w:p w14:paraId="77CBDD21">
                  <w:pPr>
                    <w:pStyle w:val="29"/>
                    <w:keepNext w:val="0"/>
                    <w:keepLines w:val="0"/>
                    <w:widowControl w:val="0"/>
                    <w:suppressLineNumbers w:val="0"/>
                    <w:spacing w:before="0" w:beforeAutospacing="0" w:after="0" w:afterAutospacing="0"/>
                    <w:ind w:left="-105" w:leftChars="-50" w:right="-105" w:rightChars="-50"/>
                    <w:jc w:val="center"/>
                    <w:rPr>
                      <w:rFonts w:hint="eastAsia" w:ascii="Times New Roman" w:hAnsi="Times New Roman" w:eastAsia="宋体" w:cs="宋体"/>
                      <w:color w:val="auto"/>
                      <w:kern w:val="2"/>
                      <w:sz w:val="21"/>
                      <w:szCs w:val="21"/>
                    </w:rPr>
                  </w:pPr>
                  <w:r>
                    <w:rPr>
                      <w:rFonts w:hint="eastAsia" w:ascii="宋体" w:hAnsi="宋体" w:eastAsia="宋体" w:cs="宋体"/>
                      <w:color w:val="auto"/>
                      <w:kern w:val="2"/>
                      <w:sz w:val="21"/>
                      <w:szCs w:val="21"/>
                      <w:lang w:val="en-US" w:eastAsia="zh-CN" w:bidi="ar"/>
                    </w:rPr>
                    <w:t>监测项目</w:t>
                  </w:r>
                </w:p>
              </w:tc>
              <w:tc>
                <w:tcPr>
                  <w:tcW w:w="714" w:type="pct"/>
                  <w:tcBorders>
                    <w:tl2br w:val="nil"/>
                    <w:tr2bl w:val="nil"/>
                  </w:tcBorders>
                  <w:shd w:val="clear" w:color="auto" w:fill="auto"/>
                  <w:vAlign w:val="top"/>
                </w:tcPr>
                <w:p w14:paraId="47CEA4DC">
                  <w:pPr>
                    <w:pStyle w:val="29"/>
                    <w:keepNext w:val="0"/>
                    <w:keepLines w:val="0"/>
                    <w:widowControl w:val="0"/>
                    <w:suppressLineNumbers w:val="0"/>
                    <w:spacing w:before="0" w:beforeAutospacing="0" w:after="0" w:afterAutospacing="0"/>
                    <w:ind w:left="-105" w:leftChars="-50" w:right="-105" w:rightChars="-50"/>
                    <w:jc w:val="center"/>
                    <w:rPr>
                      <w:rFonts w:hint="eastAsia" w:ascii="Times New Roman" w:hAnsi="Times New Roman" w:eastAsia="宋体" w:cs="宋体"/>
                      <w:color w:val="auto"/>
                      <w:kern w:val="2"/>
                      <w:sz w:val="21"/>
                      <w:szCs w:val="21"/>
                    </w:rPr>
                  </w:pPr>
                  <w:r>
                    <w:rPr>
                      <w:rFonts w:hint="eastAsia" w:ascii="宋体" w:hAnsi="宋体" w:eastAsia="宋体" w:cs="宋体"/>
                      <w:color w:val="auto"/>
                      <w:kern w:val="2"/>
                      <w:sz w:val="21"/>
                      <w:szCs w:val="21"/>
                      <w:lang w:val="en-US" w:eastAsia="zh-CN" w:bidi="ar"/>
                    </w:rPr>
                    <w:t>监测结果</w:t>
                  </w:r>
                </w:p>
              </w:tc>
              <w:tc>
                <w:tcPr>
                  <w:tcW w:w="715" w:type="pct"/>
                  <w:tcBorders>
                    <w:tl2br w:val="nil"/>
                    <w:tr2bl w:val="nil"/>
                  </w:tcBorders>
                  <w:shd w:val="clear" w:color="auto" w:fill="auto"/>
                  <w:vAlign w:val="top"/>
                </w:tcPr>
                <w:p w14:paraId="6D474277">
                  <w:pPr>
                    <w:pStyle w:val="29"/>
                    <w:keepNext w:val="0"/>
                    <w:keepLines w:val="0"/>
                    <w:widowControl w:val="0"/>
                    <w:suppressLineNumbers w:val="0"/>
                    <w:spacing w:before="0" w:beforeAutospacing="0" w:after="0" w:afterAutospacing="0"/>
                    <w:ind w:left="-105" w:leftChars="-50" w:right="-105" w:rightChars="-50"/>
                    <w:jc w:val="center"/>
                    <w:rPr>
                      <w:rFonts w:hint="eastAsia" w:ascii="Times New Roman" w:hAnsi="Times New Roman" w:eastAsia="宋体" w:cs="宋体"/>
                      <w:color w:val="auto"/>
                      <w:kern w:val="2"/>
                      <w:sz w:val="21"/>
                      <w:szCs w:val="21"/>
                    </w:rPr>
                  </w:pPr>
                  <w:r>
                    <w:rPr>
                      <w:rFonts w:hint="eastAsia" w:ascii="宋体" w:hAnsi="宋体" w:eastAsia="宋体" w:cs="宋体"/>
                      <w:color w:val="auto"/>
                      <w:kern w:val="2"/>
                      <w:sz w:val="21"/>
                      <w:szCs w:val="21"/>
                      <w:lang w:val="en-US" w:eastAsia="zh-CN" w:bidi="ar"/>
                    </w:rPr>
                    <w:t>标准限值</w:t>
                  </w:r>
                </w:p>
              </w:tc>
              <w:tc>
                <w:tcPr>
                  <w:tcW w:w="715" w:type="pct"/>
                  <w:tcBorders>
                    <w:tl2br w:val="nil"/>
                    <w:tr2bl w:val="nil"/>
                  </w:tcBorders>
                  <w:shd w:val="clear" w:color="auto" w:fill="auto"/>
                  <w:vAlign w:val="top"/>
                </w:tcPr>
                <w:p w14:paraId="4D5B137B">
                  <w:pPr>
                    <w:pStyle w:val="29"/>
                    <w:keepNext w:val="0"/>
                    <w:keepLines w:val="0"/>
                    <w:widowControl w:val="0"/>
                    <w:suppressLineNumbers w:val="0"/>
                    <w:spacing w:before="0" w:beforeAutospacing="0" w:after="0" w:afterAutospacing="0"/>
                    <w:ind w:left="-105" w:leftChars="-50" w:right="-105" w:rightChars="-50"/>
                    <w:jc w:val="center"/>
                    <w:rPr>
                      <w:rFonts w:hint="default" w:ascii="宋体" w:hAnsi="宋体" w:eastAsia="宋体" w:cs="宋体"/>
                      <w:color w:val="auto"/>
                      <w:kern w:val="2"/>
                      <w:sz w:val="21"/>
                      <w:szCs w:val="21"/>
                      <w:lang w:val="en-US" w:eastAsia="zh-CN" w:bidi="ar"/>
                    </w:rPr>
                  </w:pPr>
                  <w:r>
                    <w:rPr>
                      <w:rFonts w:hint="eastAsia" w:cs="宋体"/>
                      <w:color w:val="auto"/>
                      <w:kern w:val="2"/>
                      <w:sz w:val="21"/>
                      <w:szCs w:val="21"/>
                      <w:lang w:val="en-US" w:eastAsia="zh-CN" w:bidi="ar"/>
                    </w:rPr>
                    <w:t>达标情况</w:t>
                  </w:r>
                </w:p>
              </w:tc>
            </w:tr>
            <w:tr w14:paraId="6DA1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712" w:type="pct"/>
                  <w:tcBorders>
                    <w:tl2br w:val="nil"/>
                    <w:tr2bl w:val="nil"/>
                  </w:tcBorders>
                  <w:shd w:val="clear" w:color="auto" w:fill="auto"/>
                  <w:vAlign w:val="center"/>
                </w:tcPr>
                <w:p w14:paraId="01FB7E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rPr>
                  </w:pPr>
                  <w:r>
                    <w:rPr>
                      <w:rFonts w:hint="eastAsia" w:cs="Times New Roman"/>
                      <w:color w:val="auto"/>
                      <w:kern w:val="0"/>
                      <w:sz w:val="21"/>
                      <w:szCs w:val="21"/>
                      <w:lang w:val="en-US" w:eastAsia="zh-CN" w:bidi="ar"/>
                    </w:rPr>
                    <w:t>3</w:t>
                  </w:r>
                  <w:r>
                    <w:rPr>
                      <w:rFonts w:hint="eastAsia" w:ascii="宋体" w:hAnsi="宋体" w:eastAsia="宋体" w:cs="宋体"/>
                      <w:color w:val="auto"/>
                      <w:kern w:val="0"/>
                      <w:sz w:val="21"/>
                      <w:szCs w:val="21"/>
                      <w:lang w:val="en-US" w:eastAsia="zh-CN" w:bidi="ar"/>
                    </w:rPr>
                    <w:t>月</w:t>
                  </w:r>
                  <w:r>
                    <w:rPr>
                      <w:rFonts w:hint="eastAsia" w:cs="Times New Roman"/>
                      <w:color w:val="auto"/>
                      <w:kern w:val="0"/>
                      <w:sz w:val="21"/>
                      <w:szCs w:val="21"/>
                      <w:lang w:val="en-US" w:eastAsia="zh-CN" w:bidi="ar"/>
                    </w:rPr>
                    <w:t>11</w:t>
                  </w:r>
                  <w:r>
                    <w:rPr>
                      <w:rFonts w:hint="eastAsia" w:ascii="宋体" w:hAnsi="宋体" w:eastAsia="宋体" w:cs="宋体"/>
                      <w:color w:val="auto"/>
                      <w:kern w:val="0"/>
                      <w:sz w:val="21"/>
                      <w:szCs w:val="21"/>
                      <w:lang w:val="en-US" w:eastAsia="zh-CN" w:bidi="ar"/>
                    </w:rPr>
                    <w:t>日</w:t>
                  </w:r>
                </w:p>
              </w:tc>
              <w:tc>
                <w:tcPr>
                  <w:tcW w:w="714" w:type="pct"/>
                  <w:vMerge w:val="restart"/>
                  <w:tcBorders>
                    <w:tl2br w:val="nil"/>
                    <w:tr2bl w:val="nil"/>
                  </w:tcBorders>
                  <w:shd w:val="clear" w:color="auto" w:fill="auto"/>
                  <w:vAlign w:val="center"/>
                </w:tcPr>
                <w:p w14:paraId="3C32273B">
                  <w:pPr>
                    <w:pStyle w:val="29"/>
                    <w:keepNext w:val="0"/>
                    <w:keepLines w:val="0"/>
                    <w:widowControl w:val="0"/>
                    <w:suppressLineNumbers w:val="0"/>
                    <w:spacing w:before="0" w:beforeAutospacing="0" w:after="0" w:afterAutospacing="0"/>
                    <w:ind w:left="-105" w:leftChars="-50" w:right="-105" w:rightChars="-50"/>
                    <w:jc w:val="center"/>
                    <w:rPr>
                      <w:rFonts w:hint="eastAsia" w:ascii="Times New Roman" w:hAnsi="Times New Roman" w:eastAsia="宋体" w:cs="宋体"/>
                      <w:color w:val="auto"/>
                      <w:kern w:val="2"/>
                      <w:sz w:val="21"/>
                      <w:szCs w:val="21"/>
                    </w:rPr>
                  </w:pPr>
                  <w:r>
                    <w:rPr>
                      <w:rFonts w:hint="eastAsia" w:ascii="宋体" w:hAnsi="宋体" w:eastAsia="宋体" w:cs="宋体"/>
                      <w:color w:val="auto"/>
                      <w:kern w:val="2"/>
                      <w:sz w:val="21"/>
                      <w:szCs w:val="21"/>
                      <w:lang w:val="en-US" w:eastAsia="zh-CN" w:bidi="ar"/>
                    </w:rPr>
                    <w:t>项目区下风向</w:t>
                  </w:r>
                </w:p>
              </w:tc>
              <w:tc>
                <w:tcPr>
                  <w:tcW w:w="714" w:type="pct"/>
                  <w:tcBorders>
                    <w:tl2br w:val="nil"/>
                    <w:tr2bl w:val="nil"/>
                  </w:tcBorders>
                  <w:shd w:val="clear" w:color="auto" w:fill="auto"/>
                  <w:vAlign w:val="top"/>
                </w:tcPr>
                <w:p w14:paraId="70626894">
                  <w:pPr>
                    <w:pStyle w:val="29"/>
                    <w:keepNext w:val="0"/>
                    <w:keepLines w:val="0"/>
                    <w:widowControl w:val="0"/>
                    <w:suppressLineNumbers w:val="0"/>
                    <w:spacing w:before="0" w:beforeAutospacing="0" w:after="0" w:afterAutospacing="0"/>
                    <w:ind w:left="-105" w:leftChars="-50" w:right="-105" w:rightChars="-50"/>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lang w:val="en-US" w:eastAsia="zh-CN" w:bidi="ar"/>
                    </w:rPr>
                    <w:t>00:00-24:00</w:t>
                  </w:r>
                </w:p>
              </w:tc>
              <w:tc>
                <w:tcPr>
                  <w:tcW w:w="714" w:type="pct"/>
                  <w:vMerge w:val="restart"/>
                  <w:tcBorders>
                    <w:tl2br w:val="nil"/>
                    <w:tr2bl w:val="nil"/>
                  </w:tcBorders>
                  <w:shd w:val="clear" w:color="auto" w:fill="auto"/>
                  <w:vAlign w:val="center"/>
                </w:tcPr>
                <w:p w14:paraId="42D70072">
                  <w:pPr>
                    <w:pStyle w:val="29"/>
                    <w:keepNext w:val="0"/>
                    <w:keepLines w:val="0"/>
                    <w:widowControl w:val="0"/>
                    <w:suppressLineNumbers w:val="0"/>
                    <w:spacing w:before="0" w:beforeAutospacing="0" w:after="0" w:afterAutospacing="0"/>
                    <w:ind w:left="-105" w:leftChars="-50" w:right="-105" w:rightChars="-50"/>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lang w:val="en-US" w:eastAsia="zh-CN" w:bidi="ar"/>
                    </w:rPr>
                    <w:t>TSP</w:t>
                  </w:r>
                </w:p>
              </w:tc>
              <w:tc>
                <w:tcPr>
                  <w:tcW w:w="714" w:type="pct"/>
                  <w:tcBorders>
                    <w:tl2br w:val="nil"/>
                    <w:tr2bl w:val="nil"/>
                  </w:tcBorders>
                  <w:shd w:val="clear" w:color="auto" w:fill="auto"/>
                  <w:vAlign w:val="center"/>
                </w:tcPr>
                <w:p w14:paraId="0AAB71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rPr>
                  </w:pPr>
                  <w:r>
                    <w:rPr>
                      <w:rFonts w:hint="default" w:ascii="Times New Roman" w:hAnsi="Times New Roman" w:eastAsia="宋体" w:cs="Times New Roman"/>
                      <w:i w:val="0"/>
                      <w:color w:val="auto"/>
                      <w:kern w:val="0"/>
                      <w:sz w:val="21"/>
                      <w:szCs w:val="21"/>
                      <w:lang w:val="en-US" w:eastAsia="zh-CN" w:bidi="ar"/>
                    </w:rPr>
                    <w:t>0.</w:t>
                  </w:r>
                  <w:r>
                    <w:rPr>
                      <w:rFonts w:hint="eastAsia" w:cs="Times New Roman"/>
                      <w:i w:val="0"/>
                      <w:color w:val="auto"/>
                      <w:kern w:val="0"/>
                      <w:sz w:val="21"/>
                      <w:szCs w:val="21"/>
                      <w:lang w:val="en-US" w:eastAsia="zh-CN" w:bidi="ar"/>
                    </w:rPr>
                    <w:t>182</w:t>
                  </w:r>
                </w:p>
              </w:tc>
              <w:tc>
                <w:tcPr>
                  <w:tcW w:w="715" w:type="pct"/>
                  <w:vMerge w:val="restart"/>
                  <w:tcBorders>
                    <w:tl2br w:val="nil"/>
                    <w:tr2bl w:val="nil"/>
                  </w:tcBorders>
                  <w:shd w:val="clear" w:color="auto" w:fill="auto"/>
                  <w:vAlign w:val="center"/>
                </w:tcPr>
                <w:p w14:paraId="6BB891B0">
                  <w:pPr>
                    <w:pStyle w:val="29"/>
                    <w:keepNext w:val="0"/>
                    <w:keepLines w:val="0"/>
                    <w:widowControl w:val="0"/>
                    <w:suppressLineNumbers w:val="0"/>
                    <w:spacing w:before="0" w:beforeAutospacing="0" w:after="0" w:afterAutospacing="0"/>
                    <w:ind w:left="-105" w:leftChars="-50" w:right="-105" w:rightChars="-50"/>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lang w:val="en-US" w:eastAsia="zh-CN" w:bidi="ar"/>
                    </w:rPr>
                    <w:t>0.300</w:t>
                  </w:r>
                </w:p>
              </w:tc>
              <w:tc>
                <w:tcPr>
                  <w:tcW w:w="715" w:type="pct"/>
                  <w:tcBorders>
                    <w:tl2br w:val="nil"/>
                    <w:tr2bl w:val="nil"/>
                  </w:tcBorders>
                  <w:shd w:val="clear" w:color="auto" w:fill="auto"/>
                  <w:vAlign w:val="center"/>
                </w:tcPr>
                <w:p w14:paraId="5EB92568">
                  <w:pPr>
                    <w:keepNext w:val="0"/>
                    <w:keepLines w:val="0"/>
                    <w:widowControl w:val="0"/>
                    <w:suppressLineNumbers w:val="0"/>
                    <w:spacing w:before="0" w:beforeAutospacing="0" w:after="0" w:afterAutospacing="0"/>
                    <w:ind w:left="-105" w:leftChars="-50" w:right="-105" w:rightChars="-50"/>
                    <w:jc w:val="center"/>
                    <w:rPr>
                      <w:rFonts w:hint="default" w:ascii="Times New Roman" w:hAnsi="Times New Roman" w:cs="Times New Roman"/>
                      <w:color w:val="auto"/>
                      <w:kern w:val="2"/>
                      <w:sz w:val="21"/>
                      <w:szCs w:val="21"/>
                      <w:lang w:val="en-US" w:eastAsia="zh-CN" w:bidi="ar"/>
                    </w:rPr>
                  </w:pPr>
                  <w:r>
                    <w:rPr>
                      <w:rFonts w:hint="eastAsia" w:cs="Times New Roman"/>
                      <w:color w:val="auto"/>
                      <w:kern w:val="0"/>
                      <w:sz w:val="21"/>
                      <w:szCs w:val="21"/>
                      <w:lang w:val="en-US" w:eastAsia="zh-CN" w:bidi="ar"/>
                    </w:rPr>
                    <w:t>达标</w:t>
                  </w:r>
                </w:p>
              </w:tc>
            </w:tr>
            <w:tr w14:paraId="19E6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712" w:type="pct"/>
                  <w:tcBorders>
                    <w:tl2br w:val="nil"/>
                    <w:tr2bl w:val="nil"/>
                  </w:tcBorders>
                  <w:shd w:val="clear" w:color="auto" w:fill="auto"/>
                  <w:vAlign w:val="center"/>
                </w:tcPr>
                <w:p w14:paraId="5347E8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rPr>
                  </w:pPr>
                  <w:r>
                    <w:rPr>
                      <w:rFonts w:hint="eastAsia" w:cs="Times New Roman"/>
                      <w:color w:val="auto"/>
                      <w:kern w:val="0"/>
                      <w:sz w:val="21"/>
                      <w:szCs w:val="21"/>
                      <w:lang w:val="en-US" w:eastAsia="zh-CN" w:bidi="ar"/>
                    </w:rPr>
                    <w:t>3</w:t>
                  </w:r>
                  <w:r>
                    <w:rPr>
                      <w:rFonts w:hint="eastAsia" w:ascii="宋体" w:hAnsi="宋体" w:eastAsia="宋体" w:cs="宋体"/>
                      <w:color w:val="auto"/>
                      <w:kern w:val="0"/>
                      <w:sz w:val="21"/>
                      <w:szCs w:val="21"/>
                      <w:lang w:val="en-US" w:eastAsia="zh-CN" w:bidi="ar"/>
                    </w:rPr>
                    <w:t>月</w:t>
                  </w:r>
                  <w:r>
                    <w:rPr>
                      <w:rFonts w:hint="eastAsia" w:cs="Times New Roman"/>
                      <w:color w:val="auto"/>
                      <w:kern w:val="0"/>
                      <w:sz w:val="21"/>
                      <w:szCs w:val="21"/>
                      <w:lang w:val="en-US" w:eastAsia="zh-CN" w:bidi="ar"/>
                    </w:rPr>
                    <w:t>12</w:t>
                  </w:r>
                  <w:r>
                    <w:rPr>
                      <w:rFonts w:hint="eastAsia" w:ascii="宋体" w:hAnsi="宋体" w:eastAsia="宋体" w:cs="宋体"/>
                      <w:color w:val="auto"/>
                      <w:kern w:val="0"/>
                      <w:sz w:val="21"/>
                      <w:szCs w:val="21"/>
                      <w:lang w:val="en-US" w:eastAsia="zh-CN" w:bidi="ar"/>
                    </w:rPr>
                    <w:t>日</w:t>
                  </w:r>
                </w:p>
              </w:tc>
              <w:tc>
                <w:tcPr>
                  <w:tcW w:w="714" w:type="pct"/>
                  <w:vMerge w:val="continue"/>
                  <w:tcBorders>
                    <w:tl2br w:val="nil"/>
                    <w:tr2bl w:val="nil"/>
                  </w:tcBorders>
                  <w:shd w:val="clear" w:color="auto" w:fill="auto"/>
                  <w:vAlign w:val="center"/>
                </w:tcPr>
                <w:p w14:paraId="204AFD40">
                  <w:pPr>
                    <w:keepNext w:val="0"/>
                    <w:keepLines w:val="0"/>
                    <w:suppressLineNumbers w:val="0"/>
                    <w:spacing w:before="0" w:beforeAutospacing="0" w:after="0" w:afterAutospacing="0"/>
                    <w:ind w:left="0" w:right="0"/>
                    <w:rPr>
                      <w:rFonts w:hint="default" w:ascii="Calibri" w:hAnsi="Calibri" w:eastAsia="宋体" w:cs="Times New Roman"/>
                      <w:color w:val="auto"/>
                      <w:kern w:val="2"/>
                      <w:sz w:val="21"/>
                      <w:szCs w:val="21"/>
                    </w:rPr>
                  </w:pPr>
                </w:p>
              </w:tc>
              <w:tc>
                <w:tcPr>
                  <w:tcW w:w="714" w:type="pct"/>
                  <w:tcBorders>
                    <w:tl2br w:val="nil"/>
                    <w:tr2bl w:val="nil"/>
                  </w:tcBorders>
                  <w:shd w:val="clear" w:color="auto" w:fill="auto"/>
                  <w:vAlign w:val="top"/>
                </w:tcPr>
                <w:p w14:paraId="5DC6486C">
                  <w:pPr>
                    <w:pStyle w:val="29"/>
                    <w:keepNext w:val="0"/>
                    <w:keepLines w:val="0"/>
                    <w:widowControl w:val="0"/>
                    <w:suppressLineNumbers w:val="0"/>
                    <w:spacing w:before="0" w:beforeAutospacing="0" w:after="0" w:afterAutospacing="0"/>
                    <w:ind w:left="-105" w:leftChars="-50" w:right="-105" w:rightChars="-50"/>
                    <w:jc w:val="center"/>
                    <w:rPr>
                      <w:rFonts w:hint="eastAsia" w:ascii="Times New Roman" w:hAnsi="Times New Roman" w:eastAsia="宋体" w:cs="宋体"/>
                      <w:color w:val="auto"/>
                      <w:kern w:val="2"/>
                      <w:sz w:val="21"/>
                      <w:szCs w:val="21"/>
                    </w:rPr>
                  </w:pPr>
                  <w:r>
                    <w:rPr>
                      <w:rFonts w:hint="default" w:ascii="Times New Roman" w:hAnsi="Times New Roman" w:cs="Times New Roman"/>
                      <w:color w:val="auto"/>
                      <w:kern w:val="2"/>
                      <w:sz w:val="21"/>
                      <w:szCs w:val="21"/>
                      <w:lang w:val="en-US" w:eastAsia="zh-CN" w:bidi="ar"/>
                    </w:rPr>
                    <w:t>00:00-24:00</w:t>
                  </w:r>
                </w:p>
              </w:tc>
              <w:tc>
                <w:tcPr>
                  <w:tcW w:w="714" w:type="pct"/>
                  <w:vMerge w:val="continue"/>
                  <w:tcBorders>
                    <w:tl2br w:val="nil"/>
                    <w:tr2bl w:val="nil"/>
                  </w:tcBorders>
                  <w:shd w:val="clear" w:color="auto" w:fill="auto"/>
                  <w:vAlign w:val="center"/>
                </w:tcPr>
                <w:p w14:paraId="67E01377">
                  <w:pPr>
                    <w:keepNext w:val="0"/>
                    <w:keepLines w:val="0"/>
                    <w:suppressLineNumbers w:val="0"/>
                    <w:spacing w:before="0" w:beforeAutospacing="0" w:after="0" w:afterAutospacing="0"/>
                    <w:ind w:left="0" w:right="0"/>
                    <w:rPr>
                      <w:rFonts w:hint="default" w:ascii="Calibri" w:hAnsi="Calibri" w:eastAsia="宋体" w:cs="Times New Roman"/>
                      <w:color w:val="auto"/>
                      <w:kern w:val="2"/>
                      <w:sz w:val="21"/>
                      <w:szCs w:val="21"/>
                    </w:rPr>
                  </w:pPr>
                </w:p>
              </w:tc>
              <w:tc>
                <w:tcPr>
                  <w:tcW w:w="714" w:type="pct"/>
                  <w:tcBorders>
                    <w:tl2br w:val="nil"/>
                    <w:tr2bl w:val="nil"/>
                  </w:tcBorders>
                  <w:shd w:val="clear" w:color="auto" w:fill="auto"/>
                  <w:vAlign w:val="center"/>
                </w:tcPr>
                <w:p w14:paraId="5BDBC2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rPr>
                  </w:pPr>
                  <w:r>
                    <w:rPr>
                      <w:rFonts w:hint="default" w:ascii="Times New Roman" w:hAnsi="Times New Roman" w:eastAsia="宋体" w:cs="Times New Roman"/>
                      <w:i w:val="0"/>
                      <w:color w:val="auto"/>
                      <w:kern w:val="0"/>
                      <w:sz w:val="21"/>
                      <w:szCs w:val="21"/>
                      <w:lang w:val="en-US" w:eastAsia="zh-CN" w:bidi="ar"/>
                    </w:rPr>
                    <w:t>0.</w:t>
                  </w:r>
                  <w:r>
                    <w:rPr>
                      <w:rFonts w:hint="eastAsia" w:cs="Times New Roman"/>
                      <w:i w:val="0"/>
                      <w:color w:val="auto"/>
                      <w:kern w:val="0"/>
                      <w:sz w:val="21"/>
                      <w:szCs w:val="21"/>
                      <w:lang w:val="en-US" w:eastAsia="zh-CN" w:bidi="ar"/>
                    </w:rPr>
                    <w:t>153</w:t>
                  </w:r>
                </w:p>
              </w:tc>
              <w:tc>
                <w:tcPr>
                  <w:tcW w:w="715" w:type="pct"/>
                  <w:vMerge w:val="continue"/>
                  <w:tcBorders>
                    <w:tl2br w:val="nil"/>
                    <w:tr2bl w:val="nil"/>
                  </w:tcBorders>
                  <w:shd w:val="clear" w:color="auto" w:fill="auto"/>
                  <w:vAlign w:val="center"/>
                </w:tcPr>
                <w:p w14:paraId="4A562BD0">
                  <w:pPr>
                    <w:keepNext w:val="0"/>
                    <w:keepLines w:val="0"/>
                    <w:suppressLineNumbers w:val="0"/>
                    <w:spacing w:before="0" w:beforeAutospacing="0" w:after="0" w:afterAutospacing="0"/>
                    <w:ind w:left="0" w:right="0"/>
                    <w:rPr>
                      <w:rFonts w:hint="default" w:ascii="Calibri" w:hAnsi="Calibri" w:eastAsia="宋体" w:cs="Times New Roman"/>
                      <w:color w:val="auto"/>
                      <w:kern w:val="2"/>
                      <w:sz w:val="21"/>
                      <w:szCs w:val="21"/>
                    </w:rPr>
                  </w:pPr>
                </w:p>
              </w:tc>
              <w:tc>
                <w:tcPr>
                  <w:tcW w:w="715" w:type="pct"/>
                  <w:tcBorders>
                    <w:tl2br w:val="nil"/>
                    <w:tr2bl w:val="nil"/>
                  </w:tcBorders>
                  <w:shd w:val="clear" w:color="auto" w:fill="auto"/>
                  <w:vAlign w:val="center"/>
                </w:tcPr>
                <w:p w14:paraId="00A0F953">
                  <w:pPr>
                    <w:keepNext w:val="0"/>
                    <w:keepLines w:val="0"/>
                    <w:suppressLineNumbers w:val="0"/>
                    <w:spacing w:before="0" w:beforeAutospacing="0" w:after="0" w:afterAutospacing="0"/>
                    <w:ind w:left="0" w:right="0"/>
                    <w:jc w:val="center"/>
                    <w:rPr>
                      <w:rFonts w:hint="default" w:ascii="Calibri" w:hAnsi="Calibri" w:eastAsia="宋体" w:cs="Times New Roman"/>
                      <w:color w:val="auto"/>
                      <w:kern w:val="2"/>
                      <w:sz w:val="21"/>
                      <w:szCs w:val="21"/>
                    </w:rPr>
                  </w:pPr>
                  <w:r>
                    <w:rPr>
                      <w:rFonts w:hint="eastAsia" w:cs="Times New Roman"/>
                      <w:color w:val="auto"/>
                      <w:kern w:val="0"/>
                      <w:sz w:val="21"/>
                      <w:szCs w:val="21"/>
                      <w:lang w:val="en-US" w:eastAsia="zh-CN" w:bidi="ar"/>
                    </w:rPr>
                    <w:t>达标</w:t>
                  </w:r>
                </w:p>
              </w:tc>
            </w:tr>
            <w:tr w14:paraId="7C257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712" w:type="pct"/>
                  <w:tcBorders>
                    <w:tl2br w:val="nil"/>
                    <w:tr2bl w:val="nil"/>
                  </w:tcBorders>
                  <w:shd w:val="clear" w:color="auto" w:fill="auto"/>
                  <w:vAlign w:val="center"/>
                </w:tcPr>
                <w:p w14:paraId="41F71C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rPr>
                  </w:pPr>
                  <w:r>
                    <w:rPr>
                      <w:rFonts w:hint="eastAsia" w:cs="Times New Roman"/>
                      <w:color w:val="auto"/>
                      <w:kern w:val="0"/>
                      <w:sz w:val="21"/>
                      <w:szCs w:val="21"/>
                      <w:lang w:val="en-US" w:eastAsia="zh-CN" w:bidi="ar"/>
                    </w:rPr>
                    <w:t>3</w:t>
                  </w:r>
                  <w:r>
                    <w:rPr>
                      <w:rFonts w:hint="default" w:ascii="Times New Roman" w:hAnsi="Times New Roman" w:eastAsia="宋体" w:cs="Times New Roman"/>
                      <w:color w:val="auto"/>
                      <w:kern w:val="0"/>
                      <w:sz w:val="21"/>
                      <w:szCs w:val="21"/>
                      <w:lang w:val="en-US" w:eastAsia="zh-CN" w:bidi="ar"/>
                    </w:rPr>
                    <w:t>月</w:t>
                  </w:r>
                  <w:r>
                    <w:rPr>
                      <w:rFonts w:hint="eastAsia" w:cs="Times New Roman"/>
                      <w:color w:val="auto"/>
                      <w:kern w:val="0"/>
                      <w:sz w:val="21"/>
                      <w:szCs w:val="21"/>
                      <w:lang w:val="en-US" w:eastAsia="zh-CN" w:bidi="ar"/>
                    </w:rPr>
                    <w:t>13</w:t>
                  </w:r>
                  <w:r>
                    <w:rPr>
                      <w:rFonts w:hint="default" w:ascii="Times New Roman" w:hAnsi="Times New Roman" w:eastAsia="宋体" w:cs="Times New Roman"/>
                      <w:color w:val="auto"/>
                      <w:kern w:val="0"/>
                      <w:sz w:val="21"/>
                      <w:szCs w:val="21"/>
                      <w:lang w:val="en-US" w:eastAsia="zh-CN" w:bidi="ar"/>
                    </w:rPr>
                    <w:t>日</w:t>
                  </w:r>
                </w:p>
              </w:tc>
              <w:tc>
                <w:tcPr>
                  <w:tcW w:w="714" w:type="pct"/>
                  <w:vMerge w:val="continue"/>
                  <w:tcBorders>
                    <w:tl2br w:val="nil"/>
                    <w:tr2bl w:val="nil"/>
                  </w:tcBorders>
                  <w:shd w:val="clear" w:color="auto" w:fill="auto"/>
                  <w:vAlign w:val="center"/>
                </w:tcPr>
                <w:p w14:paraId="5CC3A481">
                  <w:pPr>
                    <w:keepNext w:val="0"/>
                    <w:keepLines w:val="0"/>
                    <w:suppressLineNumbers w:val="0"/>
                    <w:spacing w:before="0" w:beforeAutospacing="0" w:after="0" w:afterAutospacing="0"/>
                    <w:ind w:left="0" w:right="0"/>
                    <w:rPr>
                      <w:rFonts w:hint="default" w:ascii="Calibri" w:hAnsi="Calibri" w:eastAsia="宋体" w:cs="Times New Roman"/>
                      <w:color w:val="auto"/>
                      <w:kern w:val="2"/>
                      <w:sz w:val="21"/>
                      <w:szCs w:val="21"/>
                    </w:rPr>
                  </w:pPr>
                </w:p>
              </w:tc>
              <w:tc>
                <w:tcPr>
                  <w:tcW w:w="714" w:type="pct"/>
                  <w:tcBorders>
                    <w:tl2br w:val="nil"/>
                    <w:tr2bl w:val="nil"/>
                  </w:tcBorders>
                  <w:shd w:val="clear" w:color="auto" w:fill="auto"/>
                  <w:vAlign w:val="top"/>
                </w:tcPr>
                <w:p w14:paraId="1C39543B">
                  <w:pPr>
                    <w:pStyle w:val="29"/>
                    <w:keepNext w:val="0"/>
                    <w:keepLines w:val="0"/>
                    <w:widowControl w:val="0"/>
                    <w:suppressLineNumbers w:val="0"/>
                    <w:spacing w:before="0" w:beforeAutospacing="0" w:after="0" w:afterAutospacing="0"/>
                    <w:ind w:left="-105" w:leftChars="-50" w:right="-105" w:rightChars="-50"/>
                    <w:jc w:val="center"/>
                    <w:rPr>
                      <w:rFonts w:hint="eastAsia" w:ascii="Times New Roman" w:hAnsi="Times New Roman" w:eastAsia="宋体" w:cs="宋体"/>
                      <w:color w:val="auto"/>
                      <w:kern w:val="2"/>
                      <w:sz w:val="21"/>
                      <w:szCs w:val="21"/>
                    </w:rPr>
                  </w:pPr>
                  <w:r>
                    <w:rPr>
                      <w:rFonts w:hint="default" w:ascii="Times New Roman" w:hAnsi="Times New Roman" w:cs="Times New Roman"/>
                      <w:color w:val="auto"/>
                      <w:kern w:val="2"/>
                      <w:sz w:val="21"/>
                      <w:szCs w:val="21"/>
                      <w:lang w:val="en-US" w:eastAsia="zh-CN" w:bidi="ar"/>
                    </w:rPr>
                    <w:t>00:00-24:00</w:t>
                  </w:r>
                </w:p>
              </w:tc>
              <w:tc>
                <w:tcPr>
                  <w:tcW w:w="714" w:type="pct"/>
                  <w:vMerge w:val="continue"/>
                  <w:tcBorders>
                    <w:tl2br w:val="nil"/>
                    <w:tr2bl w:val="nil"/>
                  </w:tcBorders>
                  <w:shd w:val="clear" w:color="auto" w:fill="auto"/>
                  <w:vAlign w:val="center"/>
                </w:tcPr>
                <w:p w14:paraId="74AE3655">
                  <w:pPr>
                    <w:keepNext w:val="0"/>
                    <w:keepLines w:val="0"/>
                    <w:suppressLineNumbers w:val="0"/>
                    <w:spacing w:before="0" w:beforeAutospacing="0" w:after="0" w:afterAutospacing="0"/>
                    <w:ind w:left="0" w:right="0"/>
                    <w:rPr>
                      <w:rFonts w:hint="default" w:ascii="Calibri" w:hAnsi="Calibri" w:eastAsia="宋体" w:cs="Times New Roman"/>
                      <w:color w:val="auto"/>
                      <w:kern w:val="2"/>
                      <w:sz w:val="21"/>
                      <w:szCs w:val="21"/>
                    </w:rPr>
                  </w:pPr>
                </w:p>
              </w:tc>
              <w:tc>
                <w:tcPr>
                  <w:tcW w:w="714" w:type="pct"/>
                  <w:tcBorders>
                    <w:tl2br w:val="nil"/>
                    <w:tr2bl w:val="nil"/>
                  </w:tcBorders>
                  <w:shd w:val="clear" w:color="auto" w:fill="auto"/>
                  <w:vAlign w:val="center"/>
                </w:tcPr>
                <w:p w14:paraId="1E411D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rPr>
                  </w:pPr>
                  <w:r>
                    <w:rPr>
                      <w:rFonts w:hint="default" w:ascii="Times New Roman" w:hAnsi="Times New Roman" w:eastAsia="宋体" w:cs="Times New Roman"/>
                      <w:i w:val="0"/>
                      <w:color w:val="auto"/>
                      <w:kern w:val="0"/>
                      <w:sz w:val="21"/>
                      <w:szCs w:val="21"/>
                      <w:lang w:val="en-US" w:eastAsia="zh-CN" w:bidi="ar"/>
                    </w:rPr>
                    <w:t>0.</w:t>
                  </w:r>
                  <w:r>
                    <w:rPr>
                      <w:rFonts w:hint="eastAsia" w:cs="Times New Roman"/>
                      <w:i w:val="0"/>
                      <w:color w:val="auto"/>
                      <w:kern w:val="0"/>
                      <w:sz w:val="21"/>
                      <w:szCs w:val="21"/>
                      <w:lang w:val="en-US" w:eastAsia="zh-CN" w:bidi="ar"/>
                    </w:rPr>
                    <w:t>202</w:t>
                  </w:r>
                </w:p>
              </w:tc>
              <w:tc>
                <w:tcPr>
                  <w:tcW w:w="715" w:type="pct"/>
                  <w:vMerge w:val="continue"/>
                  <w:tcBorders>
                    <w:tl2br w:val="nil"/>
                    <w:tr2bl w:val="nil"/>
                  </w:tcBorders>
                  <w:shd w:val="clear" w:color="auto" w:fill="auto"/>
                  <w:vAlign w:val="center"/>
                </w:tcPr>
                <w:p w14:paraId="3E13F37F">
                  <w:pPr>
                    <w:keepNext w:val="0"/>
                    <w:keepLines w:val="0"/>
                    <w:suppressLineNumbers w:val="0"/>
                    <w:spacing w:before="0" w:beforeAutospacing="0" w:after="0" w:afterAutospacing="0"/>
                    <w:ind w:left="0" w:right="0"/>
                    <w:rPr>
                      <w:rFonts w:hint="default" w:ascii="Calibri" w:hAnsi="Calibri" w:eastAsia="宋体" w:cs="Times New Roman"/>
                      <w:color w:val="auto"/>
                      <w:kern w:val="2"/>
                      <w:sz w:val="21"/>
                      <w:szCs w:val="21"/>
                    </w:rPr>
                  </w:pPr>
                </w:p>
              </w:tc>
              <w:tc>
                <w:tcPr>
                  <w:tcW w:w="715" w:type="pct"/>
                  <w:tcBorders>
                    <w:tl2br w:val="nil"/>
                    <w:tr2bl w:val="nil"/>
                  </w:tcBorders>
                  <w:shd w:val="clear" w:color="auto" w:fill="auto"/>
                  <w:vAlign w:val="center"/>
                </w:tcPr>
                <w:p w14:paraId="144849AB">
                  <w:pPr>
                    <w:keepNext w:val="0"/>
                    <w:keepLines w:val="0"/>
                    <w:suppressLineNumbers w:val="0"/>
                    <w:spacing w:before="0" w:beforeAutospacing="0" w:after="0" w:afterAutospacing="0"/>
                    <w:ind w:left="0" w:right="0"/>
                    <w:jc w:val="center"/>
                    <w:rPr>
                      <w:rFonts w:hint="default" w:ascii="Calibri" w:hAnsi="Calibri" w:eastAsia="宋体" w:cs="Times New Roman"/>
                      <w:color w:val="auto"/>
                      <w:kern w:val="2"/>
                      <w:sz w:val="21"/>
                      <w:szCs w:val="21"/>
                    </w:rPr>
                  </w:pPr>
                  <w:r>
                    <w:rPr>
                      <w:rFonts w:hint="eastAsia" w:cs="Times New Roman"/>
                      <w:color w:val="auto"/>
                      <w:kern w:val="0"/>
                      <w:sz w:val="21"/>
                      <w:szCs w:val="21"/>
                      <w:lang w:val="en-US" w:eastAsia="zh-CN" w:bidi="ar"/>
                    </w:rPr>
                    <w:t>达标</w:t>
                  </w:r>
                </w:p>
              </w:tc>
            </w:tr>
          </w:tbl>
          <w:p w14:paraId="60942153">
            <w:pPr>
              <w:pStyle w:val="5"/>
              <w:keepNext/>
              <w:keepLines/>
              <w:pageBreakBefore w:val="0"/>
              <w:widowControl/>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outlineLvl w:val="3"/>
              <w:rPr>
                <w:rFonts w:hAnsiTheme="minorEastAsia" w:eastAsiaTheme="minorEastAsia"/>
                <w:color w:val="auto"/>
                <w:sz w:val="24"/>
                <w:highlight w:val="none"/>
              </w:rPr>
            </w:pPr>
            <w:r>
              <w:rPr>
                <w:rFonts w:hint="eastAsia" w:ascii="宋体" w:hAnsi="宋体" w:eastAsia="宋体" w:cs="宋体"/>
                <w:b/>
                <w:bCs w:val="0"/>
                <w:color w:val="auto"/>
                <w:kern w:val="0"/>
                <w:sz w:val="21"/>
                <w:szCs w:val="21"/>
              </w:rPr>
              <w:t>表</w:t>
            </w:r>
            <w:r>
              <w:rPr>
                <w:rFonts w:hint="default" w:ascii="Times New Roman" w:hAnsi="Times New Roman" w:eastAsia="宋体" w:cs="Times New Roman"/>
                <w:b/>
                <w:bCs w:val="0"/>
                <w:color w:val="auto"/>
                <w:kern w:val="0"/>
                <w:sz w:val="21"/>
                <w:szCs w:val="21"/>
              </w:rPr>
              <w:t>3-</w:t>
            </w:r>
            <w:r>
              <w:rPr>
                <w:rFonts w:hint="eastAsia" w:ascii="Times New Roman" w:hAnsi="Times New Roman" w:eastAsia="宋体" w:cs="Times New Roman"/>
                <w:b/>
                <w:bCs w:val="0"/>
                <w:color w:val="auto"/>
                <w:kern w:val="0"/>
                <w:sz w:val="21"/>
                <w:szCs w:val="21"/>
                <w:lang w:val="en-US" w:eastAsia="zh-CN"/>
              </w:rPr>
              <w:t xml:space="preserve">3       </w:t>
            </w:r>
            <w:r>
              <w:rPr>
                <w:rFonts w:hint="eastAsia" w:ascii="宋体" w:hAnsi="宋体" w:eastAsia="宋体" w:cs="宋体"/>
                <w:b/>
                <w:bCs w:val="0"/>
                <w:color w:val="auto"/>
                <w:kern w:val="0"/>
                <w:sz w:val="21"/>
                <w:szCs w:val="21"/>
              </w:rPr>
              <w:t>特征污染物</w:t>
            </w:r>
            <w:r>
              <w:rPr>
                <w:rFonts w:hint="eastAsia" w:hAnsi="宋体" w:eastAsia="宋体" w:cs="宋体"/>
                <w:b/>
                <w:bCs w:val="0"/>
                <w:color w:val="auto"/>
                <w:kern w:val="0"/>
                <w:sz w:val="21"/>
                <w:szCs w:val="21"/>
                <w:lang w:eastAsia="zh-CN"/>
              </w:rPr>
              <w:t>（</w:t>
            </w:r>
            <w:r>
              <w:rPr>
                <w:rFonts w:hint="eastAsia" w:ascii="宋体" w:hAnsi="宋体" w:eastAsia="宋体" w:cs="宋体"/>
                <w:b/>
                <w:bCs w:val="0"/>
                <w:color w:val="auto"/>
                <w:kern w:val="0"/>
                <w:sz w:val="21"/>
                <w:szCs w:val="21"/>
                <w:lang w:val="en-US" w:eastAsia="zh-CN"/>
              </w:rPr>
              <w:t>非甲烷总烃</w:t>
            </w:r>
            <w:r>
              <w:rPr>
                <w:rFonts w:hint="eastAsia" w:hAnsi="宋体" w:eastAsia="宋体" w:cs="宋体"/>
                <w:b/>
                <w:bCs w:val="0"/>
                <w:color w:val="auto"/>
                <w:kern w:val="0"/>
                <w:sz w:val="21"/>
                <w:szCs w:val="21"/>
                <w:lang w:val="en-US" w:eastAsia="zh-CN"/>
              </w:rPr>
              <w:t>）</w:t>
            </w:r>
            <w:r>
              <w:rPr>
                <w:rFonts w:hint="eastAsia" w:ascii="宋体" w:hAnsi="宋体" w:eastAsia="宋体" w:cs="宋体"/>
                <w:b/>
                <w:bCs w:val="0"/>
                <w:color w:val="auto"/>
                <w:kern w:val="0"/>
                <w:sz w:val="21"/>
                <w:szCs w:val="21"/>
              </w:rPr>
              <w:t>监测结果</w:t>
            </w:r>
            <w:r>
              <w:rPr>
                <w:rFonts w:hint="eastAsia" w:ascii="Times New Roman" w:hAnsi="Times New Roman" w:eastAsia="宋体" w:cs="宋体"/>
                <w:b/>
                <w:bCs w:val="0"/>
                <w:color w:val="auto"/>
                <w:kern w:val="0"/>
                <w:sz w:val="21"/>
                <w:szCs w:val="21"/>
              </w:rPr>
              <w:t xml:space="preserve">  </w:t>
            </w:r>
            <w:r>
              <w:rPr>
                <w:rFonts w:hint="eastAsia" w:ascii="宋体" w:hAnsi="宋体" w:eastAsia="宋体" w:cs="宋体"/>
                <w:b/>
                <w:bCs w:val="0"/>
                <w:color w:val="auto"/>
                <w:kern w:val="0"/>
                <w:sz w:val="21"/>
                <w:szCs w:val="21"/>
              </w:rPr>
              <w:t>（单位：</w:t>
            </w:r>
            <w:r>
              <w:rPr>
                <w:rFonts w:hint="default" w:ascii="Times New Roman" w:hAnsi="Times New Roman" w:eastAsia="宋体" w:cs="Times New Roman"/>
                <w:b/>
                <w:bCs w:val="0"/>
                <w:color w:val="auto"/>
                <w:kern w:val="0"/>
                <w:sz w:val="21"/>
                <w:szCs w:val="21"/>
              </w:rPr>
              <w:t>mg/m</w:t>
            </w:r>
            <w:r>
              <w:rPr>
                <w:rFonts w:hint="default" w:ascii="Times New Roman" w:hAnsi="Times New Roman" w:eastAsia="宋体" w:cs="Times New Roman"/>
                <w:b/>
                <w:bCs w:val="0"/>
                <w:color w:val="auto"/>
                <w:kern w:val="0"/>
                <w:sz w:val="21"/>
                <w:szCs w:val="21"/>
                <w:vertAlign w:val="superscript"/>
              </w:rPr>
              <w:t>3</w:t>
            </w:r>
            <w:r>
              <w:rPr>
                <w:rFonts w:hint="eastAsia" w:ascii="宋体" w:hAnsi="宋体" w:eastAsia="宋体" w:cs="宋体"/>
                <w:b/>
                <w:bCs w:val="0"/>
                <w:color w:val="auto"/>
                <w:kern w:val="0"/>
                <w:sz w:val="21"/>
                <w:szCs w:val="21"/>
              </w:rPr>
              <w:t>）</w:t>
            </w:r>
          </w:p>
          <w:tbl>
            <w:tblPr>
              <w:tblStyle w:val="35"/>
              <w:tblW w:w="8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7"/>
              <w:gridCol w:w="1539"/>
              <w:gridCol w:w="1294"/>
              <w:gridCol w:w="1279"/>
              <w:gridCol w:w="1069"/>
              <w:gridCol w:w="1401"/>
            </w:tblGrid>
            <w:tr w14:paraId="618D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1" w:type="pct"/>
                  <w:vAlign w:val="center"/>
                </w:tcPr>
                <w:p w14:paraId="154B69C8">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采样日期</w:t>
                  </w:r>
                </w:p>
              </w:tc>
              <w:tc>
                <w:tcPr>
                  <w:tcW w:w="916" w:type="pct"/>
                  <w:vAlign w:val="center"/>
                </w:tcPr>
                <w:p w14:paraId="5E6FE07D">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监测点位</w:t>
                  </w:r>
                </w:p>
              </w:tc>
              <w:tc>
                <w:tcPr>
                  <w:tcW w:w="770" w:type="pct"/>
                  <w:vAlign w:val="center"/>
                </w:tcPr>
                <w:p w14:paraId="092CA5CE">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监测项目</w:t>
                  </w:r>
                </w:p>
              </w:tc>
              <w:tc>
                <w:tcPr>
                  <w:tcW w:w="761" w:type="pct"/>
                  <w:vAlign w:val="center"/>
                </w:tcPr>
                <w:p w14:paraId="7BE91109">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监测结果</w:t>
                  </w:r>
                </w:p>
              </w:tc>
              <w:tc>
                <w:tcPr>
                  <w:tcW w:w="636" w:type="pct"/>
                  <w:vAlign w:val="center"/>
                </w:tcPr>
                <w:p w14:paraId="445EB3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标准限值</w:t>
                  </w:r>
                </w:p>
              </w:tc>
              <w:tc>
                <w:tcPr>
                  <w:tcW w:w="834" w:type="pct"/>
                  <w:vAlign w:val="center"/>
                </w:tcPr>
                <w:p w14:paraId="46EDBE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Ansi="宋体"/>
                      <w:b w:val="0"/>
                      <w:bCs w:val="0"/>
                      <w:color w:val="auto"/>
                      <w:szCs w:val="21"/>
                      <w:highlight w:val="none"/>
                    </w:rPr>
                    <w:t>达标情况</w:t>
                  </w:r>
                </w:p>
              </w:tc>
            </w:tr>
            <w:tr w14:paraId="6D70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1" w:type="pct"/>
                  <w:vMerge w:val="restart"/>
                  <w:vAlign w:val="center"/>
                </w:tcPr>
                <w:p w14:paraId="62F38811">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2025年3月11日</w:t>
                  </w:r>
                </w:p>
              </w:tc>
              <w:tc>
                <w:tcPr>
                  <w:tcW w:w="916" w:type="pct"/>
                  <w:vMerge w:val="restart"/>
                  <w:vAlign w:val="center"/>
                </w:tcPr>
                <w:p w14:paraId="3B327EDD">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项目区下风向</w:t>
                  </w:r>
                </w:p>
              </w:tc>
              <w:tc>
                <w:tcPr>
                  <w:tcW w:w="770" w:type="pct"/>
                  <w:vMerge w:val="restart"/>
                  <w:vAlign w:val="center"/>
                </w:tcPr>
                <w:p w14:paraId="5C119C55">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非甲烷总烃</w:t>
                  </w:r>
                </w:p>
              </w:tc>
              <w:tc>
                <w:tcPr>
                  <w:tcW w:w="761" w:type="pct"/>
                  <w:vAlign w:val="center"/>
                </w:tcPr>
                <w:p w14:paraId="764EA355">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0.79</w:t>
                  </w:r>
                </w:p>
              </w:tc>
              <w:tc>
                <w:tcPr>
                  <w:tcW w:w="636" w:type="pct"/>
                  <w:vMerge w:val="restart"/>
                  <w:vAlign w:val="center"/>
                </w:tcPr>
                <w:p w14:paraId="04C399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2.0</w:t>
                  </w:r>
                </w:p>
              </w:tc>
              <w:tc>
                <w:tcPr>
                  <w:tcW w:w="834" w:type="pct"/>
                  <w:vAlign w:val="center"/>
                </w:tcPr>
                <w:p w14:paraId="48EBD8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达标</w:t>
                  </w:r>
                </w:p>
              </w:tc>
            </w:tr>
            <w:tr w14:paraId="20B0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1" w:type="pct"/>
                  <w:vMerge w:val="continue"/>
                  <w:vAlign w:val="center"/>
                </w:tcPr>
                <w:p w14:paraId="088C44A9">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916" w:type="pct"/>
                  <w:vMerge w:val="continue"/>
                  <w:vAlign w:val="center"/>
                </w:tcPr>
                <w:p w14:paraId="67767005">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70" w:type="pct"/>
                  <w:vMerge w:val="continue"/>
                  <w:vAlign w:val="center"/>
                </w:tcPr>
                <w:p w14:paraId="28CA0A0D">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61" w:type="pct"/>
                  <w:vAlign w:val="center"/>
                </w:tcPr>
                <w:p w14:paraId="55B2F149">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0.79</w:t>
                  </w:r>
                </w:p>
              </w:tc>
              <w:tc>
                <w:tcPr>
                  <w:tcW w:w="636" w:type="pct"/>
                  <w:vMerge w:val="continue"/>
                  <w:vAlign w:val="center"/>
                </w:tcPr>
                <w:p w14:paraId="41D40B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p>
              </w:tc>
              <w:tc>
                <w:tcPr>
                  <w:tcW w:w="834" w:type="pct"/>
                  <w:vAlign w:val="center"/>
                </w:tcPr>
                <w:p w14:paraId="66A160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达标</w:t>
                  </w:r>
                </w:p>
              </w:tc>
            </w:tr>
            <w:tr w14:paraId="2C287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1" w:type="pct"/>
                  <w:vMerge w:val="continue"/>
                  <w:vAlign w:val="center"/>
                </w:tcPr>
                <w:p w14:paraId="43B004A2">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916" w:type="pct"/>
                  <w:vMerge w:val="continue"/>
                  <w:vAlign w:val="center"/>
                </w:tcPr>
                <w:p w14:paraId="1B91461D">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70" w:type="pct"/>
                  <w:vMerge w:val="continue"/>
                  <w:vAlign w:val="center"/>
                </w:tcPr>
                <w:p w14:paraId="09C94587">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61" w:type="pct"/>
                  <w:vAlign w:val="center"/>
                </w:tcPr>
                <w:p w14:paraId="3A8873E1">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0.70</w:t>
                  </w:r>
                </w:p>
              </w:tc>
              <w:tc>
                <w:tcPr>
                  <w:tcW w:w="636" w:type="pct"/>
                  <w:vMerge w:val="continue"/>
                  <w:vAlign w:val="center"/>
                </w:tcPr>
                <w:p w14:paraId="52420B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p>
              </w:tc>
              <w:tc>
                <w:tcPr>
                  <w:tcW w:w="834" w:type="pct"/>
                  <w:vAlign w:val="center"/>
                </w:tcPr>
                <w:p w14:paraId="0D5253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达标</w:t>
                  </w:r>
                </w:p>
              </w:tc>
            </w:tr>
            <w:tr w14:paraId="3BBE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1" w:type="pct"/>
                  <w:vMerge w:val="continue"/>
                  <w:vAlign w:val="center"/>
                </w:tcPr>
                <w:p w14:paraId="426D919F">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916" w:type="pct"/>
                  <w:vMerge w:val="continue"/>
                  <w:vAlign w:val="center"/>
                </w:tcPr>
                <w:p w14:paraId="5A23F6C8">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70" w:type="pct"/>
                  <w:vMerge w:val="continue"/>
                  <w:vAlign w:val="center"/>
                </w:tcPr>
                <w:p w14:paraId="4D09DE14">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61" w:type="pct"/>
                  <w:vAlign w:val="center"/>
                </w:tcPr>
                <w:p w14:paraId="3335D852">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0.74</w:t>
                  </w:r>
                </w:p>
              </w:tc>
              <w:tc>
                <w:tcPr>
                  <w:tcW w:w="636" w:type="pct"/>
                  <w:vMerge w:val="continue"/>
                  <w:vAlign w:val="center"/>
                </w:tcPr>
                <w:p w14:paraId="72B0BF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p>
              </w:tc>
              <w:tc>
                <w:tcPr>
                  <w:tcW w:w="834" w:type="pct"/>
                  <w:vAlign w:val="center"/>
                </w:tcPr>
                <w:p w14:paraId="65F320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达标</w:t>
                  </w:r>
                </w:p>
              </w:tc>
            </w:tr>
            <w:tr w14:paraId="13DF0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1" w:type="pct"/>
                  <w:vMerge w:val="restart"/>
                  <w:vAlign w:val="center"/>
                </w:tcPr>
                <w:p w14:paraId="6B61348F">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2025年3月12日</w:t>
                  </w:r>
                </w:p>
              </w:tc>
              <w:tc>
                <w:tcPr>
                  <w:tcW w:w="916" w:type="pct"/>
                  <w:vMerge w:val="restart"/>
                  <w:vAlign w:val="center"/>
                </w:tcPr>
                <w:p w14:paraId="71CE416D">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项目区下风向</w:t>
                  </w:r>
                </w:p>
              </w:tc>
              <w:tc>
                <w:tcPr>
                  <w:tcW w:w="770" w:type="pct"/>
                  <w:vMerge w:val="restart"/>
                  <w:vAlign w:val="center"/>
                </w:tcPr>
                <w:p w14:paraId="291E2F8C">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非甲烷总烃</w:t>
                  </w:r>
                </w:p>
              </w:tc>
              <w:tc>
                <w:tcPr>
                  <w:tcW w:w="761" w:type="pct"/>
                  <w:vAlign w:val="center"/>
                </w:tcPr>
                <w:p w14:paraId="605200B5">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0.76</w:t>
                  </w:r>
                </w:p>
              </w:tc>
              <w:tc>
                <w:tcPr>
                  <w:tcW w:w="636" w:type="pct"/>
                  <w:vMerge w:val="restart"/>
                  <w:vAlign w:val="center"/>
                </w:tcPr>
                <w:p w14:paraId="77A1EA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2.0</w:t>
                  </w:r>
                </w:p>
              </w:tc>
              <w:tc>
                <w:tcPr>
                  <w:tcW w:w="834" w:type="pct"/>
                  <w:vAlign w:val="center"/>
                </w:tcPr>
                <w:p w14:paraId="1029D6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达标</w:t>
                  </w:r>
                </w:p>
              </w:tc>
            </w:tr>
            <w:tr w14:paraId="6B5D9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1" w:type="pct"/>
                  <w:vMerge w:val="continue"/>
                  <w:vAlign w:val="center"/>
                </w:tcPr>
                <w:p w14:paraId="70181F5F">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916" w:type="pct"/>
                  <w:vMerge w:val="continue"/>
                  <w:vAlign w:val="center"/>
                </w:tcPr>
                <w:p w14:paraId="48A22746">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70" w:type="pct"/>
                  <w:vMerge w:val="continue"/>
                  <w:vAlign w:val="center"/>
                </w:tcPr>
                <w:p w14:paraId="7C457619">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61" w:type="pct"/>
                  <w:vAlign w:val="center"/>
                </w:tcPr>
                <w:p w14:paraId="510556A3">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0.79</w:t>
                  </w:r>
                </w:p>
              </w:tc>
              <w:tc>
                <w:tcPr>
                  <w:tcW w:w="636" w:type="pct"/>
                  <w:vMerge w:val="continue"/>
                  <w:vAlign w:val="center"/>
                </w:tcPr>
                <w:p w14:paraId="575734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p>
              </w:tc>
              <w:tc>
                <w:tcPr>
                  <w:tcW w:w="834" w:type="pct"/>
                  <w:vAlign w:val="center"/>
                </w:tcPr>
                <w:p w14:paraId="45F41D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达标</w:t>
                  </w:r>
                </w:p>
              </w:tc>
            </w:tr>
            <w:tr w14:paraId="7F2F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1" w:type="pct"/>
                  <w:vMerge w:val="continue"/>
                  <w:vAlign w:val="center"/>
                </w:tcPr>
                <w:p w14:paraId="6ACFAECB">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916" w:type="pct"/>
                  <w:vMerge w:val="continue"/>
                  <w:vAlign w:val="center"/>
                </w:tcPr>
                <w:p w14:paraId="0CDFB1E4">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70" w:type="pct"/>
                  <w:vMerge w:val="continue"/>
                  <w:vAlign w:val="center"/>
                </w:tcPr>
                <w:p w14:paraId="754E4F1B">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61" w:type="pct"/>
                  <w:vAlign w:val="center"/>
                </w:tcPr>
                <w:p w14:paraId="1E613D93">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0.74</w:t>
                  </w:r>
                </w:p>
              </w:tc>
              <w:tc>
                <w:tcPr>
                  <w:tcW w:w="636" w:type="pct"/>
                  <w:vMerge w:val="continue"/>
                  <w:vAlign w:val="center"/>
                </w:tcPr>
                <w:p w14:paraId="1C4B11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p>
              </w:tc>
              <w:tc>
                <w:tcPr>
                  <w:tcW w:w="834" w:type="pct"/>
                  <w:vAlign w:val="center"/>
                </w:tcPr>
                <w:p w14:paraId="528464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达标</w:t>
                  </w:r>
                </w:p>
              </w:tc>
            </w:tr>
            <w:tr w14:paraId="1574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1" w:type="pct"/>
                  <w:vMerge w:val="continue"/>
                  <w:vAlign w:val="center"/>
                </w:tcPr>
                <w:p w14:paraId="569DB55A">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916" w:type="pct"/>
                  <w:vMerge w:val="continue"/>
                  <w:vAlign w:val="center"/>
                </w:tcPr>
                <w:p w14:paraId="0D92C688">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70" w:type="pct"/>
                  <w:vMerge w:val="continue"/>
                  <w:vAlign w:val="center"/>
                </w:tcPr>
                <w:p w14:paraId="7080C8B8">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61" w:type="pct"/>
                  <w:vAlign w:val="center"/>
                </w:tcPr>
                <w:p w14:paraId="135421E3">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0.76</w:t>
                  </w:r>
                </w:p>
              </w:tc>
              <w:tc>
                <w:tcPr>
                  <w:tcW w:w="636" w:type="pct"/>
                  <w:vMerge w:val="continue"/>
                  <w:vAlign w:val="center"/>
                </w:tcPr>
                <w:p w14:paraId="32B98C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p>
              </w:tc>
              <w:tc>
                <w:tcPr>
                  <w:tcW w:w="834" w:type="pct"/>
                  <w:vAlign w:val="center"/>
                </w:tcPr>
                <w:p w14:paraId="3DE6DD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达标</w:t>
                  </w:r>
                </w:p>
              </w:tc>
            </w:tr>
            <w:tr w14:paraId="5135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1" w:type="pct"/>
                  <w:vMerge w:val="restart"/>
                  <w:vAlign w:val="center"/>
                </w:tcPr>
                <w:p w14:paraId="1B8E6300">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2025年3月13日</w:t>
                  </w:r>
                </w:p>
              </w:tc>
              <w:tc>
                <w:tcPr>
                  <w:tcW w:w="916" w:type="pct"/>
                  <w:vMerge w:val="restart"/>
                  <w:vAlign w:val="center"/>
                </w:tcPr>
                <w:p w14:paraId="1C562F27">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项目区下风向</w:t>
                  </w:r>
                </w:p>
              </w:tc>
              <w:tc>
                <w:tcPr>
                  <w:tcW w:w="770" w:type="pct"/>
                  <w:vMerge w:val="restart"/>
                  <w:vAlign w:val="center"/>
                </w:tcPr>
                <w:p w14:paraId="1A85E4BD">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非甲烷总烃</w:t>
                  </w:r>
                </w:p>
              </w:tc>
              <w:tc>
                <w:tcPr>
                  <w:tcW w:w="761" w:type="pct"/>
                  <w:vAlign w:val="center"/>
                </w:tcPr>
                <w:p w14:paraId="377AC5EA">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0.79</w:t>
                  </w:r>
                </w:p>
              </w:tc>
              <w:tc>
                <w:tcPr>
                  <w:tcW w:w="636" w:type="pct"/>
                  <w:vMerge w:val="restart"/>
                  <w:vAlign w:val="center"/>
                </w:tcPr>
                <w:p w14:paraId="7A3D98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2.0</w:t>
                  </w:r>
                </w:p>
              </w:tc>
              <w:tc>
                <w:tcPr>
                  <w:tcW w:w="834" w:type="pct"/>
                  <w:vAlign w:val="center"/>
                </w:tcPr>
                <w:p w14:paraId="6B38EE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达标</w:t>
                  </w:r>
                </w:p>
              </w:tc>
            </w:tr>
            <w:tr w14:paraId="7481B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1" w:type="pct"/>
                  <w:vMerge w:val="continue"/>
                  <w:vAlign w:val="center"/>
                </w:tcPr>
                <w:p w14:paraId="4ABD4017">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916" w:type="pct"/>
                  <w:vMerge w:val="continue"/>
                  <w:vAlign w:val="center"/>
                </w:tcPr>
                <w:p w14:paraId="05456B7D">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70" w:type="pct"/>
                  <w:vMerge w:val="continue"/>
                  <w:vAlign w:val="center"/>
                </w:tcPr>
                <w:p w14:paraId="5731E7B4">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61" w:type="pct"/>
                  <w:vAlign w:val="center"/>
                </w:tcPr>
                <w:p w14:paraId="44E92180">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0.74</w:t>
                  </w:r>
                </w:p>
              </w:tc>
              <w:tc>
                <w:tcPr>
                  <w:tcW w:w="636" w:type="pct"/>
                  <w:vMerge w:val="continue"/>
                  <w:vAlign w:val="center"/>
                </w:tcPr>
                <w:p w14:paraId="11A1FDD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sz w:val="21"/>
                      <w:szCs w:val="21"/>
                      <w:highlight w:val="none"/>
                      <w:vertAlign w:val="baseline"/>
                    </w:rPr>
                  </w:pPr>
                </w:p>
              </w:tc>
              <w:tc>
                <w:tcPr>
                  <w:tcW w:w="834" w:type="pct"/>
                  <w:vAlign w:val="center"/>
                </w:tcPr>
                <w:p w14:paraId="330A4E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sz w:val="21"/>
                      <w:szCs w:val="21"/>
                      <w:highlight w:val="none"/>
                      <w:vertAlign w:val="baseline"/>
                    </w:rPr>
                  </w:pPr>
                  <w:r>
                    <w:rPr>
                      <w:rFonts w:hint="eastAsia" w:cs="Times New Roman"/>
                      <w:color w:val="auto"/>
                      <w:kern w:val="0"/>
                      <w:sz w:val="21"/>
                      <w:szCs w:val="21"/>
                      <w:lang w:val="en-US" w:eastAsia="zh-CN" w:bidi="ar"/>
                    </w:rPr>
                    <w:t>达标</w:t>
                  </w:r>
                </w:p>
              </w:tc>
            </w:tr>
            <w:tr w14:paraId="1AA6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1" w:type="pct"/>
                  <w:vMerge w:val="continue"/>
                  <w:vAlign w:val="center"/>
                </w:tcPr>
                <w:p w14:paraId="23604A25">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916" w:type="pct"/>
                  <w:vMerge w:val="continue"/>
                  <w:vAlign w:val="center"/>
                </w:tcPr>
                <w:p w14:paraId="4839EF62">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70" w:type="pct"/>
                  <w:vMerge w:val="continue"/>
                  <w:vAlign w:val="center"/>
                </w:tcPr>
                <w:p w14:paraId="6627B923">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61" w:type="pct"/>
                  <w:vAlign w:val="center"/>
                </w:tcPr>
                <w:p w14:paraId="3082CFED">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0.71</w:t>
                  </w:r>
                </w:p>
              </w:tc>
              <w:tc>
                <w:tcPr>
                  <w:tcW w:w="636" w:type="pct"/>
                  <w:vMerge w:val="continue"/>
                  <w:vAlign w:val="center"/>
                </w:tcPr>
                <w:p w14:paraId="144B120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sz w:val="21"/>
                      <w:szCs w:val="21"/>
                      <w:highlight w:val="none"/>
                      <w:vertAlign w:val="baseline"/>
                    </w:rPr>
                  </w:pPr>
                </w:p>
              </w:tc>
              <w:tc>
                <w:tcPr>
                  <w:tcW w:w="834" w:type="pct"/>
                  <w:vAlign w:val="center"/>
                </w:tcPr>
                <w:p w14:paraId="2402C0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sz w:val="21"/>
                      <w:szCs w:val="21"/>
                      <w:highlight w:val="none"/>
                      <w:vertAlign w:val="baseline"/>
                    </w:rPr>
                  </w:pPr>
                  <w:r>
                    <w:rPr>
                      <w:rFonts w:hint="eastAsia" w:cs="Times New Roman"/>
                      <w:color w:val="auto"/>
                      <w:kern w:val="0"/>
                      <w:sz w:val="21"/>
                      <w:szCs w:val="21"/>
                      <w:lang w:val="en-US" w:eastAsia="zh-CN" w:bidi="ar"/>
                    </w:rPr>
                    <w:t>达标</w:t>
                  </w:r>
                </w:p>
              </w:tc>
            </w:tr>
            <w:tr w14:paraId="34BC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1" w:type="pct"/>
                  <w:vMerge w:val="continue"/>
                  <w:vAlign w:val="center"/>
                </w:tcPr>
                <w:p w14:paraId="38D87E28">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916" w:type="pct"/>
                  <w:vMerge w:val="continue"/>
                  <w:vAlign w:val="center"/>
                </w:tcPr>
                <w:p w14:paraId="46D3AEC4">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70" w:type="pct"/>
                  <w:vMerge w:val="continue"/>
                  <w:vAlign w:val="center"/>
                </w:tcPr>
                <w:p w14:paraId="00DC5088">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p>
              </w:tc>
              <w:tc>
                <w:tcPr>
                  <w:tcW w:w="761" w:type="pct"/>
                  <w:vAlign w:val="center"/>
                </w:tcPr>
                <w:p w14:paraId="38772F2B">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0.73</w:t>
                  </w:r>
                </w:p>
              </w:tc>
              <w:tc>
                <w:tcPr>
                  <w:tcW w:w="636" w:type="pct"/>
                  <w:vMerge w:val="continue"/>
                  <w:vAlign w:val="center"/>
                </w:tcPr>
                <w:p w14:paraId="731E10E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sz w:val="21"/>
                      <w:szCs w:val="21"/>
                      <w:highlight w:val="none"/>
                      <w:vertAlign w:val="baseline"/>
                    </w:rPr>
                  </w:pPr>
                </w:p>
              </w:tc>
              <w:tc>
                <w:tcPr>
                  <w:tcW w:w="834" w:type="pct"/>
                  <w:vAlign w:val="center"/>
                </w:tcPr>
                <w:p w14:paraId="48B165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sz w:val="21"/>
                      <w:szCs w:val="21"/>
                      <w:highlight w:val="none"/>
                      <w:vertAlign w:val="baseline"/>
                    </w:rPr>
                  </w:pPr>
                  <w:r>
                    <w:rPr>
                      <w:rFonts w:hint="eastAsia" w:cs="Times New Roman"/>
                      <w:color w:val="auto"/>
                      <w:kern w:val="0"/>
                      <w:sz w:val="21"/>
                      <w:szCs w:val="21"/>
                      <w:lang w:val="en-US" w:eastAsia="zh-CN" w:bidi="ar"/>
                    </w:rPr>
                    <w:t>达标</w:t>
                  </w:r>
                </w:p>
              </w:tc>
            </w:tr>
          </w:tbl>
          <w:p w14:paraId="7855692F">
            <w:pPr>
              <w:spacing w:line="480" w:lineRule="exact"/>
              <w:ind w:firstLine="480" w:firstLineChars="200"/>
              <w:rPr>
                <w:rFonts w:ascii="Times New Roman" w:cs="Times New Roman" w:hAnsiTheme="minorEastAsia" w:eastAsiaTheme="minorEastAsia"/>
                <w:color w:val="auto"/>
                <w:kern w:val="0"/>
                <w:sz w:val="24"/>
                <w:highlight w:val="none"/>
              </w:rPr>
            </w:pPr>
            <w:r>
              <w:rPr>
                <w:rFonts w:ascii="Times New Roman" w:cs="Times New Roman" w:hAnsiTheme="minorEastAsia" w:eastAsiaTheme="minorEastAsia"/>
                <w:color w:val="auto"/>
                <w:kern w:val="0"/>
                <w:sz w:val="24"/>
                <w:highlight w:val="none"/>
              </w:rPr>
              <w:t>从上表可知：</w:t>
            </w:r>
            <w:r>
              <w:rPr>
                <w:rFonts w:hint="eastAsia" w:ascii="Times New Roman" w:cs="Times New Roman" w:hAnsiTheme="minorEastAsia" w:eastAsiaTheme="minorEastAsia"/>
                <w:color w:val="auto"/>
                <w:kern w:val="0"/>
                <w:sz w:val="24"/>
                <w:highlight w:val="none"/>
                <w:lang w:val="en-US" w:eastAsia="zh-CN"/>
              </w:rPr>
              <w:t>TSP监测结果小于标准限值，现状满足《环境空气质量标准》（</w:t>
            </w:r>
            <w:r>
              <w:rPr>
                <w:rFonts w:hint="default" w:ascii="Times New Roman" w:cs="Times New Roman" w:hAnsiTheme="minorEastAsia" w:eastAsiaTheme="minorEastAsia"/>
                <w:color w:val="auto"/>
                <w:kern w:val="0"/>
                <w:sz w:val="24"/>
                <w:highlight w:val="none"/>
                <w:lang w:val="en-US" w:eastAsia="zh-CN"/>
              </w:rPr>
              <w:t>GB3095-2012</w:t>
            </w:r>
            <w:r>
              <w:rPr>
                <w:rFonts w:hint="eastAsia" w:ascii="Times New Roman" w:cs="Times New Roman" w:hAnsiTheme="minorEastAsia" w:eastAsiaTheme="minorEastAsia"/>
                <w:color w:val="auto"/>
                <w:kern w:val="0"/>
                <w:sz w:val="24"/>
                <w:highlight w:val="none"/>
                <w:lang w:val="en-US" w:eastAsia="zh-CN"/>
              </w:rPr>
              <w:t>）中表</w:t>
            </w:r>
            <w:r>
              <w:rPr>
                <w:rFonts w:hint="default" w:ascii="Times New Roman" w:cs="Times New Roman" w:hAnsiTheme="minorEastAsia" w:eastAsiaTheme="minorEastAsia"/>
                <w:color w:val="auto"/>
                <w:kern w:val="0"/>
                <w:sz w:val="24"/>
                <w:highlight w:val="none"/>
                <w:lang w:val="en-US" w:eastAsia="zh-CN"/>
              </w:rPr>
              <w:t>2</w:t>
            </w:r>
            <w:r>
              <w:rPr>
                <w:rFonts w:hint="eastAsia" w:ascii="Times New Roman" w:cs="Times New Roman" w:hAnsiTheme="minorEastAsia" w:eastAsiaTheme="minorEastAsia"/>
                <w:color w:val="auto"/>
                <w:kern w:val="0"/>
                <w:sz w:val="24"/>
                <w:highlight w:val="none"/>
                <w:lang w:val="en-US" w:eastAsia="zh-CN"/>
              </w:rPr>
              <w:t>总悬浮颗粒物（</w:t>
            </w:r>
            <w:r>
              <w:rPr>
                <w:rFonts w:hint="default" w:ascii="Times New Roman" w:cs="Times New Roman" w:hAnsiTheme="minorEastAsia" w:eastAsiaTheme="minorEastAsia"/>
                <w:color w:val="auto"/>
                <w:kern w:val="0"/>
                <w:sz w:val="24"/>
                <w:highlight w:val="none"/>
                <w:lang w:val="en-US" w:eastAsia="zh-CN"/>
              </w:rPr>
              <w:t>TSP</w:t>
            </w:r>
            <w:r>
              <w:rPr>
                <w:rFonts w:hint="eastAsia" w:ascii="Times New Roman" w:cs="Times New Roman" w:hAnsiTheme="minorEastAsia" w:eastAsiaTheme="minorEastAsia"/>
                <w:color w:val="auto"/>
                <w:kern w:val="0"/>
                <w:sz w:val="24"/>
                <w:highlight w:val="none"/>
                <w:lang w:val="en-US" w:eastAsia="zh-CN"/>
              </w:rPr>
              <w:t>）</w:t>
            </w:r>
            <w:r>
              <w:rPr>
                <w:rFonts w:hint="default" w:ascii="Times New Roman" w:cs="Times New Roman" w:hAnsiTheme="minorEastAsia" w:eastAsiaTheme="minorEastAsia"/>
                <w:color w:val="auto"/>
                <w:kern w:val="0"/>
                <w:sz w:val="24"/>
                <w:highlight w:val="none"/>
                <w:lang w:val="en-US" w:eastAsia="zh-CN"/>
              </w:rPr>
              <w:t>24</w:t>
            </w:r>
            <w:r>
              <w:rPr>
                <w:rFonts w:hint="eastAsia" w:ascii="Times New Roman" w:cs="Times New Roman" w:hAnsiTheme="minorEastAsia" w:eastAsiaTheme="minorEastAsia"/>
                <w:color w:val="auto"/>
                <w:kern w:val="0"/>
                <w:sz w:val="24"/>
                <w:highlight w:val="none"/>
                <w:lang w:val="en-US" w:eastAsia="zh-CN"/>
              </w:rPr>
              <w:t>小时均值：</w:t>
            </w:r>
            <w:r>
              <w:rPr>
                <w:rFonts w:hint="default" w:ascii="Times New Roman" w:cs="Times New Roman" w:hAnsiTheme="minorEastAsia" w:eastAsiaTheme="minorEastAsia"/>
                <w:color w:val="auto"/>
                <w:kern w:val="0"/>
                <w:sz w:val="24"/>
                <w:highlight w:val="none"/>
                <w:lang w:val="en-US" w:eastAsia="zh-CN"/>
              </w:rPr>
              <w:t>0.3mg/m</w:t>
            </w:r>
            <w:r>
              <w:rPr>
                <w:rFonts w:hint="default" w:ascii="Times New Roman" w:cs="Times New Roman" w:hAnsiTheme="minorEastAsia" w:eastAsiaTheme="minorEastAsia"/>
                <w:color w:val="auto"/>
                <w:kern w:val="0"/>
                <w:sz w:val="24"/>
                <w:highlight w:val="none"/>
                <w:vertAlign w:val="superscript"/>
                <w:lang w:val="en-US" w:eastAsia="zh-CN"/>
              </w:rPr>
              <w:t>3</w:t>
            </w:r>
            <w:r>
              <w:rPr>
                <w:rFonts w:hint="eastAsia" w:ascii="Times New Roman" w:cs="Times New Roman" w:hAnsiTheme="minorEastAsia" w:eastAsiaTheme="minorEastAsia"/>
                <w:color w:val="auto"/>
                <w:kern w:val="0"/>
                <w:sz w:val="24"/>
                <w:highlight w:val="none"/>
                <w:lang w:val="en-US" w:eastAsia="zh-CN"/>
              </w:rPr>
              <w:t>。</w:t>
            </w:r>
            <w:r>
              <w:rPr>
                <w:rFonts w:hint="eastAsia" w:ascii="Times New Roman" w:cs="Times New Roman" w:hAnsiTheme="minorEastAsia" w:eastAsiaTheme="minorEastAsia"/>
                <w:color w:val="auto"/>
                <w:kern w:val="0"/>
                <w:sz w:val="24"/>
                <w:highlight w:val="none"/>
              </w:rPr>
              <w:t>非甲烷总烃</w:t>
            </w:r>
            <w:r>
              <w:rPr>
                <w:rFonts w:ascii="Times New Roman" w:cs="Times New Roman" w:hAnsiTheme="minorEastAsia" w:eastAsiaTheme="minorEastAsia"/>
                <w:color w:val="auto"/>
                <w:kern w:val="0"/>
                <w:sz w:val="24"/>
                <w:highlight w:val="none"/>
              </w:rPr>
              <w:t>监测值最大浓度</w:t>
            </w:r>
            <w:r>
              <w:rPr>
                <w:rFonts w:hint="eastAsia" w:ascii="Times New Roman" w:cs="Times New Roman" w:hAnsiTheme="minorEastAsia" w:eastAsiaTheme="minorEastAsia"/>
                <w:color w:val="auto"/>
                <w:kern w:val="0"/>
                <w:sz w:val="24"/>
                <w:highlight w:val="none"/>
                <w:lang w:val="en-US" w:eastAsia="zh-CN"/>
              </w:rPr>
              <w:t>0.79</w:t>
            </w:r>
            <w:r>
              <w:rPr>
                <w:rFonts w:hint="default" w:ascii="Times New Roman" w:cs="Times New Roman" w:hAnsiTheme="minorEastAsia" w:eastAsiaTheme="minorEastAsia"/>
                <w:color w:val="auto"/>
                <w:kern w:val="0"/>
                <w:sz w:val="24"/>
                <w:highlight w:val="none"/>
                <w:lang w:val="en-US" w:eastAsia="zh-CN"/>
              </w:rPr>
              <w:t>mg/m</w:t>
            </w:r>
            <w:r>
              <w:rPr>
                <w:rFonts w:hint="default" w:ascii="Times New Roman" w:cs="Times New Roman" w:hAnsiTheme="minorEastAsia" w:eastAsiaTheme="minorEastAsia"/>
                <w:color w:val="auto"/>
                <w:kern w:val="0"/>
                <w:sz w:val="24"/>
                <w:highlight w:val="none"/>
                <w:vertAlign w:val="superscript"/>
                <w:lang w:val="en-US" w:eastAsia="zh-CN"/>
              </w:rPr>
              <w:t>3</w:t>
            </w:r>
            <w:r>
              <w:rPr>
                <w:rFonts w:hint="eastAsia" w:ascii="Times New Roman" w:cs="Times New Roman" w:hAnsiTheme="minorEastAsia" w:eastAsiaTheme="minorEastAsia"/>
                <w:color w:val="auto"/>
                <w:kern w:val="0"/>
                <w:sz w:val="24"/>
                <w:highlight w:val="none"/>
              </w:rPr>
              <w:t>，</w:t>
            </w:r>
            <w:r>
              <w:rPr>
                <w:rFonts w:hint="eastAsia" w:ascii="Times New Roman" w:cs="Times New Roman" w:hAnsiTheme="minorEastAsia" w:eastAsiaTheme="minorEastAsia"/>
                <w:color w:val="auto"/>
                <w:kern w:val="0"/>
                <w:sz w:val="24"/>
                <w:highlight w:val="none"/>
                <w:lang w:val="en-US" w:eastAsia="zh-CN"/>
              </w:rPr>
              <w:t>现状满足</w:t>
            </w:r>
            <w:r>
              <w:rPr>
                <w:rFonts w:hint="eastAsia"/>
                <w:color w:val="auto"/>
                <w:sz w:val="24"/>
              </w:rPr>
              <w:t>《大气污染物综合排放标准详解》中小时浓度限值2</w:t>
            </w:r>
            <w:r>
              <w:rPr>
                <w:rFonts w:hint="eastAsia"/>
                <w:color w:val="auto"/>
                <w:sz w:val="24"/>
                <w:lang w:val="en-US" w:eastAsia="zh-CN"/>
              </w:rPr>
              <w:t>.0</w:t>
            </w:r>
            <w:r>
              <w:rPr>
                <w:rFonts w:hint="eastAsia"/>
                <w:color w:val="auto"/>
                <w:sz w:val="24"/>
              </w:rPr>
              <w:t>mg/m</w:t>
            </w:r>
            <w:r>
              <w:rPr>
                <w:rFonts w:hint="eastAsia"/>
                <w:color w:val="auto"/>
                <w:sz w:val="24"/>
                <w:vertAlign w:val="superscript"/>
              </w:rPr>
              <w:t>3</w:t>
            </w:r>
            <w:r>
              <w:rPr>
                <w:rFonts w:ascii="Times New Roman" w:cs="Times New Roman" w:hAnsiTheme="minorEastAsia" w:eastAsiaTheme="minorEastAsia"/>
                <w:color w:val="auto"/>
                <w:kern w:val="0"/>
                <w:sz w:val="24"/>
                <w:highlight w:val="none"/>
              </w:rPr>
              <w:t>。</w:t>
            </w:r>
          </w:p>
          <w:p w14:paraId="3F0688AC">
            <w:pPr>
              <w:spacing w:line="480" w:lineRule="exact"/>
              <w:rPr>
                <w:rFonts w:eastAsiaTheme="minorEastAsia"/>
                <w:b/>
                <w:bCs/>
                <w:color w:val="auto"/>
                <w:sz w:val="24"/>
                <w:highlight w:val="none"/>
              </w:rPr>
            </w:pPr>
            <w:r>
              <w:rPr>
                <w:rFonts w:eastAsiaTheme="minorEastAsia"/>
                <w:b/>
                <w:bCs/>
                <w:color w:val="auto"/>
                <w:sz w:val="24"/>
                <w:highlight w:val="none"/>
              </w:rPr>
              <w:t>2</w:t>
            </w:r>
            <w:r>
              <w:rPr>
                <w:rFonts w:hAnsiTheme="minorEastAsia" w:eastAsiaTheme="minorEastAsia"/>
                <w:b/>
                <w:bCs/>
                <w:color w:val="auto"/>
                <w:sz w:val="24"/>
                <w:highlight w:val="none"/>
              </w:rPr>
              <w:t>、地表水环境现状调查与评价</w:t>
            </w:r>
          </w:p>
          <w:p w14:paraId="68206131">
            <w:pPr>
              <w:spacing w:line="480" w:lineRule="exact"/>
              <w:ind w:firstLine="480" w:firstLineChars="200"/>
              <w:rPr>
                <w:rFonts w:eastAsiaTheme="minorEastAsia"/>
                <w:color w:val="auto"/>
                <w:sz w:val="24"/>
                <w:highlight w:val="none"/>
              </w:rPr>
            </w:pPr>
            <w:r>
              <w:rPr>
                <w:rFonts w:hAnsiTheme="minorEastAsia" w:eastAsiaTheme="minorEastAsia"/>
                <w:color w:val="auto"/>
                <w:sz w:val="24"/>
                <w:highlight w:val="none"/>
              </w:rPr>
              <w:t>本项目周边无与本项目有水力联系的地表水体，因此不做相关评价。</w:t>
            </w:r>
          </w:p>
          <w:p w14:paraId="55506176">
            <w:pPr>
              <w:spacing w:line="480" w:lineRule="exact"/>
              <w:rPr>
                <w:rFonts w:eastAsiaTheme="minorEastAsia"/>
                <w:b/>
                <w:bCs/>
                <w:color w:val="auto"/>
                <w:sz w:val="24"/>
                <w:highlight w:val="none"/>
              </w:rPr>
            </w:pPr>
            <w:r>
              <w:rPr>
                <w:rFonts w:eastAsiaTheme="minorEastAsia"/>
                <w:b/>
                <w:bCs/>
                <w:color w:val="auto"/>
                <w:sz w:val="24"/>
                <w:highlight w:val="none"/>
              </w:rPr>
              <w:t>3</w:t>
            </w:r>
            <w:r>
              <w:rPr>
                <w:rFonts w:hAnsiTheme="minorEastAsia" w:eastAsiaTheme="minorEastAsia"/>
                <w:b/>
                <w:bCs/>
                <w:color w:val="auto"/>
                <w:sz w:val="24"/>
                <w:highlight w:val="none"/>
              </w:rPr>
              <w:t>、地下水、土壤环境现状调查及评价</w:t>
            </w:r>
          </w:p>
          <w:p w14:paraId="58E23176">
            <w:pPr>
              <w:spacing w:line="480" w:lineRule="exact"/>
              <w:ind w:firstLine="480" w:firstLineChars="200"/>
              <w:rPr>
                <w:rFonts w:eastAsiaTheme="minorEastAsia"/>
                <w:color w:val="auto"/>
                <w:kern w:val="0"/>
                <w:sz w:val="24"/>
                <w:highlight w:val="none"/>
              </w:rPr>
            </w:pPr>
            <w:r>
              <w:rPr>
                <w:rFonts w:hAnsiTheme="minorEastAsia" w:eastAsiaTheme="minorEastAsia"/>
                <w:color w:val="auto"/>
                <w:kern w:val="0"/>
                <w:sz w:val="24"/>
                <w:highlight w:val="none"/>
              </w:rPr>
              <w:t>依据《建设项目环境影响报告表编制技术指南（污染影响类）（试行）》：原则上不开展环境质量现状调查。建设项目存在土壤、地下水环境污染途径的，应结合污染源、保护目标分布情况开展现状调查以留作背景值。</w:t>
            </w:r>
          </w:p>
          <w:p w14:paraId="56E7E792">
            <w:pPr>
              <w:spacing w:line="480" w:lineRule="exact"/>
              <w:ind w:firstLine="480" w:firstLineChars="200"/>
              <w:rPr>
                <w:rFonts w:eastAsiaTheme="minorEastAsia"/>
                <w:color w:val="auto"/>
                <w:kern w:val="0"/>
                <w:sz w:val="24"/>
                <w:highlight w:val="none"/>
              </w:rPr>
            </w:pPr>
            <w:r>
              <w:rPr>
                <w:rFonts w:hAnsiTheme="minorEastAsia" w:eastAsiaTheme="minorEastAsia"/>
                <w:color w:val="auto"/>
                <w:kern w:val="0"/>
                <w:sz w:val="24"/>
                <w:highlight w:val="none"/>
              </w:rPr>
              <w:t>本项目用地范围全部按照要求进行</w:t>
            </w:r>
            <w:r>
              <w:rPr>
                <w:rFonts w:hint="eastAsia" w:hAnsiTheme="minorEastAsia" w:eastAsiaTheme="minorEastAsia"/>
                <w:color w:val="auto"/>
                <w:kern w:val="0"/>
                <w:sz w:val="24"/>
                <w:highlight w:val="none"/>
              </w:rPr>
              <w:t>分区</w:t>
            </w:r>
            <w:r>
              <w:rPr>
                <w:rFonts w:hAnsiTheme="minorEastAsia" w:eastAsiaTheme="minorEastAsia"/>
                <w:color w:val="auto"/>
                <w:kern w:val="0"/>
                <w:sz w:val="24"/>
                <w:highlight w:val="none"/>
              </w:rPr>
              <w:t>防渗，正常情况下不会污染土壤、地下水。因此，不进行土壤、地下水环境质量现状监测。</w:t>
            </w:r>
          </w:p>
          <w:p w14:paraId="280D4599">
            <w:pPr>
              <w:spacing w:line="480" w:lineRule="exact"/>
              <w:jc w:val="left"/>
              <w:rPr>
                <w:rFonts w:eastAsiaTheme="minorEastAsia"/>
                <w:b/>
                <w:bCs/>
                <w:color w:val="auto"/>
                <w:kern w:val="0"/>
                <w:sz w:val="24"/>
                <w:highlight w:val="none"/>
              </w:rPr>
            </w:pPr>
            <w:r>
              <w:rPr>
                <w:rFonts w:eastAsiaTheme="minorEastAsia"/>
                <w:b/>
                <w:bCs/>
                <w:color w:val="auto"/>
                <w:kern w:val="0"/>
                <w:sz w:val="24"/>
                <w:highlight w:val="none"/>
              </w:rPr>
              <w:t>4</w:t>
            </w:r>
            <w:r>
              <w:rPr>
                <w:rFonts w:hAnsiTheme="minorEastAsia" w:eastAsiaTheme="minorEastAsia"/>
                <w:b/>
                <w:bCs/>
                <w:color w:val="auto"/>
                <w:kern w:val="0"/>
                <w:sz w:val="24"/>
                <w:highlight w:val="none"/>
              </w:rPr>
              <w:t>、声环境质量现状监测及评价</w:t>
            </w:r>
          </w:p>
          <w:p w14:paraId="22DBB146">
            <w:pPr>
              <w:spacing w:line="480" w:lineRule="exact"/>
              <w:ind w:firstLine="480" w:firstLineChars="200"/>
              <w:rPr>
                <w:rFonts w:eastAsiaTheme="minorEastAsia"/>
                <w:color w:val="auto"/>
                <w:kern w:val="0"/>
                <w:sz w:val="24"/>
                <w:highlight w:val="none"/>
              </w:rPr>
            </w:pPr>
            <w:r>
              <w:rPr>
                <w:rFonts w:hAnsiTheme="minorEastAsia" w:eastAsiaTheme="minorEastAsia"/>
                <w:color w:val="auto"/>
                <w:kern w:val="0"/>
                <w:sz w:val="24"/>
                <w:highlight w:val="none"/>
              </w:rPr>
              <w:t>依据《建设项目环境影响报告表编制技术指南（污染影响类）（试行）》：厂界外周边</w:t>
            </w:r>
            <w:r>
              <w:rPr>
                <w:rFonts w:eastAsiaTheme="minorEastAsia"/>
                <w:color w:val="auto"/>
                <w:kern w:val="0"/>
                <w:sz w:val="24"/>
                <w:highlight w:val="none"/>
              </w:rPr>
              <w:t>50m</w:t>
            </w:r>
            <w:r>
              <w:rPr>
                <w:rFonts w:hAnsiTheme="minorEastAsia" w:eastAsiaTheme="minorEastAsia"/>
                <w:color w:val="auto"/>
                <w:kern w:val="0"/>
                <w:sz w:val="24"/>
                <w:highlight w:val="none"/>
              </w:rPr>
              <w:t>范围内存在声环境保护目标的建设项目，应监测保护目标声环境质量现状并评价达标情况。</w:t>
            </w:r>
          </w:p>
          <w:p w14:paraId="40037725">
            <w:pPr>
              <w:spacing w:line="480" w:lineRule="exact"/>
              <w:ind w:firstLine="480" w:firstLineChars="200"/>
              <w:rPr>
                <w:rFonts w:hAnsiTheme="minorEastAsia" w:eastAsiaTheme="minorEastAsia"/>
                <w:color w:val="auto"/>
                <w:kern w:val="0"/>
                <w:sz w:val="24"/>
                <w:highlight w:val="none"/>
              </w:rPr>
            </w:pPr>
            <w:r>
              <w:rPr>
                <w:rFonts w:hAnsiTheme="minorEastAsia" w:eastAsiaTheme="minorEastAsia"/>
                <w:color w:val="auto"/>
                <w:sz w:val="24"/>
                <w:highlight w:val="none"/>
              </w:rPr>
              <w:t>本项目区厂界外</w:t>
            </w:r>
            <w:r>
              <w:rPr>
                <w:rFonts w:eastAsiaTheme="minorEastAsia"/>
                <w:color w:val="auto"/>
                <w:sz w:val="24"/>
                <w:highlight w:val="none"/>
              </w:rPr>
              <w:t>50m</w:t>
            </w:r>
            <w:r>
              <w:rPr>
                <w:rFonts w:hAnsiTheme="minorEastAsia" w:eastAsiaTheme="minorEastAsia"/>
                <w:color w:val="auto"/>
                <w:sz w:val="24"/>
                <w:highlight w:val="none"/>
              </w:rPr>
              <w:t>范围内</w:t>
            </w:r>
            <w:r>
              <w:rPr>
                <w:rFonts w:hint="eastAsia" w:hAnsiTheme="minorEastAsia" w:eastAsiaTheme="minorEastAsia"/>
                <w:color w:val="auto"/>
                <w:sz w:val="24"/>
                <w:highlight w:val="none"/>
              </w:rPr>
              <w:t>无</w:t>
            </w:r>
            <w:r>
              <w:rPr>
                <w:rFonts w:hAnsiTheme="minorEastAsia" w:eastAsiaTheme="minorEastAsia"/>
                <w:color w:val="auto"/>
                <w:kern w:val="0"/>
                <w:sz w:val="24"/>
                <w:highlight w:val="none"/>
              </w:rPr>
              <w:t>声环境保护目标</w:t>
            </w:r>
            <w:r>
              <w:rPr>
                <w:rFonts w:hint="eastAsia" w:hAnsiTheme="minorEastAsia" w:eastAsiaTheme="minorEastAsia"/>
                <w:color w:val="auto"/>
                <w:kern w:val="0"/>
                <w:sz w:val="24"/>
                <w:highlight w:val="none"/>
              </w:rPr>
              <w:t>，因此不需要监测。</w:t>
            </w:r>
          </w:p>
          <w:p w14:paraId="48481634">
            <w:pPr>
              <w:topLinePunct/>
              <w:spacing w:line="520" w:lineRule="exact"/>
              <w:rPr>
                <w:rFonts w:eastAsiaTheme="minorEastAsia"/>
                <w:b/>
                <w:bCs/>
                <w:color w:val="auto"/>
                <w:sz w:val="28"/>
                <w:szCs w:val="28"/>
                <w:highlight w:val="none"/>
              </w:rPr>
            </w:pPr>
            <w:r>
              <w:rPr>
                <w:rFonts w:eastAsiaTheme="minorEastAsia"/>
                <w:b/>
                <w:bCs/>
                <w:color w:val="auto"/>
                <w:sz w:val="24"/>
                <w:szCs w:val="28"/>
                <w:highlight w:val="none"/>
              </w:rPr>
              <w:t>5</w:t>
            </w:r>
            <w:r>
              <w:rPr>
                <w:rFonts w:hAnsiTheme="minorEastAsia" w:eastAsiaTheme="minorEastAsia"/>
                <w:b/>
                <w:bCs/>
                <w:color w:val="auto"/>
                <w:sz w:val="24"/>
                <w:szCs w:val="28"/>
                <w:highlight w:val="none"/>
              </w:rPr>
              <w:t>、</w:t>
            </w:r>
            <w:r>
              <w:rPr>
                <w:rFonts w:hAnsiTheme="minorEastAsia" w:eastAsiaTheme="minorEastAsia"/>
                <w:b/>
                <w:bCs/>
                <w:color w:val="auto"/>
                <w:sz w:val="24"/>
                <w:highlight w:val="none"/>
              </w:rPr>
              <w:t>生态环境质量现状调查与评价</w:t>
            </w:r>
          </w:p>
          <w:p w14:paraId="049665C1">
            <w:pPr>
              <w:adjustRightInd w:val="0"/>
              <w:snapToGrid w:val="0"/>
              <w:spacing w:line="520" w:lineRule="exact"/>
              <w:ind w:firstLine="480" w:firstLineChars="200"/>
              <w:rPr>
                <w:rFonts w:eastAsiaTheme="minorEastAsia"/>
                <w:color w:val="auto"/>
                <w:kern w:val="0"/>
                <w:sz w:val="24"/>
                <w:highlight w:val="none"/>
              </w:rPr>
            </w:pPr>
            <w:r>
              <w:rPr>
                <w:rFonts w:eastAsiaTheme="minorEastAsia"/>
                <w:color w:val="auto"/>
                <w:kern w:val="0"/>
                <w:sz w:val="24"/>
                <w:highlight w:val="none"/>
              </w:rPr>
              <w:t>依据《建设项目环境影响报告表编制技术指南（污染影响类）（试行）》：产业园区外建设项目新增用地且用地范围内含有生态环境保护目标时，应进行生态现状调查。</w:t>
            </w:r>
          </w:p>
          <w:p w14:paraId="01D8DB62">
            <w:pPr>
              <w:adjustRightInd w:val="0"/>
              <w:snapToGrid w:val="0"/>
              <w:spacing w:line="520" w:lineRule="exact"/>
              <w:ind w:firstLine="480" w:firstLineChars="200"/>
              <w:rPr>
                <w:rFonts w:eastAsiaTheme="minorEastAsia"/>
                <w:color w:val="auto"/>
                <w:kern w:val="0"/>
                <w:sz w:val="24"/>
                <w:highlight w:val="none"/>
              </w:rPr>
            </w:pPr>
            <w:r>
              <w:rPr>
                <w:rFonts w:eastAsiaTheme="minorEastAsia"/>
                <w:color w:val="auto"/>
                <w:kern w:val="0"/>
                <w:sz w:val="24"/>
                <w:highlight w:val="none"/>
              </w:rPr>
              <w:t>本项目位于</w:t>
            </w:r>
            <w:r>
              <w:rPr>
                <w:rFonts w:hint="eastAsia" w:hAnsi="宋体" w:eastAsiaTheme="minorEastAsia"/>
                <w:color w:val="auto"/>
                <w:sz w:val="24"/>
                <w:highlight w:val="none"/>
                <w:lang w:val="en-US" w:eastAsia="zh-CN"/>
              </w:rPr>
              <w:t>和静</w:t>
            </w:r>
            <w:r>
              <w:rPr>
                <w:rFonts w:hint="eastAsia" w:hAnsi="宋体"/>
                <w:color w:val="auto"/>
                <w:sz w:val="24"/>
                <w:highlight w:val="none"/>
              </w:rPr>
              <w:t>县工业园区</w:t>
            </w:r>
            <w:r>
              <w:rPr>
                <w:rFonts w:eastAsiaTheme="minorEastAsia"/>
                <w:color w:val="auto"/>
                <w:sz w:val="24"/>
                <w:highlight w:val="none"/>
              </w:rPr>
              <w:t>，</w:t>
            </w:r>
            <w:r>
              <w:rPr>
                <w:rFonts w:eastAsiaTheme="minorEastAsia"/>
                <w:color w:val="auto"/>
                <w:kern w:val="0"/>
                <w:sz w:val="24"/>
                <w:highlight w:val="none"/>
              </w:rPr>
              <w:t>用地范围内没有生态环境保护目标，因此不开展生态现状调查。</w:t>
            </w:r>
          </w:p>
          <w:p w14:paraId="4F8A208B">
            <w:pPr>
              <w:pStyle w:val="5"/>
              <w:rPr>
                <w:rFonts w:hint="default" w:eastAsiaTheme="minorEastAsia"/>
                <w:color w:val="auto"/>
                <w:highlight w:val="none"/>
              </w:rPr>
            </w:pPr>
          </w:p>
        </w:tc>
      </w:tr>
      <w:tr w14:paraId="3BE4FD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34" w:hRule="atLeast"/>
        </w:trPr>
        <w:tc>
          <w:tcPr>
            <w:tcW w:w="455" w:type="dxa"/>
            <w:vAlign w:val="center"/>
          </w:tcPr>
          <w:p w14:paraId="4D1080B5">
            <w:pPr>
              <w:adjustRightInd w:val="0"/>
              <w:snapToGrid w:val="0"/>
              <w:jc w:val="center"/>
              <w:rPr>
                <w:rFonts w:eastAsiaTheme="minorEastAsia"/>
                <w:color w:val="auto"/>
                <w:kern w:val="0"/>
                <w:sz w:val="24"/>
                <w:highlight w:val="none"/>
              </w:rPr>
            </w:pPr>
            <w:r>
              <w:rPr>
                <w:rFonts w:hAnsiTheme="minorEastAsia" w:eastAsiaTheme="minorEastAsia"/>
                <w:color w:val="auto"/>
                <w:kern w:val="0"/>
                <w:sz w:val="24"/>
                <w:highlight w:val="none"/>
              </w:rPr>
              <w:t>环境</w:t>
            </w:r>
          </w:p>
          <w:p w14:paraId="421F69BD">
            <w:pPr>
              <w:adjustRightInd w:val="0"/>
              <w:snapToGrid w:val="0"/>
              <w:jc w:val="center"/>
              <w:rPr>
                <w:rFonts w:eastAsiaTheme="minorEastAsia"/>
                <w:color w:val="auto"/>
                <w:kern w:val="0"/>
                <w:sz w:val="24"/>
                <w:highlight w:val="none"/>
              </w:rPr>
            </w:pPr>
            <w:r>
              <w:rPr>
                <w:rFonts w:hAnsiTheme="minorEastAsia" w:eastAsiaTheme="minorEastAsia"/>
                <w:color w:val="auto"/>
                <w:kern w:val="0"/>
                <w:sz w:val="24"/>
                <w:highlight w:val="none"/>
              </w:rPr>
              <w:t>保护</w:t>
            </w:r>
          </w:p>
          <w:p w14:paraId="0DF1AA08">
            <w:pPr>
              <w:adjustRightInd w:val="0"/>
              <w:snapToGrid w:val="0"/>
              <w:jc w:val="center"/>
              <w:rPr>
                <w:rFonts w:eastAsiaTheme="minorEastAsia"/>
                <w:color w:val="auto"/>
                <w:kern w:val="0"/>
                <w:szCs w:val="21"/>
                <w:highlight w:val="none"/>
              </w:rPr>
            </w:pPr>
            <w:r>
              <w:rPr>
                <w:rFonts w:hAnsiTheme="minorEastAsia" w:eastAsiaTheme="minorEastAsia"/>
                <w:color w:val="auto"/>
                <w:kern w:val="0"/>
                <w:sz w:val="24"/>
                <w:highlight w:val="none"/>
              </w:rPr>
              <w:t>目标</w:t>
            </w:r>
          </w:p>
        </w:tc>
        <w:tc>
          <w:tcPr>
            <w:tcW w:w="8624" w:type="dxa"/>
            <w:vAlign w:val="center"/>
          </w:tcPr>
          <w:p w14:paraId="77942CA5">
            <w:pPr>
              <w:spacing w:line="480" w:lineRule="exact"/>
              <w:rPr>
                <w:rFonts w:eastAsiaTheme="minorEastAsia"/>
                <w:b/>
                <w:bCs/>
                <w:color w:val="auto"/>
                <w:kern w:val="0"/>
                <w:sz w:val="24"/>
                <w:highlight w:val="none"/>
              </w:rPr>
            </w:pPr>
            <w:r>
              <w:rPr>
                <w:rFonts w:eastAsiaTheme="minorEastAsia"/>
                <w:b/>
                <w:bCs/>
                <w:color w:val="auto"/>
                <w:kern w:val="0"/>
                <w:sz w:val="24"/>
                <w:highlight w:val="none"/>
              </w:rPr>
              <w:t>1</w:t>
            </w:r>
            <w:r>
              <w:rPr>
                <w:rFonts w:hAnsiTheme="minorEastAsia" w:eastAsiaTheme="minorEastAsia"/>
                <w:b/>
                <w:bCs/>
                <w:color w:val="auto"/>
                <w:kern w:val="0"/>
                <w:sz w:val="24"/>
                <w:highlight w:val="none"/>
              </w:rPr>
              <w:t>、大气环境</w:t>
            </w:r>
          </w:p>
          <w:p w14:paraId="13D22426">
            <w:pPr>
              <w:spacing w:line="480" w:lineRule="exact"/>
              <w:ind w:firstLine="480" w:firstLineChars="200"/>
              <w:rPr>
                <w:rFonts w:hint="eastAsia" w:hAnsiTheme="minorEastAsia" w:eastAsiaTheme="minorEastAsia"/>
                <w:color w:val="auto"/>
                <w:sz w:val="24"/>
                <w:highlight w:val="none"/>
                <w:lang w:eastAsia="zh-CN"/>
              </w:rPr>
            </w:pPr>
            <w:r>
              <w:rPr>
                <w:rFonts w:hAnsiTheme="minorEastAsia" w:eastAsiaTheme="minorEastAsia"/>
                <w:color w:val="auto"/>
                <w:kern w:val="0"/>
                <w:sz w:val="24"/>
                <w:highlight w:val="none"/>
              </w:rPr>
              <w:t>本项目</w:t>
            </w:r>
            <w:r>
              <w:rPr>
                <w:rFonts w:hAnsiTheme="minorEastAsia" w:eastAsiaTheme="minorEastAsia"/>
                <w:color w:val="auto"/>
                <w:sz w:val="24"/>
                <w:highlight w:val="none"/>
              </w:rPr>
              <w:t>周边</w:t>
            </w:r>
            <w:r>
              <w:rPr>
                <w:rFonts w:eastAsiaTheme="minorEastAsia"/>
                <w:color w:val="auto"/>
                <w:sz w:val="24"/>
                <w:highlight w:val="none"/>
              </w:rPr>
              <w:t>500m</w:t>
            </w:r>
            <w:r>
              <w:rPr>
                <w:rFonts w:hAnsiTheme="minorEastAsia" w:eastAsiaTheme="minorEastAsia"/>
                <w:color w:val="auto"/>
                <w:sz w:val="24"/>
                <w:highlight w:val="none"/>
              </w:rPr>
              <w:t>范围内</w:t>
            </w:r>
            <w:r>
              <w:rPr>
                <w:rFonts w:hint="eastAsia" w:hAnsiTheme="minorEastAsia" w:eastAsiaTheme="minorEastAsia"/>
                <w:color w:val="auto"/>
                <w:sz w:val="24"/>
                <w:highlight w:val="none"/>
                <w:lang w:val="en-US" w:eastAsia="zh-CN"/>
              </w:rPr>
              <w:t>无</w:t>
            </w:r>
            <w:r>
              <w:rPr>
                <w:rFonts w:hint="eastAsia" w:hAnsiTheme="minorEastAsia" w:eastAsiaTheme="minorEastAsia"/>
                <w:color w:val="auto"/>
                <w:sz w:val="24"/>
                <w:highlight w:val="none"/>
              </w:rPr>
              <w:t>大气环境保护目标</w:t>
            </w:r>
            <w:r>
              <w:rPr>
                <w:rFonts w:hint="eastAsia" w:hAnsiTheme="minorEastAsia" w:eastAsiaTheme="minorEastAsia"/>
                <w:color w:val="auto"/>
                <w:sz w:val="24"/>
                <w:highlight w:val="none"/>
                <w:lang w:eastAsia="zh-CN"/>
              </w:rPr>
              <w:t>。</w:t>
            </w:r>
          </w:p>
          <w:p w14:paraId="13565AC4">
            <w:pPr>
              <w:spacing w:line="480" w:lineRule="exact"/>
              <w:rPr>
                <w:rFonts w:eastAsiaTheme="minorEastAsia"/>
                <w:b/>
                <w:bCs/>
                <w:color w:val="auto"/>
                <w:kern w:val="0"/>
                <w:sz w:val="24"/>
                <w:highlight w:val="none"/>
              </w:rPr>
            </w:pPr>
            <w:r>
              <w:rPr>
                <w:rFonts w:eastAsiaTheme="minorEastAsia"/>
                <w:b/>
                <w:bCs/>
                <w:color w:val="auto"/>
                <w:kern w:val="0"/>
                <w:sz w:val="24"/>
                <w:highlight w:val="none"/>
              </w:rPr>
              <w:t>2</w:t>
            </w:r>
            <w:r>
              <w:rPr>
                <w:rFonts w:hAnsiTheme="minorEastAsia" w:eastAsiaTheme="minorEastAsia"/>
                <w:b/>
                <w:bCs/>
                <w:color w:val="auto"/>
                <w:kern w:val="0"/>
                <w:sz w:val="24"/>
                <w:highlight w:val="none"/>
              </w:rPr>
              <w:t>、声环境：</w:t>
            </w:r>
          </w:p>
          <w:p w14:paraId="21363DDB">
            <w:pPr>
              <w:spacing w:line="480" w:lineRule="exact"/>
              <w:ind w:firstLine="480" w:firstLineChars="200"/>
              <w:rPr>
                <w:rFonts w:eastAsiaTheme="minorEastAsia"/>
                <w:color w:val="auto"/>
                <w:kern w:val="0"/>
                <w:sz w:val="24"/>
                <w:highlight w:val="none"/>
              </w:rPr>
            </w:pPr>
            <w:r>
              <w:rPr>
                <w:rFonts w:hAnsiTheme="minorEastAsia" w:eastAsiaTheme="minorEastAsia"/>
                <w:color w:val="auto"/>
                <w:kern w:val="0"/>
                <w:sz w:val="24"/>
                <w:highlight w:val="none"/>
              </w:rPr>
              <w:t>本项目</w:t>
            </w:r>
            <w:r>
              <w:rPr>
                <w:rFonts w:hAnsiTheme="minorEastAsia" w:eastAsiaTheme="minorEastAsia"/>
                <w:color w:val="auto"/>
                <w:sz w:val="24"/>
                <w:highlight w:val="none"/>
              </w:rPr>
              <w:t>周边</w:t>
            </w:r>
            <w:r>
              <w:rPr>
                <w:rFonts w:eastAsiaTheme="minorEastAsia"/>
                <w:color w:val="auto"/>
                <w:sz w:val="24"/>
                <w:highlight w:val="none"/>
              </w:rPr>
              <w:t>50m</w:t>
            </w:r>
            <w:r>
              <w:rPr>
                <w:rFonts w:hAnsiTheme="minorEastAsia" w:eastAsiaTheme="minorEastAsia"/>
                <w:color w:val="auto"/>
                <w:sz w:val="24"/>
                <w:highlight w:val="none"/>
              </w:rPr>
              <w:t>范围</w:t>
            </w:r>
            <w:r>
              <w:rPr>
                <w:rFonts w:hint="eastAsia" w:hAnsiTheme="minorEastAsia" w:eastAsiaTheme="minorEastAsia"/>
                <w:color w:val="auto"/>
                <w:sz w:val="24"/>
                <w:highlight w:val="none"/>
              </w:rPr>
              <w:t>内无</w:t>
            </w:r>
            <w:r>
              <w:rPr>
                <w:rFonts w:hAnsiTheme="minorEastAsia" w:eastAsiaTheme="minorEastAsia"/>
                <w:color w:val="auto"/>
                <w:sz w:val="24"/>
                <w:highlight w:val="none"/>
              </w:rPr>
              <w:t>声环境保护目标。</w:t>
            </w:r>
          </w:p>
          <w:p w14:paraId="7275F7BD">
            <w:pPr>
              <w:spacing w:line="480" w:lineRule="exact"/>
              <w:rPr>
                <w:rFonts w:eastAsiaTheme="minorEastAsia"/>
                <w:b/>
                <w:bCs/>
                <w:color w:val="auto"/>
                <w:kern w:val="0"/>
                <w:sz w:val="24"/>
                <w:highlight w:val="none"/>
              </w:rPr>
            </w:pPr>
            <w:r>
              <w:rPr>
                <w:rFonts w:eastAsiaTheme="minorEastAsia"/>
                <w:b/>
                <w:bCs/>
                <w:color w:val="auto"/>
                <w:kern w:val="0"/>
                <w:sz w:val="24"/>
                <w:highlight w:val="none"/>
              </w:rPr>
              <w:t>3</w:t>
            </w:r>
            <w:r>
              <w:rPr>
                <w:rFonts w:hAnsiTheme="minorEastAsia" w:eastAsiaTheme="minorEastAsia"/>
                <w:b/>
                <w:bCs/>
                <w:color w:val="auto"/>
                <w:kern w:val="0"/>
                <w:sz w:val="24"/>
                <w:highlight w:val="none"/>
              </w:rPr>
              <w:t>、地下水环境</w:t>
            </w:r>
          </w:p>
          <w:p w14:paraId="5CFA34B1">
            <w:pPr>
              <w:spacing w:line="480" w:lineRule="exact"/>
              <w:ind w:firstLine="480" w:firstLineChars="200"/>
              <w:rPr>
                <w:rFonts w:hAnsiTheme="minorEastAsia" w:eastAsiaTheme="minorEastAsia"/>
                <w:color w:val="auto"/>
                <w:kern w:val="0"/>
                <w:sz w:val="24"/>
                <w:highlight w:val="none"/>
              </w:rPr>
            </w:pPr>
            <w:r>
              <w:rPr>
                <w:rFonts w:hAnsiTheme="minorEastAsia" w:eastAsiaTheme="minorEastAsia"/>
                <w:color w:val="auto"/>
                <w:kern w:val="0"/>
                <w:sz w:val="24"/>
                <w:highlight w:val="none"/>
              </w:rPr>
              <w:t>本项目周边</w:t>
            </w:r>
            <w:r>
              <w:rPr>
                <w:rFonts w:eastAsiaTheme="minorEastAsia"/>
                <w:color w:val="auto"/>
                <w:kern w:val="0"/>
                <w:sz w:val="24"/>
                <w:highlight w:val="none"/>
              </w:rPr>
              <w:t>500m</w:t>
            </w:r>
            <w:r>
              <w:rPr>
                <w:rFonts w:hAnsiTheme="minorEastAsia" w:eastAsiaTheme="minorEastAsia"/>
                <w:color w:val="auto"/>
                <w:kern w:val="0"/>
                <w:sz w:val="24"/>
                <w:highlight w:val="none"/>
              </w:rPr>
              <w:t>范围内无地下水集中式饮用水水源和热水、矿泉水、温泉等特殊地下水资源。</w:t>
            </w:r>
          </w:p>
          <w:p w14:paraId="1837F514">
            <w:pPr>
              <w:spacing w:line="480" w:lineRule="exact"/>
              <w:rPr>
                <w:rFonts w:eastAsiaTheme="minorEastAsia"/>
                <w:b/>
                <w:bCs/>
                <w:color w:val="auto"/>
                <w:kern w:val="0"/>
                <w:sz w:val="24"/>
                <w:highlight w:val="none"/>
              </w:rPr>
            </w:pPr>
            <w:r>
              <w:rPr>
                <w:rFonts w:eastAsiaTheme="minorEastAsia"/>
                <w:b/>
                <w:bCs/>
                <w:color w:val="auto"/>
                <w:kern w:val="0"/>
                <w:sz w:val="24"/>
                <w:highlight w:val="none"/>
              </w:rPr>
              <w:t>4</w:t>
            </w:r>
            <w:r>
              <w:rPr>
                <w:rFonts w:hint="eastAsia" w:eastAsiaTheme="minorEastAsia"/>
                <w:b/>
                <w:bCs/>
                <w:color w:val="auto"/>
                <w:kern w:val="0"/>
                <w:sz w:val="24"/>
                <w:highlight w:val="none"/>
              </w:rPr>
              <w:t>、</w:t>
            </w:r>
            <w:r>
              <w:rPr>
                <w:rFonts w:hAnsiTheme="minorEastAsia" w:eastAsiaTheme="minorEastAsia"/>
                <w:b/>
                <w:bCs/>
                <w:color w:val="auto"/>
                <w:kern w:val="0"/>
                <w:sz w:val="24"/>
                <w:highlight w:val="none"/>
              </w:rPr>
              <w:t>生态环境</w:t>
            </w:r>
          </w:p>
          <w:p w14:paraId="4AAE9685">
            <w:pPr>
              <w:spacing w:line="480" w:lineRule="exact"/>
              <w:ind w:firstLine="480" w:firstLineChars="200"/>
              <w:rPr>
                <w:rFonts w:hAnsiTheme="minorEastAsia" w:eastAsiaTheme="minorEastAsia"/>
                <w:color w:val="auto"/>
                <w:kern w:val="0"/>
                <w:sz w:val="24"/>
                <w:highlight w:val="none"/>
              </w:rPr>
            </w:pPr>
            <w:r>
              <w:rPr>
                <w:rFonts w:hAnsiTheme="minorEastAsia" w:eastAsiaTheme="minorEastAsia"/>
                <w:color w:val="auto"/>
                <w:kern w:val="0"/>
                <w:sz w:val="24"/>
                <w:highlight w:val="none"/>
              </w:rPr>
              <w:t>本项目位于</w:t>
            </w:r>
            <w:r>
              <w:rPr>
                <w:rFonts w:hint="eastAsia" w:hAnsi="宋体" w:eastAsiaTheme="minorEastAsia"/>
                <w:color w:val="auto"/>
                <w:sz w:val="24"/>
                <w:highlight w:val="none"/>
                <w:lang w:val="en-US" w:eastAsia="zh-CN"/>
              </w:rPr>
              <w:t>和静县</w:t>
            </w:r>
            <w:r>
              <w:rPr>
                <w:rFonts w:hint="eastAsia" w:hAnsi="宋体"/>
                <w:color w:val="auto"/>
                <w:sz w:val="24"/>
                <w:highlight w:val="none"/>
              </w:rPr>
              <w:t>工业园区</w:t>
            </w:r>
            <w:r>
              <w:rPr>
                <w:rFonts w:eastAsiaTheme="minorEastAsia"/>
                <w:color w:val="auto"/>
                <w:sz w:val="24"/>
                <w:highlight w:val="none"/>
              </w:rPr>
              <w:t>，</w:t>
            </w:r>
            <w:r>
              <w:rPr>
                <w:rFonts w:hAnsiTheme="minorEastAsia" w:eastAsiaTheme="minorEastAsia"/>
                <w:color w:val="auto"/>
                <w:kern w:val="0"/>
                <w:sz w:val="24"/>
                <w:highlight w:val="none"/>
              </w:rPr>
              <w:t>用地范围内</w:t>
            </w:r>
            <w:r>
              <w:rPr>
                <w:rFonts w:hint="eastAsia" w:hAnsiTheme="minorEastAsia" w:eastAsiaTheme="minorEastAsia"/>
                <w:color w:val="auto"/>
                <w:kern w:val="0"/>
                <w:sz w:val="24"/>
                <w:highlight w:val="none"/>
              </w:rPr>
              <w:t>没有</w:t>
            </w:r>
            <w:r>
              <w:rPr>
                <w:rFonts w:hAnsiTheme="minorEastAsia" w:eastAsiaTheme="minorEastAsia"/>
                <w:color w:val="auto"/>
                <w:kern w:val="0"/>
                <w:sz w:val="24"/>
                <w:highlight w:val="none"/>
              </w:rPr>
              <w:t>生态环境保护目标，</w:t>
            </w:r>
            <w:r>
              <w:rPr>
                <w:rFonts w:hint="eastAsia" w:hAnsiTheme="minorEastAsia" w:eastAsiaTheme="minorEastAsia"/>
                <w:color w:val="auto"/>
                <w:kern w:val="0"/>
                <w:sz w:val="24"/>
                <w:highlight w:val="none"/>
              </w:rPr>
              <w:t>因此</w:t>
            </w:r>
            <w:r>
              <w:rPr>
                <w:rFonts w:hAnsiTheme="minorEastAsia" w:eastAsiaTheme="minorEastAsia"/>
                <w:color w:val="auto"/>
                <w:kern w:val="0"/>
                <w:sz w:val="24"/>
                <w:highlight w:val="none"/>
              </w:rPr>
              <w:t>不开展生态现状调查。</w:t>
            </w:r>
          </w:p>
          <w:p w14:paraId="554467D0">
            <w:pPr>
              <w:spacing w:line="480" w:lineRule="exact"/>
              <w:ind w:firstLine="480" w:firstLineChars="200"/>
              <w:rPr>
                <w:rFonts w:hAnsiTheme="minorEastAsia" w:eastAsiaTheme="minorEastAsia"/>
                <w:color w:val="auto"/>
                <w:kern w:val="0"/>
                <w:sz w:val="24"/>
                <w:highlight w:val="none"/>
              </w:rPr>
            </w:pPr>
          </w:p>
          <w:p w14:paraId="710EFFCC">
            <w:pPr>
              <w:spacing w:line="480" w:lineRule="exact"/>
              <w:rPr>
                <w:rFonts w:eastAsiaTheme="minorEastAsia"/>
                <w:color w:val="auto"/>
                <w:kern w:val="0"/>
                <w:szCs w:val="21"/>
                <w:highlight w:val="none"/>
              </w:rPr>
            </w:pPr>
          </w:p>
        </w:tc>
      </w:tr>
      <w:tr w14:paraId="1F2BA3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39" w:hRule="atLeast"/>
        </w:trPr>
        <w:tc>
          <w:tcPr>
            <w:tcW w:w="455" w:type="dxa"/>
            <w:tcMar>
              <w:left w:w="28" w:type="dxa"/>
              <w:right w:w="28" w:type="dxa"/>
            </w:tcMar>
            <w:vAlign w:val="center"/>
          </w:tcPr>
          <w:p w14:paraId="640A5D3E">
            <w:pPr>
              <w:adjustRightInd w:val="0"/>
              <w:snapToGrid w:val="0"/>
              <w:jc w:val="center"/>
              <w:rPr>
                <w:rFonts w:eastAsiaTheme="minorEastAsia"/>
                <w:color w:val="auto"/>
                <w:kern w:val="0"/>
                <w:sz w:val="24"/>
                <w:highlight w:val="none"/>
              </w:rPr>
            </w:pPr>
            <w:r>
              <w:rPr>
                <w:rFonts w:hAnsiTheme="minorEastAsia" w:eastAsiaTheme="minorEastAsia"/>
                <w:color w:val="auto"/>
                <w:kern w:val="0"/>
                <w:sz w:val="24"/>
                <w:highlight w:val="none"/>
              </w:rPr>
              <w:t>污染</w:t>
            </w:r>
          </w:p>
          <w:p w14:paraId="746BF87B">
            <w:pPr>
              <w:adjustRightInd w:val="0"/>
              <w:snapToGrid w:val="0"/>
              <w:jc w:val="center"/>
              <w:rPr>
                <w:rFonts w:eastAsiaTheme="minorEastAsia"/>
                <w:color w:val="auto"/>
                <w:kern w:val="0"/>
                <w:sz w:val="24"/>
                <w:highlight w:val="none"/>
              </w:rPr>
            </w:pPr>
            <w:r>
              <w:rPr>
                <w:rFonts w:hAnsiTheme="minorEastAsia" w:eastAsiaTheme="minorEastAsia"/>
                <w:color w:val="auto"/>
                <w:kern w:val="0"/>
                <w:sz w:val="24"/>
                <w:highlight w:val="none"/>
              </w:rPr>
              <w:t>物排</w:t>
            </w:r>
          </w:p>
          <w:p w14:paraId="042103B1">
            <w:pPr>
              <w:adjustRightInd w:val="0"/>
              <w:snapToGrid w:val="0"/>
              <w:jc w:val="center"/>
              <w:rPr>
                <w:rFonts w:eastAsiaTheme="minorEastAsia"/>
                <w:color w:val="auto"/>
                <w:kern w:val="0"/>
                <w:sz w:val="24"/>
                <w:highlight w:val="none"/>
              </w:rPr>
            </w:pPr>
            <w:r>
              <w:rPr>
                <w:rFonts w:hAnsiTheme="minorEastAsia" w:eastAsiaTheme="minorEastAsia"/>
                <w:color w:val="auto"/>
                <w:kern w:val="0"/>
                <w:sz w:val="24"/>
                <w:highlight w:val="none"/>
              </w:rPr>
              <w:t>放控</w:t>
            </w:r>
          </w:p>
          <w:p w14:paraId="65B33456">
            <w:pPr>
              <w:adjustRightInd w:val="0"/>
              <w:snapToGrid w:val="0"/>
              <w:jc w:val="center"/>
              <w:rPr>
                <w:rFonts w:eastAsiaTheme="minorEastAsia"/>
                <w:color w:val="auto"/>
                <w:kern w:val="0"/>
                <w:sz w:val="24"/>
                <w:highlight w:val="none"/>
              </w:rPr>
            </w:pPr>
            <w:r>
              <w:rPr>
                <w:rFonts w:hAnsiTheme="minorEastAsia" w:eastAsiaTheme="minorEastAsia"/>
                <w:color w:val="auto"/>
                <w:kern w:val="0"/>
                <w:sz w:val="24"/>
                <w:highlight w:val="none"/>
              </w:rPr>
              <w:t>制标</w:t>
            </w:r>
          </w:p>
          <w:p w14:paraId="7C55148B">
            <w:pPr>
              <w:adjustRightInd w:val="0"/>
              <w:snapToGrid w:val="0"/>
              <w:jc w:val="center"/>
              <w:rPr>
                <w:rFonts w:eastAsiaTheme="minorEastAsia"/>
                <w:color w:val="auto"/>
                <w:kern w:val="0"/>
                <w:szCs w:val="21"/>
                <w:highlight w:val="none"/>
              </w:rPr>
            </w:pPr>
            <w:r>
              <w:rPr>
                <w:rFonts w:hAnsiTheme="minorEastAsia" w:eastAsiaTheme="minorEastAsia"/>
                <w:color w:val="auto"/>
                <w:kern w:val="0"/>
                <w:sz w:val="24"/>
                <w:highlight w:val="none"/>
              </w:rPr>
              <w:t>准</w:t>
            </w:r>
          </w:p>
        </w:tc>
        <w:tc>
          <w:tcPr>
            <w:tcW w:w="8624" w:type="dxa"/>
            <w:vAlign w:val="center"/>
          </w:tcPr>
          <w:p w14:paraId="1FD62D35">
            <w:pPr>
              <w:topLinePunct/>
              <w:spacing w:line="500" w:lineRule="exact"/>
              <w:jc w:val="left"/>
              <w:rPr>
                <w:rFonts w:eastAsiaTheme="minorEastAsia"/>
                <w:b/>
                <w:color w:val="auto"/>
                <w:sz w:val="24"/>
                <w:highlight w:val="none"/>
              </w:rPr>
            </w:pPr>
            <w:bookmarkStart w:id="11" w:name="_Hlk41474299"/>
            <w:r>
              <w:rPr>
                <w:rFonts w:eastAsiaTheme="minorEastAsia"/>
                <w:b/>
                <w:color w:val="auto"/>
                <w:sz w:val="24"/>
                <w:highlight w:val="none"/>
              </w:rPr>
              <w:t>1</w:t>
            </w:r>
            <w:r>
              <w:rPr>
                <w:rFonts w:hAnsiTheme="minorEastAsia" w:eastAsiaTheme="minorEastAsia"/>
                <w:b/>
                <w:color w:val="auto"/>
                <w:sz w:val="24"/>
                <w:highlight w:val="none"/>
              </w:rPr>
              <w:t>、废气</w:t>
            </w:r>
          </w:p>
          <w:p w14:paraId="5E764DC5">
            <w:pPr>
              <w:spacing w:line="500" w:lineRule="exact"/>
              <w:ind w:firstLine="480" w:firstLineChars="200"/>
              <w:rPr>
                <w:rFonts w:hAnsiTheme="minorEastAsia" w:eastAsiaTheme="minorEastAsia"/>
                <w:color w:val="auto"/>
                <w:sz w:val="24"/>
                <w:highlight w:val="none"/>
              </w:rPr>
            </w:pPr>
            <w:r>
              <w:rPr>
                <w:rFonts w:hint="eastAsia" w:ascii="Times New Roman" w:cs="Times New Roman" w:hAnsiTheme="minorEastAsia" w:eastAsiaTheme="minorEastAsia"/>
                <w:color w:val="auto"/>
                <w:sz w:val="24"/>
                <w:highlight w:val="none"/>
                <w:lang w:val="en-US" w:eastAsia="zh-CN"/>
              </w:rPr>
              <w:t>有组织粉尘执行</w:t>
            </w:r>
            <w:r>
              <w:rPr>
                <w:rFonts w:hint="eastAsia" w:ascii="Times New Roman" w:cs="Times New Roman" w:hAnsiTheme="minorEastAsia" w:eastAsiaTheme="minorEastAsia"/>
                <w:color w:val="auto"/>
                <w:sz w:val="24"/>
                <w:highlight w:val="none"/>
                <w:lang w:eastAsia="zh-CN"/>
              </w:rPr>
              <w:t>《合成树脂工业污染物排放标准》（GB31572-2015，含2024年修改单）</w:t>
            </w:r>
            <w:r>
              <w:rPr>
                <w:rFonts w:hint="eastAsia" w:ascii="Times New Roman" w:cs="Times New Roman" w:hAnsiTheme="minorEastAsia" w:eastAsiaTheme="minorEastAsia"/>
                <w:color w:val="auto"/>
                <w:sz w:val="24"/>
                <w:highlight w:val="none"/>
                <w:lang w:val="en-US" w:eastAsia="zh-CN"/>
              </w:rPr>
              <w:t>表4排放限值，无组织粉尘执行</w:t>
            </w:r>
            <w:r>
              <w:rPr>
                <w:rFonts w:hint="eastAsia" w:ascii="Times New Roman" w:cs="Times New Roman" w:hAnsiTheme="minorEastAsia" w:eastAsiaTheme="minorEastAsia"/>
                <w:color w:val="auto"/>
                <w:sz w:val="24"/>
                <w:highlight w:val="none"/>
                <w:lang w:eastAsia="zh-CN"/>
              </w:rPr>
              <w:t>《合成树脂工业污染物排放标准》（GB31572-2015，含2024年修改单）</w:t>
            </w:r>
            <w:r>
              <w:rPr>
                <w:rFonts w:hint="eastAsia" w:ascii="Times New Roman" w:cs="Times New Roman" w:hAnsiTheme="minorEastAsia" w:eastAsiaTheme="minorEastAsia"/>
                <w:color w:val="auto"/>
                <w:sz w:val="24"/>
                <w:highlight w:val="none"/>
                <w:lang w:val="en-US" w:eastAsia="zh-CN"/>
              </w:rPr>
              <w:t>表9企业边界限值要求</w:t>
            </w:r>
            <w:r>
              <w:rPr>
                <w:rFonts w:hint="eastAsia" w:ascii="Times New Roman" w:cs="Times New Roman" w:hAnsiTheme="minorEastAsia" w:eastAsiaTheme="minorEastAsia"/>
                <w:color w:val="auto"/>
                <w:sz w:val="24"/>
                <w:highlight w:val="none"/>
                <w:lang w:eastAsia="zh-CN"/>
              </w:rPr>
              <w:t>，有</w:t>
            </w:r>
            <w:r>
              <w:rPr>
                <w:rFonts w:hint="eastAsia" w:hAnsiTheme="minorEastAsia" w:eastAsiaTheme="minorEastAsia"/>
                <w:color w:val="auto"/>
                <w:sz w:val="24"/>
                <w:highlight w:val="none"/>
                <w:lang w:eastAsia="zh-CN"/>
              </w:rPr>
              <w:t>组织</w:t>
            </w:r>
            <w:r>
              <w:rPr>
                <w:rFonts w:hint="eastAsia" w:hAnsiTheme="minorEastAsia" w:eastAsiaTheme="minorEastAsia"/>
                <w:color w:val="auto"/>
                <w:sz w:val="24"/>
                <w:highlight w:val="none"/>
              </w:rPr>
              <w:t>非甲烷总烃</w:t>
            </w:r>
            <w:r>
              <w:rPr>
                <w:rFonts w:hAnsiTheme="minorEastAsia" w:eastAsiaTheme="minorEastAsia"/>
                <w:color w:val="auto"/>
                <w:sz w:val="24"/>
                <w:highlight w:val="none"/>
              </w:rPr>
              <w:t>排放执行</w:t>
            </w:r>
            <w:r>
              <w:rPr>
                <w:rFonts w:hint="eastAsia" w:hAnsiTheme="minorEastAsia" w:eastAsiaTheme="minorEastAsia"/>
                <w:color w:val="auto"/>
                <w:sz w:val="24"/>
                <w:highlight w:val="none"/>
              </w:rPr>
              <w:t>《合成树脂工业污染物排放标准》（GB31572-2015，含2024年修改单）表4大气污染物排放限值</w:t>
            </w:r>
            <w:r>
              <w:rPr>
                <w:rFonts w:hint="eastAsia" w:hAnsiTheme="minorEastAsia" w:eastAsiaTheme="minorEastAsia"/>
                <w:color w:val="auto"/>
                <w:sz w:val="24"/>
                <w:highlight w:val="none"/>
                <w:lang w:eastAsia="zh-CN"/>
              </w:rPr>
              <w:t>；无组织</w:t>
            </w:r>
            <w:r>
              <w:rPr>
                <w:rFonts w:hint="eastAsia" w:hAnsiTheme="minorEastAsia" w:eastAsiaTheme="minorEastAsia"/>
                <w:color w:val="auto"/>
                <w:sz w:val="24"/>
                <w:highlight w:val="none"/>
              </w:rPr>
              <w:t>非甲烷总烃</w:t>
            </w:r>
            <w:r>
              <w:rPr>
                <w:rFonts w:hAnsiTheme="minorEastAsia" w:eastAsiaTheme="minorEastAsia"/>
                <w:color w:val="auto"/>
                <w:sz w:val="24"/>
                <w:highlight w:val="none"/>
              </w:rPr>
              <w:t>排放执行</w:t>
            </w:r>
            <w:r>
              <w:rPr>
                <w:rFonts w:hint="eastAsia" w:hAnsiTheme="minorEastAsia" w:eastAsiaTheme="minorEastAsia"/>
                <w:color w:val="auto"/>
                <w:sz w:val="24"/>
                <w:highlight w:val="none"/>
              </w:rPr>
              <w:t>《合成树脂工业污染物排放标准》（GB31572-2015，含2024年修改单）表9中企业边界大气污染物浓度限值</w:t>
            </w:r>
            <w:r>
              <w:rPr>
                <w:rFonts w:hint="eastAsia" w:hAnsiTheme="minorEastAsia" w:eastAsiaTheme="minorEastAsia"/>
                <w:color w:val="auto"/>
                <w:sz w:val="24"/>
                <w:highlight w:val="none"/>
                <w:lang w:eastAsia="zh-CN"/>
              </w:rPr>
              <w:t>及《挥发性有机物无组织排放控制标准》（GB37822-2019）中非甲烷总烃无组织排放限值</w:t>
            </w:r>
            <w:r>
              <w:rPr>
                <w:rFonts w:hAnsiTheme="minorEastAsia" w:eastAsiaTheme="minorEastAsia"/>
                <w:color w:val="auto"/>
                <w:sz w:val="24"/>
                <w:highlight w:val="none"/>
              </w:rPr>
              <w:t>。</w:t>
            </w:r>
          </w:p>
          <w:p w14:paraId="1F0756B0">
            <w:pPr>
              <w:spacing w:line="500" w:lineRule="exact"/>
              <w:ind w:firstLine="480" w:firstLineChars="200"/>
              <w:rPr>
                <w:rFonts w:hAnsiTheme="minorEastAsia" w:eastAsiaTheme="minorEastAsia"/>
                <w:color w:val="auto"/>
                <w:sz w:val="24"/>
                <w:highlight w:val="none"/>
              </w:rPr>
            </w:pPr>
            <w:r>
              <w:rPr>
                <w:rFonts w:hAnsiTheme="minorEastAsia" w:eastAsiaTheme="minorEastAsia"/>
                <w:color w:val="auto"/>
                <w:sz w:val="24"/>
                <w:highlight w:val="none"/>
              </w:rPr>
              <w:t>废气污染物排放执行标准见表</w:t>
            </w:r>
            <w:r>
              <w:rPr>
                <w:rFonts w:hint="eastAsia" w:eastAsiaTheme="minorEastAsia"/>
                <w:color w:val="auto"/>
                <w:sz w:val="24"/>
                <w:highlight w:val="none"/>
                <w:lang w:val="en-US" w:eastAsia="zh-CN"/>
              </w:rPr>
              <w:t>2-4</w:t>
            </w:r>
            <w:r>
              <w:rPr>
                <w:rFonts w:hAnsiTheme="minorEastAsia" w:eastAsiaTheme="minorEastAsia"/>
                <w:color w:val="auto"/>
                <w:sz w:val="24"/>
                <w:highlight w:val="none"/>
              </w:rPr>
              <w:t>。</w:t>
            </w:r>
          </w:p>
          <w:p w14:paraId="2328EE4B">
            <w:pPr>
              <w:spacing w:line="500" w:lineRule="exact"/>
              <w:jc w:val="center"/>
              <w:rPr>
                <w:rFonts w:eastAsiaTheme="minorEastAsia"/>
                <w:b/>
                <w:color w:val="auto"/>
                <w:szCs w:val="21"/>
                <w:highlight w:val="none"/>
              </w:rPr>
            </w:pPr>
            <w:r>
              <w:rPr>
                <w:rFonts w:hAnsiTheme="minorEastAsia" w:eastAsiaTheme="minorEastAsia"/>
                <w:b/>
                <w:color w:val="auto"/>
                <w:szCs w:val="21"/>
                <w:highlight w:val="none"/>
              </w:rPr>
              <w:t>表</w:t>
            </w:r>
            <w:r>
              <w:rPr>
                <w:rFonts w:hint="eastAsia" w:eastAsiaTheme="minorEastAsia"/>
                <w:b/>
                <w:color w:val="auto"/>
                <w:szCs w:val="21"/>
                <w:highlight w:val="none"/>
                <w:lang w:val="en-US" w:eastAsia="zh-CN"/>
              </w:rPr>
              <w:t>2-4</w:t>
            </w:r>
            <w:r>
              <w:rPr>
                <w:b/>
                <w:bCs/>
                <w:color w:val="auto"/>
                <w:szCs w:val="21"/>
                <w:highlight w:val="none"/>
              </w:rPr>
              <w:t xml:space="preserve">       </w:t>
            </w:r>
            <w:r>
              <w:rPr>
                <w:rFonts w:hAnsiTheme="minorEastAsia" w:eastAsiaTheme="minorEastAsia"/>
                <w:b/>
                <w:color w:val="auto"/>
                <w:szCs w:val="21"/>
                <w:highlight w:val="none"/>
              </w:rPr>
              <w:t>废气污染物排放执行标准</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787"/>
              <w:gridCol w:w="2132"/>
              <w:gridCol w:w="1980"/>
              <w:gridCol w:w="3077"/>
            </w:tblGrid>
            <w:tr w14:paraId="5752D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2" w:type="pct"/>
                  <w:gridSpan w:val="2"/>
                  <w:vAlign w:val="center"/>
                </w:tcPr>
                <w:p w14:paraId="376FC08D">
                  <w:pPr>
                    <w:adjustRightInd w:val="0"/>
                    <w:snapToGrid w:val="0"/>
                    <w:spacing w:line="280" w:lineRule="exact"/>
                    <w:jc w:val="center"/>
                    <w:rPr>
                      <w:rFonts w:eastAsiaTheme="minorEastAsia"/>
                      <w:b/>
                      <w:color w:val="auto"/>
                      <w:szCs w:val="21"/>
                      <w:highlight w:val="none"/>
                    </w:rPr>
                  </w:pPr>
                  <w:r>
                    <w:rPr>
                      <w:rFonts w:eastAsiaTheme="minorEastAsia"/>
                      <w:b/>
                      <w:color w:val="auto"/>
                      <w:szCs w:val="21"/>
                      <w:highlight w:val="none"/>
                    </w:rPr>
                    <w:t>控制</w:t>
                  </w:r>
                </w:p>
                <w:p w14:paraId="57A08CC8">
                  <w:pPr>
                    <w:adjustRightInd w:val="0"/>
                    <w:snapToGrid w:val="0"/>
                    <w:spacing w:line="280" w:lineRule="exact"/>
                    <w:jc w:val="center"/>
                    <w:rPr>
                      <w:rFonts w:eastAsiaTheme="minorEastAsia"/>
                      <w:b/>
                      <w:color w:val="auto"/>
                      <w:szCs w:val="21"/>
                      <w:highlight w:val="none"/>
                    </w:rPr>
                  </w:pPr>
                  <w:r>
                    <w:rPr>
                      <w:rFonts w:eastAsiaTheme="minorEastAsia"/>
                      <w:b/>
                      <w:color w:val="auto"/>
                      <w:szCs w:val="21"/>
                      <w:highlight w:val="none"/>
                    </w:rPr>
                    <w:t>项目</w:t>
                  </w:r>
                </w:p>
              </w:tc>
              <w:tc>
                <w:tcPr>
                  <w:tcW w:w="1268" w:type="pct"/>
                  <w:vAlign w:val="center"/>
                </w:tcPr>
                <w:p w14:paraId="55096073">
                  <w:pPr>
                    <w:adjustRightInd w:val="0"/>
                    <w:snapToGrid w:val="0"/>
                    <w:spacing w:line="280" w:lineRule="exact"/>
                    <w:jc w:val="center"/>
                    <w:rPr>
                      <w:rFonts w:eastAsiaTheme="minorEastAsia"/>
                      <w:b/>
                      <w:color w:val="auto"/>
                      <w:szCs w:val="21"/>
                      <w:highlight w:val="none"/>
                    </w:rPr>
                  </w:pPr>
                  <w:r>
                    <w:rPr>
                      <w:rFonts w:hint="eastAsia" w:eastAsiaTheme="minorEastAsia"/>
                      <w:b/>
                      <w:color w:val="auto"/>
                      <w:szCs w:val="21"/>
                      <w:highlight w:val="none"/>
                      <w:lang w:eastAsia="zh-CN"/>
                    </w:rPr>
                    <w:t>排放</w:t>
                  </w:r>
                  <w:r>
                    <w:rPr>
                      <w:rFonts w:eastAsiaTheme="minorEastAsia"/>
                      <w:b/>
                      <w:color w:val="auto"/>
                      <w:szCs w:val="21"/>
                      <w:highlight w:val="none"/>
                    </w:rPr>
                    <w:t>限值</w:t>
                  </w:r>
                </w:p>
              </w:tc>
              <w:tc>
                <w:tcPr>
                  <w:tcW w:w="1178" w:type="pct"/>
                  <w:vAlign w:val="center"/>
                </w:tcPr>
                <w:p w14:paraId="439909B1">
                  <w:pPr>
                    <w:adjustRightInd w:val="0"/>
                    <w:snapToGrid w:val="0"/>
                    <w:spacing w:line="280" w:lineRule="exact"/>
                    <w:jc w:val="center"/>
                    <w:rPr>
                      <w:rFonts w:eastAsiaTheme="minorEastAsia"/>
                      <w:b/>
                      <w:color w:val="auto"/>
                      <w:szCs w:val="21"/>
                      <w:highlight w:val="none"/>
                    </w:rPr>
                  </w:pPr>
                  <w:r>
                    <w:rPr>
                      <w:rFonts w:eastAsiaTheme="minorEastAsia"/>
                      <w:b/>
                      <w:color w:val="auto"/>
                      <w:szCs w:val="21"/>
                      <w:highlight w:val="none"/>
                    </w:rPr>
                    <w:t>监控点位置</w:t>
                  </w:r>
                </w:p>
              </w:tc>
              <w:tc>
                <w:tcPr>
                  <w:tcW w:w="1830" w:type="pct"/>
                  <w:vAlign w:val="center"/>
                </w:tcPr>
                <w:p w14:paraId="7967F2DE">
                  <w:pPr>
                    <w:adjustRightInd w:val="0"/>
                    <w:snapToGrid w:val="0"/>
                    <w:spacing w:line="280" w:lineRule="exact"/>
                    <w:jc w:val="center"/>
                    <w:rPr>
                      <w:rFonts w:eastAsiaTheme="minorEastAsia"/>
                      <w:b/>
                      <w:color w:val="auto"/>
                      <w:szCs w:val="21"/>
                      <w:highlight w:val="none"/>
                    </w:rPr>
                  </w:pPr>
                  <w:r>
                    <w:rPr>
                      <w:rFonts w:eastAsiaTheme="minorEastAsia"/>
                      <w:b/>
                      <w:color w:val="auto"/>
                      <w:szCs w:val="21"/>
                      <w:highlight w:val="none"/>
                    </w:rPr>
                    <w:t>标准</w:t>
                  </w:r>
                </w:p>
              </w:tc>
            </w:tr>
            <w:tr w14:paraId="2081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 w:type="pct"/>
                  <w:vMerge w:val="restart"/>
                  <w:vAlign w:val="center"/>
                </w:tcPr>
                <w:p w14:paraId="7AEA70E2">
                  <w:pPr>
                    <w:adjustRightInd w:val="0"/>
                    <w:snapToGrid w:val="0"/>
                    <w:spacing w:line="280" w:lineRule="exact"/>
                    <w:jc w:val="center"/>
                    <w:rPr>
                      <w:rFonts w:hint="eastAsia" w:eastAsiaTheme="minorEastAsia"/>
                      <w:color w:val="auto"/>
                      <w:szCs w:val="21"/>
                      <w:highlight w:val="none"/>
                      <w:lang w:eastAsia="zh-CN"/>
                    </w:rPr>
                  </w:pPr>
                  <w:r>
                    <w:rPr>
                      <w:rFonts w:hint="eastAsia" w:eastAsiaTheme="minorEastAsia"/>
                      <w:color w:val="auto"/>
                      <w:szCs w:val="21"/>
                      <w:highlight w:val="none"/>
                      <w:lang w:val="en-US" w:eastAsia="zh-CN"/>
                    </w:rPr>
                    <w:t>有组织</w:t>
                  </w:r>
                </w:p>
              </w:tc>
              <w:tc>
                <w:tcPr>
                  <w:tcW w:w="468" w:type="pct"/>
                  <w:vAlign w:val="center"/>
                </w:tcPr>
                <w:p w14:paraId="291D032E">
                  <w:pPr>
                    <w:adjustRightInd w:val="0"/>
                    <w:snapToGrid w:val="0"/>
                    <w:spacing w:line="280" w:lineRule="exact"/>
                    <w:jc w:val="center"/>
                    <w:rPr>
                      <w:rFonts w:hint="default" w:eastAsiaTheme="minorEastAsia"/>
                      <w:color w:val="auto"/>
                      <w:sz w:val="21"/>
                      <w:szCs w:val="21"/>
                      <w:highlight w:val="none"/>
                      <w:lang w:val="en-US" w:eastAsia="zh-CN"/>
                    </w:rPr>
                  </w:pPr>
                  <w:r>
                    <w:rPr>
                      <w:rFonts w:hint="eastAsia" w:eastAsiaTheme="minorEastAsia"/>
                      <w:color w:val="auto"/>
                      <w:sz w:val="21"/>
                      <w:szCs w:val="21"/>
                      <w:highlight w:val="none"/>
                      <w:lang w:val="en-US" w:eastAsia="zh-CN"/>
                    </w:rPr>
                    <w:t>TSP</w:t>
                  </w:r>
                </w:p>
              </w:tc>
              <w:tc>
                <w:tcPr>
                  <w:tcW w:w="1268" w:type="pct"/>
                  <w:vAlign w:val="center"/>
                </w:tcPr>
                <w:p w14:paraId="4607FBEB">
                  <w:pPr>
                    <w:adjustRightInd w:val="0"/>
                    <w:snapToGrid w:val="0"/>
                    <w:spacing w:line="280" w:lineRule="exact"/>
                    <w:jc w:val="center"/>
                    <w:rPr>
                      <w:rFonts w:hint="default" w:eastAsiaTheme="minorEastAsia"/>
                      <w:color w:val="auto"/>
                      <w:szCs w:val="21"/>
                      <w:highlight w:val="none"/>
                      <w:lang w:val="en-US" w:eastAsia="zh-CN"/>
                    </w:rPr>
                  </w:pPr>
                  <w:r>
                    <w:rPr>
                      <w:rFonts w:hint="eastAsia" w:eastAsiaTheme="minorEastAsia"/>
                      <w:color w:val="auto"/>
                      <w:szCs w:val="21"/>
                      <w:highlight w:val="none"/>
                      <w:lang w:val="en-US" w:eastAsia="zh-CN"/>
                    </w:rPr>
                    <w:t>30</w:t>
                  </w:r>
                  <w:r>
                    <w:rPr>
                      <w:rFonts w:hint="eastAsia" w:eastAsiaTheme="minorEastAsia"/>
                      <w:color w:val="auto"/>
                      <w:szCs w:val="21"/>
                      <w:highlight w:val="none"/>
                    </w:rPr>
                    <w:t>mg/m</w:t>
                  </w:r>
                  <w:r>
                    <w:rPr>
                      <w:rFonts w:hint="eastAsia" w:eastAsiaTheme="minorEastAsia"/>
                      <w:color w:val="auto"/>
                      <w:szCs w:val="21"/>
                      <w:highlight w:val="none"/>
                      <w:vertAlign w:val="superscript"/>
                    </w:rPr>
                    <w:t>3</w:t>
                  </w:r>
                </w:p>
              </w:tc>
              <w:tc>
                <w:tcPr>
                  <w:tcW w:w="1178" w:type="pct"/>
                  <w:vAlign w:val="center"/>
                </w:tcPr>
                <w:p w14:paraId="6F3BAD75">
                  <w:pPr>
                    <w:adjustRightInd w:val="0"/>
                    <w:snapToGrid w:val="0"/>
                    <w:spacing w:line="280" w:lineRule="exact"/>
                    <w:jc w:val="both"/>
                    <w:rPr>
                      <w:rFonts w:eastAsiaTheme="minorEastAsia"/>
                      <w:color w:val="auto"/>
                      <w:szCs w:val="21"/>
                      <w:highlight w:val="none"/>
                    </w:rPr>
                  </w:pPr>
                  <w:r>
                    <w:rPr>
                      <w:rFonts w:hint="eastAsia" w:eastAsiaTheme="minorEastAsia"/>
                      <w:color w:val="auto"/>
                      <w:szCs w:val="21"/>
                      <w:highlight w:val="none"/>
                      <w:lang w:val="en-US" w:eastAsia="zh-CN"/>
                    </w:rPr>
                    <w:t>塑料包装袋加工厂房废气</w:t>
                  </w:r>
                  <w:r>
                    <w:rPr>
                      <w:rFonts w:eastAsiaTheme="minorEastAsia"/>
                      <w:color w:val="auto"/>
                      <w:szCs w:val="21"/>
                      <w:highlight w:val="none"/>
                    </w:rPr>
                    <w:t>排气筒</w:t>
                  </w:r>
                  <w:r>
                    <w:rPr>
                      <w:rFonts w:hint="eastAsia" w:eastAsiaTheme="minorEastAsia"/>
                      <w:color w:val="auto"/>
                      <w:szCs w:val="21"/>
                      <w:highlight w:val="none"/>
                      <w:lang w:eastAsia="zh-CN"/>
                    </w:rPr>
                    <w:t>、</w:t>
                  </w:r>
                  <w:r>
                    <w:rPr>
                      <w:rFonts w:hint="eastAsia" w:eastAsiaTheme="minorEastAsia"/>
                      <w:color w:val="auto"/>
                      <w:szCs w:val="21"/>
                      <w:highlight w:val="none"/>
                      <w:lang w:val="en-US" w:eastAsia="zh-CN"/>
                    </w:rPr>
                    <w:t>农用贴片滴灌带加工厂房废气</w:t>
                  </w:r>
                  <w:r>
                    <w:rPr>
                      <w:rFonts w:eastAsiaTheme="minorEastAsia"/>
                      <w:color w:val="auto"/>
                      <w:szCs w:val="21"/>
                      <w:highlight w:val="none"/>
                    </w:rPr>
                    <w:t>排气筒</w:t>
                  </w:r>
                </w:p>
              </w:tc>
              <w:tc>
                <w:tcPr>
                  <w:tcW w:w="1830" w:type="pct"/>
                  <w:vAlign w:val="center"/>
                </w:tcPr>
                <w:p w14:paraId="35AF24BC">
                  <w:pPr>
                    <w:adjustRightInd w:val="0"/>
                    <w:snapToGrid w:val="0"/>
                    <w:spacing w:line="280" w:lineRule="exact"/>
                    <w:jc w:val="center"/>
                    <w:rPr>
                      <w:rFonts w:hint="eastAsia" w:eastAsiaTheme="minorEastAsia"/>
                      <w:color w:val="auto"/>
                      <w:szCs w:val="21"/>
                      <w:highlight w:val="none"/>
                      <w:lang w:eastAsia="zh-CN"/>
                    </w:rPr>
                  </w:pPr>
                  <w:r>
                    <w:rPr>
                      <w:rFonts w:hint="eastAsia"/>
                      <w:snapToGrid w:val="0"/>
                      <w:color w:val="auto"/>
                      <w:kern w:val="0"/>
                      <w:highlight w:val="none"/>
                      <w:lang w:eastAsia="zh-CN"/>
                    </w:rPr>
                    <w:t>《合成树脂工业污染物排放标准》（GB31572-2015，含2024年修改单）</w:t>
                  </w:r>
                  <w:r>
                    <w:rPr>
                      <w:rFonts w:hint="eastAsia"/>
                      <w:snapToGrid w:val="0"/>
                      <w:color w:val="auto"/>
                      <w:kern w:val="0"/>
                      <w:highlight w:val="none"/>
                      <w:lang w:val="en-US" w:eastAsia="zh-CN"/>
                    </w:rPr>
                    <w:t>表4排放限值</w:t>
                  </w:r>
                </w:p>
              </w:tc>
            </w:tr>
            <w:tr w14:paraId="1A36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 w:type="pct"/>
                  <w:vMerge w:val="continue"/>
                  <w:vAlign w:val="center"/>
                </w:tcPr>
                <w:p w14:paraId="3EADE847">
                  <w:pPr>
                    <w:adjustRightInd w:val="0"/>
                    <w:snapToGrid w:val="0"/>
                    <w:spacing w:line="280" w:lineRule="exact"/>
                    <w:jc w:val="center"/>
                    <w:rPr>
                      <w:rFonts w:hint="eastAsia" w:eastAsiaTheme="minorEastAsia"/>
                      <w:color w:val="auto"/>
                      <w:szCs w:val="21"/>
                      <w:highlight w:val="none"/>
                      <w:lang w:eastAsia="zh-CN"/>
                    </w:rPr>
                  </w:pPr>
                </w:p>
              </w:tc>
              <w:tc>
                <w:tcPr>
                  <w:tcW w:w="468" w:type="pct"/>
                  <w:vMerge w:val="restart"/>
                  <w:vAlign w:val="center"/>
                </w:tcPr>
                <w:p w14:paraId="4E0B466F">
                  <w:pPr>
                    <w:adjustRightInd w:val="0"/>
                    <w:snapToGrid w:val="0"/>
                    <w:spacing w:line="280" w:lineRule="exact"/>
                    <w:jc w:val="center"/>
                    <w:rPr>
                      <w:rFonts w:hint="default" w:eastAsiaTheme="minorEastAsia"/>
                      <w:color w:val="auto"/>
                      <w:szCs w:val="21"/>
                      <w:highlight w:val="none"/>
                      <w:lang w:val="en-US" w:eastAsia="zh-CN"/>
                    </w:rPr>
                  </w:pPr>
                  <w:r>
                    <w:rPr>
                      <w:rFonts w:hint="eastAsia" w:eastAsiaTheme="minorEastAsia"/>
                      <w:color w:val="auto"/>
                      <w:szCs w:val="21"/>
                      <w:highlight w:val="none"/>
                      <w:lang w:val="en-US" w:eastAsia="zh-CN"/>
                    </w:rPr>
                    <w:t>非甲烷总烃</w:t>
                  </w:r>
                </w:p>
              </w:tc>
              <w:tc>
                <w:tcPr>
                  <w:tcW w:w="1268" w:type="pct"/>
                  <w:vAlign w:val="center"/>
                </w:tcPr>
                <w:p w14:paraId="41AFA9F4">
                  <w:pPr>
                    <w:adjustRightInd w:val="0"/>
                    <w:snapToGrid w:val="0"/>
                    <w:spacing w:line="280" w:lineRule="exact"/>
                    <w:jc w:val="center"/>
                    <w:rPr>
                      <w:rFonts w:eastAsiaTheme="minorEastAsia"/>
                      <w:color w:val="auto"/>
                      <w:szCs w:val="21"/>
                      <w:highlight w:val="none"/>
                    </w:rPr>
                  </w:pPr>
                  <w:r>
                    <w:rPr>
                      <w:rFonts w:hint="eastAsia" w:eastAsiaTheme="minorEastAsia"/>
                      <w:color w:val="auto"/>
                      <w:szCs w:val="21"/>
                      <w:highlight w:val="none"/>
                    </w:rPr>
                    <w:t>100mg/m</w:t>
                  </w:r>
                  <w:r>
                    <w:rPr>
                      <w:rFonts w:hint="eastAsia" w:eastAsiaTheme="minorEastAsia"/>
                      <w:color w:val="auto"/>
                      <w:szCs w:val="21"/>
                      <w:highlight w:val="none"/>
                      <w:vertAlign w:val="superscript"/>
                    </w:rPr>
                    <w:t>3</w:t>
                  </w:r>
                </w:p>
              </w:tc>
              <w:tc>
                <w:tcPr>
                  <w:tcW w:w="1178" w:type="pct"/>
                  <w:vMerge w:val="restart"/>
                  <w:vAlign w:val="center"/>
                </w:tcPr>
                <w:p w14:paraId="54DB5113">
                  <w:pPr>
                    <w:adjustRightInd w:val="0"/>
                    <w:snapToGrid w:val="0"/>
                    <w:spacing w:line="280" w:lineRule="exact"/>
                    <w:jc w:val="both"/>
                    <w:rPr>
                      <w:rFonts w:hint="eastAsia" w:eastAsiaTheme="minorEastAsia"/>
                      <w:color w:val="auto"/>
                      <w:szCs w:val="21"/>
                      <w:highlight w:val="none"/>
                      <w:lang w:eastAsia="zh-CN"/>
                    </w:rPr>
                  </w:pPr>
                  <w:r>
                    <w:rPr>
                      <w:rFonts w:hint="eastAsia" w:eastAsiaTheme="minorEastAsia"/>
                      <w:color w:val="auto"/>
                      <w:szCs w:val="21"/>
                      <w:highlight w:val="none"/>
                      <w:lang w:val="en-US" w:eastAsia="zh-CN"/>
                    </w:rPr>
                    <w:t>塑料包装袋加工厂房废气</w:t>
                  </w:r>
                  <w:r>
                    <w:rPr>
                      <w:rFonts w:eastAsiaTheme="minorEastAsia"/>
                      <w:color w:val="auto"/>
                      <w:szCs w:val="21"/>
                      <w:highlight w:val="none"/>
                    </w:rPr>
                    <w:t>排气筒</w:t>
                  </w:r>
                  <w:r>
                    <w:rPr>
                      <w:rFonts w:hint="eastAsia" w:eastAsiaTheme="minorEastAsia"/>
                      <w:color w:val="auto"/>
                      <w:szCs w:val="21"/>
                      <w:highlight w:val="none"/>
                      <w:lang w:eastAsia="zh-CN"/>
                    </w:rPr>
                    <w:t>、</w:t>
                  </w:r>
                  <w:r>
                    <w:rPr>
                      <w:rFonts w:hint="eastAsia" w:eastAsiaTheme="minorEastAsia"/>
                      <w:color w:val="auto"/>
                      <w:szCs w:val="21"/>
                      <w:highlight w:val="none"/>
                      <w:lang w:val="en-US" w:eastAsia="zh-CN"/>
                    </w:rPr>
                    <w:t>农用贴片滴灌带加工厂房废气</w:t>
                  </w:r>
                  <w:r>
                    <w:rPr>
                      <w:rFonts w:eastAsiaTheme="minorEastAsia"/>
                      <w:color w:val="auto"/>
                      <w:szCs w:val="21"/>
                      <w:highlight w:val="none"/>
                    </w:rPr>
                    <w:t>排气筒</w:t>
                  </w:r>
                </w:p>
              </w:tc>
              <w:tc>
                <w:tcPr>
                  <w:tcW w:w="1830" w:type="pct"/>
                  <w:vMerge w:val="restart"/>
                  <w:vAlign w:val="center"/>
                </w:tcPr>
                <w:p w14:paraId="297D592A">
                  <w:pPr>
                    <w:adjustRightInd w:val="0"/>
                    <w:snapToGrid w:val="0"/>
                    <w:spacing w:line="280" w:lineRule="exact"/>
                    <w:jc w:val="center"/>
                    <w:rPr>
                      <w:rFonts w:eastAsiaTheme="minorEastAsia"/>
                      <w:color w:val="auto"/>
                      <w:szCs w:val="21"/>
                      <w:highlight w:val="none"/>
                    </w:rPr>
                  </w:pPr>
                  <w:r>
                    <w:rPr>
                      <w:rFonts w:hint="eastAsia" w:eastAsiaTheme="minorEastAsia"/>
                      <w:color w:val="auto"/>
                      <w:szCs w:val="21"/>
                      <w:highlight w:val="none"/>
                      <w:lang w:eastAsia="zh-CN"/>
                    </w:rPr>
                    <w:t>《合成树脂工业污染物排放标准》（GB31572-2015，含2024年修改单）</w:t>
                  </w:r>
                  <w:r>
                    <w:rPr>
                      <w:rFonts w:hint="eastAsia" w:eastAsiaTheme="minorEastAsia"/>
                      <w:color w:val="auto"/>
                      <w:szCs w:val="21"/>
                      <w:highlight w:val="none"/>
                    </w:rPr>
                    <w:t>表4大气污染物排放限值</w:t>
                  </w:r>
                </w:p>
              </w:tc>
            </w:tr>
            <w:tr w14:paraId="2276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 w:type="pct"/>
                  <w:vMerge w:val="continue"/>
                  <w:vAlign w:val="center"/>
                </w:tcPr>
                <w:p w14:paraId="271E8AD0">
                  <w:pPr>
                    <w:adjustRightInd w:val="0"/>
                    <w:snapToGrid w:val="0"/>
                    <w:spacing w:line="280" w:lineRule="exact"/>
                    <w:jc w:val="center"/>
                    <w:rPr>
                      <w:rFonts w:hint="eastAsia" w:eastAsiaTheme="minorEastAsia"/>
                      <w:color w:val="auto"/>
                      <w:szCs w:val="21"/>
                      <w:highlight w:val="none"/>
                    </w:rPr>
                  </w:pPr>
                </w:p>
              </w:tc>
              <w:tc>
                <w:tcPr>
                  <w:tcW w:w="468" w:type="pct"/>
                  <w:vMerge w:val="continue"/>
                  <w:vAlign w:val="center"/>
                </w:tcPr>
                <w:p w14:paraId="2BA6ED06">
                  <w:pPr>
                    <w:adjustRightInd w:val="0"/>
                    <w:snapToGrid w:val="0"/>
                    <w:spacing w:line="280" w:lineRule="exact"/>
                    <w:jc w:val="center"/>
                    <w:rPr>
                      <w:rFonts w:hint="eastAsia" w:eastAsiaTheme="minorEastAsia"/>
                      <w:color w:val="auto"/>
                      <w:szCs w:val="21"/>
                      <w:highlight w:val="none"/>
                      <w:lang w:eastAsia="zh-CN"/>
                    </w:rPr>
                  </w:pPr>
                </w:p>
              </w:tc>
              <w:tc>
                <w:tcPr>
                  <w:tcW w:w="1268" w:type="pct"/>
                  <w:vAlign w:val="center"/>
                </w:tcPr>
                <w:p w14:paraId="1A1371A5">
                  <w:pPr>
                    <w:adjustRightInd w:val="0"/>
                    <w:snapToGrid w:val="0"/>
                    <w:spacing w:line="280" w:lineRule="exact"/>
                    <w:jc w:val="center"/>
                    <w:rPr>
                      <w:rFonts w:hint="default" w:eastAsiaTheme="minorEastAsia"/>
                      <w:color w:val="auto"/>
                      <w:szCs w:val="21"/>
                      <w:highlight w:val="none"/>
                      <w:lang w:val="en-US" w:eastAsia="zh-CN"/>
                    </w:rPr>
                  </w:pPr>
                  <w:r>
                    <w:rPr>
                      <w:rFonts w:hint="eastAsia" w:eastAsiaTheme="minorEastAsia"/>
                      <w:color w:val="auto"/>
                      <w:szCs w:val="21"/>
                      <w:highlight w:val="none"/>
                      <w:lang w:val="en-US" w:eastAsia="zh-CN"/>
                    </w:rPr>
                    <w:t>0.5kg/t（</w:t>
                  </w:r>
                  <w:r>
                    <w:rPr>
                      <w:rFonts w:hint="eastAsia" w:eastAsiaTheme="minorEastAsia"/>
                      <w:color w:val="auto"/>
                      <w:szCs w:val="21"/>
                      <w:highlight w:val="none"/>
                      <w:lang w:eastAsia="zh-CN"/>
                    </w:rPr>
                    <w:t>单位产品非甲烷总烃排放量</w:t>
                  </w:r>
                  <w:r>
                    <w:rPr>
                      <w:rFonts w:hint="eastAsia" w:eastAsiaTheme="minorEastAsia"/>
                      <w:color w:val="auto"/>
                      <w:szCs w:val="21"/>
                      <w:highlight w:val="none"/>
                      <w:lang w:val="en-US" w:eastAsia="zh-CN"/>
                    </w:rPr>
                    <w:t>）</w:t>
                  </w:r>
                </w:p>
              </w:tc>
              <w:tc>
                <w:tcPr>
                  <w:tcW w:w="1178" w:type="pct"/>
                  <w:vMerge w:val="continue"/>
                  <w:vAlign w:val="center"/>
                </w:tcPr>
                <w:p w14:paraId="33F8886C">
                  <w:pPr>
                    <w:adjustRightInd w:val="0"/>
                    <w:snapToGrid w:val="0"/>
                    <w:spacing w:line="280" w:lineRule="exact"/>
                    <w:jc w:val="center"/>
                    <w:rPr>
                      <w:rFonts w:eastAsiaTheme="minorEastAsia"/>
                      <w:color w:val="auto"/>
                      <w:szCs w:val="21"/>
                      <w:highlight w:val="none"/>
                    </w:rPr>
                  </w:pPr>
                </w:p>
              </w:tc>
              <w:tc>
                <w:tcPr>
                  <w:tcW w:w="1830" w:type="pct"/>
                  <w:vMerge w:val="continue"/>
                  <w:vAlign w:val="center"/>
                </w:tcPr>
                <w:p w14:paraId="032EFB2A">
                  <w:pPr>
                    <w:adjustRightInd w:val="0"/>
                    <w:snapToGrid w:val="0"/>
                    <w:spacing w:line="280" w:lineRule="exact"/>
                    <w:jc w:val="center"/>
                    <w:rPr>
                      <w:rFonts w:hint="eastAsia" w:eastAsiaTheme="minorEastAsia"/>
                      <w:color w:val="auto"/>
                      <w:szCs w:val="21"/>
                      <w:highlight w:val="none"/>
                      <w:lang w:eastAsia="zh-CN"/>
                    </w:rPr>
                  </w:pPr>
                </w:p>
              </w:tc>
            </w:tr>
            <w:tr w14:paraId="00E7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 w:type="pct"/>
                  <w:vMerge w:val="restart"/>
                  <w:vAlign w:val="center"/>
                </w:tcPr>
                <w:p w14:paraId="3FEB5C67">
                  <w:pPr>
                    <w:adjustRightInd w:val="0"/>
                    <w:snapToGrid w:val="0"/>
                    <w:spacing w:line="280" w:lineRule="exact"/>
                    <w:jc w:val="center"/>
                    <w:rPr>
                      <w:rFonts w:hint="eastAsia" w:eastAsiaTheme="minorEastAsia"/>
                      <w:color w:val="auto"/>
                      <w:szCs w:val="21"/>
                      <w:highlight w:val="none"/>
                      <w:lang w:val="en-US" w:eastAsia="zh-CN"/>
                    </w:rPr>
                  </w:pPr>
                  <w:r>
                    <w:rPr>
                      <w:rFonts w:hint="eastAsia" w:eastAsiaTheme="minorEastAsia"/>
                      <w:color w:val="auto"/>
                      <w:szCs w:val="21"/>
                      <w:highlight w:val="none"/>
                      <w:lang w:val="en-US" w:eastAsia="zh-CN"/>
                    </w:rPr>
                    <w:t>无组织</w:t>
                  </w:r>
                </w:p>
              </w:tc>
              <w:tc>
                <w:tcPr>
                  <w:tcW w:w="468" w:type="pct"/>
                  <w:vAlign w:val="center"/>
                </w:tcPr>
                <w:p w14:paraId="1CF5D8FC">
                  <w:pPr>
                    <w:adjustRightInd w:val="0"/>
                    <w:snapToGrid w:val="0"/>
                    <w:spacing w:line="280" w:lineRule="exact"/>
                    <w:jc w:val="center"/>
                    <w:rPr>
                      <w:rFonts w:hint="default" w:eastAsiaTheme="minorEastAsia"/>
                      <w:color w:val="auto"/>
                      <w:szCs w:val="21"/>
                      <w:highlight w:val="none"/>
                      <w:lang w:val="en-US" w:eastAsia="zh-CN"/>
                    </w:rPr>
                  </w:pPr>
                  <w:r>
                    <w:rPr>
                      <w:rFonts w:hint="eastAsia" w:eastAsiaTheme="minorEastAsia"/>
                      <w:color w:val="auto"/>
                      <w:szCs w:val="21"/>
                      <w:highlight w:val="none"/>
                      <w:lang w:val="en-US" w:eastAsia="zh-CN"/>
                    </w:rPr>
                    <w:t>TSP</w:t>
                  </w:r>
                </w:p>
              </w:tc>
              <w:tc>
                <w:tcPr>
                  <w:tcW w:w="1268" w:type="pct"/>
                  <w:vAlign w:val="center"/>
                </w:tcPr>
                <w:p w14:paraId="3719ABE7">
                  <w:pPr>
                    <w:adjustRightInd w:val="0"/>
                    <w:snapToGrid w:val="0"/>
                    <w:spacing w:line="280" w:lineRule="exact"/>
                    <w:jc w:val="center"/>
                    <w:rPr>
                      <w:rFonts w:hint="default" w:eastAsiaTheme="minorEastAsia"/>
                      <w:color w:val="auto"/>
                      <w:szCs w:val="21"/>
                      <w:highlight w:val="none"/>
                      <w:lang w:val="en-US" w:eastAsia="zh-CN"/>
                    </w:rPr>
                  </w:pPr>
                  <w:r>
                    <w:rPr>
                      <w:rFonts w:hint="eastAsia" w:eastAsiaTheme="minorEastAsia"/>
                      <w:color w:val="auto"/>
                      <w:szCs w:val="21"/>
                      <w:highlight w:val="none"/>
                      <w:lang w:val="en-US" w:eastAsia="zh-CN"/>
                    </w:rPr>
                    <w:t>1.0</w:t>
                  </w:r>
                  <w:r>
                    <w:rPr>
                      <w:rFonts w:hint="eastAsia" w:eastAsiaTheme="minorEastAsia"/>
                      <w:color w:val="auto"/>
                      <w:szCs w:val="21"/>
                      <w:highlight w:val="none"/>
                    </w:rPr>
                    <w:t>mg/m</w:t>
                  </w:r>
                  <w:r>
                    <w:rPr>
                      <w:rFonts w:hint="eastAsia" w:eastAsiaTheme="minorEastAsia"/>
                      <w:color w:val="auto"/>
                      <w:szCs w:val="21"/>
                      <w:highlight w:val="none"/>
                      <w:vertAlign w:val="superscript"/>
                    </w:rPr>
                    <w:t>3</w:t>
                  </w:r>
                </w:p>
              </w:tc>
              <w:tc>
                <w:tcPr>
                  <w:tcW w:w="1178" w:type="pct"/>
                  <w:vAlign w:val="center"/>
                </w:tcPr>
                <w:p w14:paraId="52EDCD64">
                  <w:pPr>
                    <w:adjustRightInd w:val="0"/>
                    <w:snapToGrid w:val="0"/>
                    <w:spacing w:line="280" w:lineRule="exact"/>
                    <w:jc w:val="center"/>
                    <w:rPr>
                      <w:rFonts w:hint="default" w:eastAsiaTheme="minorEastAsia"/>
                      <w:color w:val="auto"/>
                      <w:szCs w:val="21"/>
                      <w:highlight w:val="none"/>
                      <w:lang w:val="en-US" w:eastAsia="zh-CN"/>
                    </w:rPr>
                  </w:pPr>
                  <w:r>
                    <w:rPr>
                      <w:rFonts w:hint="eastAsia" w:eastAsiaTheme="minorEastAsia"/>
                      <w:color w:val="auto"/>
                      <w:szCs w:val="21"/>
                      <w:highlight w:val="none"/>
                      <w:lang w:val="en-US" w:eastAsia="zh-CN"/>
                    </w:rPr>
                    <w:t>企业边界</w:t>
                  </w:r>
                </w:p>
              </w:tc>
              <w:tc>
                <w:tcPr>
                  <w:tcW w:w="1830" w:type="pct"/>
                  <w:vAlign w:val="center"/>
                </w:tcPr>
                <w:p w14:paraId="451810F2">
                  <w:pPr>
                    <w:adjustRightInd w:val="0"/>
                    <w:snapToGrid w:val="0"/>
                    <w:spacing w:line="280" w:lineRule="exact"/>
                    <w:jc w:val="center"/>
                    <w:rPr>
                      <w:rFonts w:hint="eastAsia" w:eastAsiaTheme="minorEastAsia"/>
                      <w:color w:val="auto"/>
                      <w:szCs w:val="21"/>
                      <w:highlight w:val="none"/>
                      <w:lang w:eastAsia="zh-CN"/>
                    </w:rPr>
                  </w:pPr>
                  <w:r>
                    <w:rPr>
                      <w:rFonts w:hint="eastAsia"/>
                      <w:color w:val="auto"/>
                      <w:highlight w:val="none"/>
                      <w:lang w:eastAsia="zh-CN"/>
                    </w:rPr>
                    <w:t>《</w:t>
                  </w:r>
                  <w:r>
                    <w:rPr>
                      <w:rFonts w:hint="eastAsia" w:ascii="Times New Roman" w:hAnsi="Times New Roman" w:cs="Times New Roman"/>
                      <w:snapToGrid w:val="0"/>
                      <w:color w:val="auto"/>
                      <w:kern w:val="0"/>
                      <w:highlight w:val="none"/>
                      <w:lang w:eastAsia="zh-CN"/>
                    </w:rPr>
                    <w:t>合成树脂工业污染物排放标准》（GB31572-2015，含2024年修改单）</w:t>
                  </w:r>
                  <w:r>
                    <w:rPr>
                      <w:rFonts w:hint="eastAsia" w:ascii="Times New Roman" w:hAnsi="Times New Roman" w:cs="Times New Roman"/>
                      <w:snapToGrid w:val="0"/>
                      <w:color w:val="auto"/>
                      <w:kern w:val="0"/>
                      <w:highlight w:val="none"/>
                      <w:lang w:val="en-US" w:eastAsia="zh-CN"/>
                    </w:rPr>
                    <w:t>表9企业边界限值要求</w:t>
                  </w:r>
                </w:p>
              </w:tc>
            </w:tr>
            <w:tr w14:paraId="65697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 w:type="pct"/>
                  <w:vMerge w:val="continue"/>
                  <w:vAlign w:val="center"/>
                </w:tcPr>
                <w:p w14:paraId="4F19CBA1">
                  <w:pPr>
                    <w:adjustRightInd w:val="0"/>
                    <w:snapToGrid w:val="0"/>
                    <w:spacing w:line="280" w:lineRule="exact"/>
                    <w:jc w:val="center"/>
                    <w:rPr>
                      <w:rFonts w:hint="eastAsia" w:eastAsiaTheme="minorEastAsia"/>
                      <w:color w:val="auto"/>
                      <w:szCs w:val="21"/>
                      <w:highlight w:val="none"/>
                      <w:lang w:val="en-US" w:eastAsia="zh-CN"/>
                    </w:rPr>
                  </w:pPr>
                </w:p>
              </w:tc>
              <w:tc>
                <w:tcPr>
                  <w:tcW w:w="468" w:type="pct"/>
                  <w:vMerge w:val="restart"/>
                  <w:vAlign w:val="center"/>
                </w:tcPr>
                <w:p w14:paraId="578F854A">
                  <w:pPr>
                    <w:adjustRightInd w:val="0"/>
                    <w:snapToGrid w:val="0"/>
                    <w:spacing w:line="280" w:lineRule="exact"/>
                    <w:jc w:val="center"/>
                    <w:rPr>
                      <w:rFonts w:hint="default" w:eastAsiaTheme="minorEastAsia"/>
                      <w:color w:val="auto"/>
                      <w:szCs w:val="21"/>
                      <w:highlight w:val="none"/>
                      <w:lang w:val="en-US" w:eastAsia="zh-CN"/>
                    </w:rPr>
                  </w:pPr>
                  <w:r>
                    <w:rPr>
                      <w:rFonts w:hint="eastAsia" w:eastAsiaTheme="minorEastAsia"/>
                      <w:color w:val="auto"/>
                      <w:szCs w:val="21"/>
                      <w:highlight w:val="none"/>
                      <w:lang w:val="en-US" w:eastAsia="zh-CN"/>
                    </w:rPr>
                    <w:t>非甲烷总烃</w:t>
                  </w:r>
                </w:p>
              </w:tc>
              <w:tc>
                <w:tcPr>
                  <w:tcW w:w="1268" w:type="pct"/>
                  <w:vAlign w:val="center"/>
                </w:tcPr>
                <w:p w14:paraId="6A61F33C">
                  <w:pPr>
                    <w:adjustRightInd w:val="0"/>
                    <w:snapToGrid w:val="0"/>
                    <w:spacing w:line="280" w:lineRule="exact"/>
                    <w:jc w:val="center"/>
                    <w:rPr>
                      <w:rFonts w:eastAsiaTheme="minorEastAsia"/>
                      <w:color w:val="auto"/>
                      <w:szCs w:val="21"/>
                      <w:highlight w:val="none"/>
                    </w:rPr>
                  </w:pPr>
                  <w:r>
                    <w:rPr>
                      <w:rFonts w:hint="eastAsia" w:eastAsiaTheme="minorEastAsia"/>
                      <w:color w:val="auto"/>
                      <w:szCs w:val="21"/>
                      <w:highlight w:val="none"/>
                    </w:rPr>
                    <w:t>4.0mg/m</w:t>
                  </w:r>
                  <w:r>
                    <w:rPr>
                      <w:rFonts w:hint="eastAsia" w:eastAsiaTheme="minorEastAsia"/>
                      <w:color w:val="auto"/>
                      <w:szCs w:val="21"/>
                      <w:highlight w:val="none"/>
                      <w:vertAlign w:val="superscript"/>
                    </w:rPr>
                    <w:t>3</w:t>
                  </w:r>
                </w:p>
              </w:tc>
              <w:tc>
                <w:tcPr>
                  <w:tcW w:w="1178" w:type="pct"/>
                  <w:vAlign w:val="center"/>
                </w:tcPr>
                <w:p w14:paraId="02F35EE9">
                  <w:pPr>
                    <w:adjustRightInd w:val="0"/>
                    <w:snapToGrid w:val="0"/>
                    <w:spacing w:line="280" w:lineRule="exact"/>
                    <w:jc w:val="center"/>
                    <w:rPr>
                      <w:rFonts w:eastAsiaTheme="minorEastAsia"/>
                      <w:color w:val="auto"/>
                      <w:szCs w:val="21"/>
                      <w:highlight w:val="none"/>
                    </w:rPr>
                  </w:pPr>
                  <w:r>
                    <w:rPr>
                      <w:rFonts w:eastAsiaTheme="minorEastAsia"/>
                      <w:color w:val="auto"/>
                      <w:szCs w:val="21"/>
                      <w:highlight w:val="none"/>
                    </w:rPr>
                    <w:t>企业边界</w:t>
                  </w:r>
                </w:p>
              </w:tc>
              <w:tc>
                <w:tcPr>
                  <w:tcW w:w="1830" w:type="pct"/>
                  <w:vAlign w:val="center"/>
                </w:tcPr>
                <w:p w14:paraId="6F4AF566">
                  <w:pPr>
                    <w:adjustRightInd w:val="0"/>
                    <w:snapToGrid w:val="0"/>
                    <w:spacing w:line="280" w:lineRule="exact"/>
                    <w:jc w:val="center"/>
                    <w:rPr>
                      <w:rFonts w:eastAsiaTheme="minorEastAsia"/>
                      <w:color w:val="auto"/>
                      <w:szCs w:val="21"/>
                      <w:highlight w:val="none"/>
                    </w:rPr>
                  </w:pPr>
                  <w:r>
                    <w:rPr>
                      <w:rFonts w:hint="eastAsia" w:eastAsiaTheme="minorEastAsia"/>
                      <w:color w:val="auto"/>
                      <w:szCs w:val="21"/>
                      <w:highlight w:val="none"/>
                      <w:lang w:eastAsia="zh-CN"/>
                    </w:rPr>
                    <w:t>《合成树脂工业污染物排放标准》（GB31572-2015，含2024年修改单）</w:t>
                  </w:r>
                  <w:r>
                    <w:rPr>
                      <w:rFonts w:hint="eastAsia" w:eastAsiaTheme="minorEastAsia"/>
                      <w:color w:val="auto"/>
                      <w:szCs w:val="21"/>
                      <w:highlight w:val="none"/>
                    </w:rPr>
                    <w:t>表9企业边界大气污染物浓度限值。</w:t>
                  </w:r>
                </w:p>
              </w:tc>
            </w:tr>
            <w:tr w14:paraId="5B27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 w:type="pct"/>
                  <w:vMerge w:val="continue"/>
                  <w:vAlign w:val="center"/>
                </w:tcPr>
                <w:p w14:paraId="03232F8F">
                  <w:pPr>
                    <w:adjustRightInd w:val="0"/>
                    <w:snapToGrid w:val="0"/>
                    <w:spacing w:line="280" w:lineRule="exact"/>
                    <w:jc w:val="center"/>
                    <w:rPr>
                      <w:rFonts w:eastAsiaTheme="minorEastAsia"/>
                      <w:color w:val="auto"/>
                      <w:szCs w:val="21"/>
                      <w:highlight w:val="none"/>
                    </w:rPr>
                  </w:pPr>
                </w:p>
              </w:tc>
              <w:tc>
                <w:tcPr>
                  <w:tcW w:w="468" w:type="pct"/>
                  <w:vMerge w:val="continue"/>
                  <w:vAlign w:val="center"/>
                </w:tcPr>
                <w:p w14:paraId="55BE5516">
                  <w:pPr>
                    <w:adjustRightInd w:val="0"/>
                    <w:snapToGrid w:val="0"/>
                    <w:spacing w:line="280" w:lineRule="exact"/>
                    <w:jc w:val="center"/>
                    <w:rPr>
                      <w:rFonts w:eastAsiaTheme="minorEastAsia"/>
                      <w:color w:val="auto"/>
                      <w:szCs w:val="21"/>
                      <w:highlight w:val="none"/>
                    </w:rPr>
                  </w:pPr>
                </w:p>
              </w:tc>
              <w:tc>
                <w:tcPr>
                  <w:tcW w:w="1268" w:type="pct"/>
                  <w:vAlign w:val="center"/>
                </w:tcPr>
                <w:p w14:paraId="3A5BB6B9">
                  <w:pPr>
                    <w:widowControl w:val="0"/>
                    <w:adjustRightInd/>
                    <w:snapToGrid/>
                    <w:spacing w:after="0"/>
                    <w:jc w:val="center"/>
                    <w:rPr>
                      <w:rFonts w:eastAsiaTheme="minorEastAsia"/>
                      <w:color w:val="auto"/>
                      <w:szCs w:val="21"/>
                      <w:highlight w:val="none"/>
                    </w:rPr>
                  </w:pPr>
                  <w:r>
                    <w:rPr>
                      <w:rFonts w:ascii="Times New Roman" w:hAnsi="Times New Roman" w:eastAsiaTheme="minorEastAsia"/>
                      <w:color w:val="auto"/>
                      <w:sz w:val="21"/>
                      <w:szCs w:val="21"/>
                    </w:rPr>
                    <w:t>10</w:t>
                  </w:r>
                  <w:r>
                    <w:rPr>
                      <w:rFonts w:ascii="Times New Roman" w:hAnsiTheme="minorEastAsia" w:eastAsiaTheme="minorEastAsia"/>
                      <w:color w:val="auto"/>
                      <w:sz w:val="21"/>
                      <w:szCs w:val="21"/>
                    </w:rPr>
                    <w:t>（</w:t>
                  </w:r>
                  <w:r>
                    <w:rPr>
                      <w:rFonts w:ascii="Times New Roman" w:hAnsi="Times New Roman" w:eastAsiaTheme="minorEastAsia"/>
                      <w:color w:val="auto"/>
                      <w:sz w:val="21"/>
                      <w:szCs w:val="21"/>
                    </w:rPr>
                    <w:t>1h</w:t>
                  </w:r>
                  <w:r>
                    <w:rPr>
                      <w:rFonts w:ascii="Times New Roman" w:hAnsiTheme="minorEastAsia" w:eastAsiaTheme="minorEastAsia"/>
                      <w:color w:val="auto"/>
                      <w:sz w:val="21"/>
                      <w:szCs w:val="21"/>
                    </w:rPr>
                    <w:t>浓度）</w:t>
                  </w:r>
                </w:p>
              </w:tc>
              <w:tc>
                <w:tcPr>
                  <w:tcW w:w="1178" w:type="pct"/>
                  <w:vMerge w:val="restart"/>
                  <w:vAlign w:val="center"/>
                </w:tcPr>
                <w:p w14:paraId="029317F5">
                  <w:pPr>
                    <w:adjustRightInd w:val="0"/>
                    <w:snapToGrid w:val="0"/>
                    <w:spacing w:line="280" w:lineRule="exact"/>
                    <w:jc w:val="center"/>
                    <w:rPr>
                      <w:rFonts w:hint="eastAsia" w:eastAsiaTheme="minorEastAsia"/>
                      <w:color w:val="auto"/>
                      <w:szCs w:val="21"/>
                      <w:highlight w:val="none"/>
                      <w:lang w:eastAsia="zh-CN"/>
                    </w:rPr>
                  </w:pPr>
                  <w:r>
                    <w:rPr>
                      <w:rFonts w:hint="eastAsia" w:eastAsiaTheme="minorEastAsia"/>
                      <w:color w:val="auto"/>
                      <w:szCs w:val="21"/>
                      <w:highlight w:val="none"/>
                      <w:lang w:eastAsia="zh-CN"/>
                    </w:rPr>
                    <w:t>厂区内</w:t>
                  </w:r>
                </w:p>
              </w:tc>
              <w:tc>
                <w:tcPr>
                  <w:tcW w:w="1830" w:type="pct"/>
                  <w:vMerge w:val="restart"/>
                  <w:vAlign w:val="center"/>
                </w:tcPr>
                <w:p w14:paraId="5F03AF93">
                  <w:pPr>
                    <w:adjustRightInd w:val="0"/>
                    <w:snapToGrid w:val="0"/>
                    <w:spacing w:line="280" w:lineRule="exact"/>
                    <w:jc w:val="center"/>
                    <w:rPr>
                      <w:rFonts w:hint="eastAsia" w:eastAsiaTheme="minorEastAsia"/>
                      <w:color w:val="auto"/>
                      <w:szCs w:val="21"/>
                      <w:highlight w:val="none"/>
                    </w:rPr>
                  </w:pPr>
                  <w:r>
                    <w:rPr>
                      <w:rFonts w:hint="eastAsia" w:eastAsiaTheme="minorEastAsia"/>
                      <w:color w:val="auto"/>
                      <w:szCs w:val="21"/>
                      <w:highlight w:val="none"/>
                    </w:rPr>
                    <w:t>《挥发性有机物无组织排放控制标准》</w:t>
                  </w:r>
                  <w:r>
                    <w:rPr>
                      <w:rFonts w:hint="eastAsia" w:eastAsiaTheme="minorEastAsia"/>
                      <w:color w:val="auto"/>
                      <w:szCs w:val="21"/>
                      <w:highlight w:val="none"/>
                      <w:lang w:eastAsia="zh-CN"/>
                    </w:rPr>
                    <w:t>（</w:t>
                  </w:r>
                  <w:r>
                    <w:rPr>
                      <w:rFonts w:hint="eastAsia" w:eastAsiaTheme="minorEastAsia"/>
                      <w:color w:val="auto"/>
                      <w:szCs w:val="21"/>
                      <w:highlight w:val="none"/>
                    </w:rPr>
                    <w:t>GB37822-2019</w:t>
                  </w:r>
                  <w:r>
                    <w:rPr>
                      <w:rFonts w:hint="eastAsia" w:eastAsiaTheme="minorEastAsia"/>
                      <w:color w:val="auto"/>
                      <w:szCs w:val="21"/>
                      <w:highlight w:val="none"/>
                      <w:lang w:eastAsia="zh-CN"/>
                    </w:rPr>
                    <w:t>）</w:t>
                  </w:r>
                  <w:r>
                    <w:rPr>
                      <w:rFonts w:hint="eastAsia" w:eastAsiaTheme="minorEastAsia"/>
                      <w:color w:val="auto"/>
                      <w:szCs w:val="21"/>
                      <w:highlight w:val="none"/>
                    </w:rPr>
                    <w:t>中非甲烷总烃无组织排放限值。</w:t>
                  </w:r>
                </w:p>
              </w:tc>
            </w:tr>
            <w:tr w14:paraId="7F7B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 w:type="pct"/>
                  <w:vMerge w:val="continue"/>
                  <w:vAlign w:val="center"/>
                </w:tcPr>
                <w:p w14:paraId="0F62E624">
                  <w:pPr>
                    <w:adjustRightInd w:val="0"/>
                    <w:snapToGrid w:val="0"/>
                    <w:spacing w:line="280" w:lineRule="exact"/>
                    <w:jc w:val="center"/>
                    <w:rPr>
                      <w:rFonts w:eastAsiaTheme="minorEastAsia"/>
                      <w:color w:val="auto"/>
                      <w:szCs w:val="21"/>
                      <w:highlight w:val="none"/>
                    </w:rPr>
                  </w:pPr>
                </w:p>
              </w:tc>
              <w:tc>
                <w:tcPr>
                  <w:tcW w:w="468" w:type="pct"/>
                  <w:vMerge w:val="continue"/>
                  <w:vAlign w:val="center"/>
                </w:tcPr>
                <w:p w14:paraId="08403CF6">
                  <w:pPr>
                    <w:adjustRightInd w:val="0"/>
                    <w:snapToGrid w:val="0"/>
                    <w:spacing w:line="280" w:lineRule="exact"/>
                    <w:jc w:val="center"/>
                    <w:rPr>
                      <w:rFonts w:eastAsiaTheme="minorEastAsia"/>
                      <w:color w:val="auto"/>
                      <w:szCs w:val="21"/>
                      <w:highlight w:val="none"/>
                    </w:rPr>
                  </w:pPr>
                </w:p>
              </w:tc>
              <w:tc>
                <w:tcPr>
                  <w:tcW w:w="1268" w:type="pct"/>
                  <w:vAlign w:val="center"/>
                </w:tcPr>
                <w:p w14:paraId="39CF0BEC">
                  <w:pPr>
                    <w:widowControl w:val="0"/>
                    <w:adjustRightInd/>
                    <w:snapToGrid/>
                    <w:spacing w:after="0"/>
                    <w:jc w:val="center"/>
                    <w:rPr>
                      <w:rFonts w:eastAsiaTheme="minorEastAsia"/>
                      <w:color w:val="auto"/>
                      <w:szCs w:val="21"/>
                      <w:highlight w:val="none"/>
                    </w:rPr>
                  </w:pPr>
                  <w:r>
                    <w:rPr>
                      <w:rFonts w:ascii="Times New Roman" w:hAnsi="Times New Roman" w:eastAsiaTheme="minorEastAsia"/>
                      <w:color w:val="auto"/>
                      <w:sz w:val="21"/>
                      <w:szCs w:val="21"/>
                    </w:rPr>
                    <w:t>30</w:t>
                  </w:r>
                  <w:r>
                    <w:rPr>
                      <w:rFonts w:ascii="Times New Roman" w:hAnsiTheme="minorEastAsia" w:eastAsiaTheme="minorEastAsia"/>
                      <w:color w:val="auto"/>
                      <w:sz w:val="21"/>
                      <w:szCs w:val="21"/>
                    </w:rPr>
                    <w:t>（任意一次浓度值）</w:t>
                  </w:r>
                </w:p>
              </w:tc>
              <w:tc>
                <w:tcPr>
                  <w:tcW w:w="1178" w:type="pct"/>
                  <w:vMerge w:val="continue"/>
                  <w:vAlign w:val="center"/>
                </w:tcPr>
                <w:p w14:paraId="26BADD8E">
                  <w:pPr>
                    <w:adjustRightInd w:val="0"/>
                    <w:snapToGrid w:val="0"/>
                    <w:spacing w:line="280" w:lineRule="exact"/>
                    <w:jc w:val="center"/>
                    <w:rPr>
                      <w:rFonts w:eastAsiaTheme="minorEastAsia"/>
                      <w:color w:val="auto"/>
                      <w:szCs w:val="21"/>
                      <w:highlight w:val="none"/>
                    </w:rPr>
                  </w:pPr>
                </w:p>
              </w:tc>
              <w:tc>
                <w:tcPr>
                  <w:tcW w:w="1830" w:type="pct"/>
                  <w:vMerge w:val="continue"/>
                  <w:vAlign w:val="center"/>
                </w:tcPr>
                <w:p w14:paraId="04C45978">
                  <w:pPr>
                    <w:adjustRightInd w:val="0"/>
                    <w:snapToGrid w:val="0"/>
                    <w:spacing w:line="280" w:lineRule="exact"/>
                    <w:jc w:val="center"/>
                    <w:rPr>
                      <w:rFonts w:hint="eastAsia" w:eastAsiaTheme="minorEastAsia"/>
                      <w:color w:val="auto"/>
                      <w:szCs w:val="21"/>
                      <w:highlight w:val="none"/>
                    </w:rPr>
                  </w:pPr>
                </w:p>
              </w:tc>
            </w:tr>
          </w:tbl>
          <w:p w14:paraId="65B2D0F3">
            <w:pPr>
              <w:topLinePunct/>
              <w:spacing w:line="500" w:lineRule="exact"/>
              <w:jc w:val="left"/>
              <w:rPr>
                <w:rFonts w:eastAsiaTheme="minorEastAsia"/>
                <w:b/>
                <w:color w:val="auto"/>
                <w:sz w:val="24"/>
                <w:highlight w:val="none"/>
              </w:rPr>
            </w:pPr>
            <w:r>
              <w:rPr>
                <w:rFonts w:hint="eastAsia" w:hAnsiTheme="minorEastAsia" w:eastAsiaTheme="minorEastAsia"/>
                <w:b/>
                <w:color w:val="auto"/>
                <w:sz w:val="24"/>
                <w:highlight w:val="none"/>
              </w:rPr>
              <w:t>2、废水</w:t>
            </w:r>
          </w:p>
          <w:p w14:paraId="5DEC9AC5">
            <w:pPr>
              <w:spacing w:line="500" w:lineRule="exact"/>
              <w:ind w:firstLine="480" w:firstLineChars="200"/>
              <w:rPr>
                <w:color w:val="auto"/>
                <w:sz w:val="24"/>
                <w:highlight w:val="none"/>
              </w:rPr>
            </w:pPr>
            <w:r>
              <w:rPr>
                <w:rFonts w:hAnsiTheme="minorEastAsia"/>
                <w:color w:val="auto"/>
                <w:sz w:val="24"/>
                <w:highlight w:val="none"/>
              </w:rPr>
              <w:t>生活污水</w:t>
            </w:r>
            <w:r>
              <w:rPr>
                <w:rFonts w:hint="eastAsia" w:hAnsiTheme="minorEastAsia"/>
                <w:color w:val="auto"/>
                <w:sz w:val="24"/>
                <w:highlight w:val="none"/>
              </w:rPr>
              <w:t>排入污水管网，最终进入</w:t>
            </w:r>
            <w:r>
              <w:rPr>
                <w:rFonts w:hint="eastAsia" w:hAnsiTheme="minorEastAsia"/>
                <w:color w:val="auto"/>
                <w:sz w:val="24"/>
                <w:highlight w:val="none"/>
                <w:lang w:val="en-US" w:eastAsia="zh-CN"/>
              </w:rPr>
              <w:t>和静</w:t>
            </w:r>
            <w:r>
              <w:rPr>
                <w:rFonts w:hint="eastAsia" w:hAnsiTheme="minorEastAsia"/>
                <w:color w:val="auto"/>
                <w:sz w:val="24"/>
                <w:highlight w:val="none"/>
              </w:rPr>
              <w:t>县城</w:t>
            </w:r>
            <w:r>
              <w:rPr>
                <w:rFonts w:hint="eastAsia" w:hAnsiTheme="minorEastAsia"/>
                <w:color w:val="auto"/>
                <w:sz w:val="24"/>
                <w:highlight w:val="none"/>
                <w:lang w:val="en-US" w:eastAsia="zh-CN"/>
              </w:rPr>
              <w:t>镇</w:t>
            </w:r>
            <w:r>
              <w:rPr>
                <w:rFonts w:hint="eastAsia" w:hAnsiTheme="minorEastAsia"/>
                <w:color w:val="auto"/>
                <w:sz w:val="24"/>
                <w:highlight w:val="none"/>
              </w:rPr>
              <w:t>污水处理厂处理，执行《污水综合排放标准》</w:t>
            </w:r>
            <w:r>
              <w:rPr>
                <w:rFonts w:hint="eastAsia" w:hAnsiTheme="minorEastAsia"/>
                <w:color w:val="auto"/>
                <w:sz w:val="24"/>
                <w:highlight w:val="none"/>
                <w:lang w:eastAsia="zh-CN"/>
              </w:rPr>
              <w:t>（</w:t>
            </w:r>
            <w:r>
              <w:rPr>
                <w:rFonts w:hint="eastAsia" w:hAnsiTheme="minorEastAsia"/>
                <w:color w:val="auto"/>
                <w:sz w:val="24"/>
                <w:highlight w:val="none"/>
              </w:rPr>
              <w:t>GB8978-1996</w:t>
            </w:r>
            <w:r>
              <w:rPr>
                <w:rFonts w:hint="eastAsia" w:hAnsiTheme="minorEastAsia"/>
                <w:color w:val="auto"/>
                <w:sz w:val="24"/>
                <w:highlight w:val="none"/>
                <w:lang w:eastAsia="zh-CN"/>
              </w:rPr>
              <w:t>）</w:t>
            </w:r>
            <w:r>
              <w:rPr>
                <w:rFonts w:hint="eastAsia" w:hAnsiTheme="minorEastAsia"/>
                <w:color w:val="auto"/>
                <w:sz w:val="24"/>
                <w:highlight w:val="none"/>
              </w:rPr>
              <w:t>表4中的三级标准</w:t>
            </w:r>
            <w:r>
              <w:rPr>
                <w:rFonts w:hAnsiTheme="minorEastAsia"/>
                <w:color w:val="auto"/>
                <w:sz w:val="24"/>
                <w:highlight w:val="none"/>
              </w:rPr>
              <w:t>。</w:t>
            </w:r>
          </w:p>
          <w:p w14:paraId="5BF6B2BC">
            <w:pPr>
              <w:tabs>
                <w:tab w:val="left" w:pos="1282"/>
              </w:tabs>
              <w:spacing w:line="500" w:lineRule="exact"/>
              <w:jc w:val="center"/>
              <w:rPr>
                <w:rFonts w:eastAsiaTheme="minorEastAsia"/>
                <w:b/>
                <w:color w:val="auto"/>
                <w:szCs w:val="21"/>
                <w:highlight w:val="none"/>
              </w:rPr>
            </w:pPr>
            <w:r>
              <w:rPr>
                <w:rFonts w:hint="eastAsia" w:hAnsiTheme="minorEastAsia" w:eastAsiaTheme="minorEastAsia"/>
                <w:b/>
                <w:color w:val="auto"/>
                <w:szCs w:val="21"/>
                <w:highlight w:val="none"/>
                <w:lang w:val="en-US" w:eastAsia="zh-CN"/>
              </w:rPr>
              <w:t>2-5</w:t>
            </w:r>
            <w:r>
              <w:rPr>
                <w:rFonts w:eastAsiaTheme="minorEastAsia"/>
                <w:b/>
                <w:color w:val="auto"/>
                <w:szCs w:val="21"/>
                <w:highlight w:val="none"/>
              </w:rPr>
              <w:t xml:space="preserve">       </w:t>
            </w:r>
            <w:r>
              <w:rPr>
                <w:rFonts w:hAnsiTheme="minorEastAsia" w:eastAsiaTheme="minorEastAsia"/>
                <w:b/>
                <w:color w:val="auto"/>
                <w:szCs w:val="21"/>
                <w:highlight w:val="none"/>
              </w:rPr>
              <w:t>《污水综合排放标准》（</w:t>
            </w:r>
            <w:r>
              <w:rPr>
                <w:rFonts w:eastAsiaTheme="minorEastAsia"/>
                <w:b/>
                <w:color w:val="auto"/>
                <w:szCs w:val="21"/>
                <w:highlight w:val="none"/>
              </w:rPr>
              <w:t>GB8978-1996</w:t>
            </w:r>
            <w:r>
              <w:rPr>
                <w:rFonts w:hAnsiTheme="minorEastAsia" w:eastAsiaTheme="minorEastAsia"/>
                <w:b/>
                <w:color w:val="auto"/>
                <w:szCs w:val="21"/>
                <w:highlight w:val="none"/>
              </w:rPr>
              <w:t>）</w:t>
            </w:r>
            <w:r>
              <w:rPr>
                <w:rFonts w:hint="eastAsia" w:hAnsiTheme="minorEastAsia" w:eastAsiaTheme="minorEastAsia"/>
                <w:b/>
                <w:color w:val="auto"/>
                <w:szCs w:val="21"/>
                <w:highlight w:val="none"/>
              </w:rPr>
              <w:t>三</w:t>
            </w:r>
            <w:r>
              <w:rPr>
                <w:rFonts w:hAnsiTheme="minorEastAsia" w:eastAsiaTheme="minorEastAsia"/>
                <w:b/>
                <w:color w:val="auto"/>
                <w:szCs w:val="21"/>
                <w:highlight w:val="none"/>
              </w:rPr>
              <w:t>级标准</w:t>
            </w:r>
          </w:p>
          <w:tbl>
            <w:tblPr>
              <w:tblStyle w:val="34"/>
              <w:tblW w:w="8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40"/>
              <w:gridCol w:w="1899"/>
              <w:gridCol w:w="2700"/>
              <w:gridCol w:w="2460"/>
            </w:tblGrid>
            <w:tr w14:paraId="7A1B9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35" w:type="pct"/>
                  <w:gridSpan w:val="3"/>
                  <w:vAlign w:val="center"/>
                </w:tcPr>
                <w:p w14:paraId="06EC1A41">
                  <w:pPr>
                    <w:pStyle w:val="29"/>
                    <w:widowControl w:val="0"/>
                    <w:adjustRightInd w:val="0"/>
                    <w:snapToGrid w:val="0"/>
                    <w:spacing w:before="0" w:beforeAutospacing="0" w:after="0" w:afterAutospacing="0" w:line="300" w:lineRule="atLeast"/>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污染因子及其标准值</w:t>
                  </w:r>
                </w:p>
              </w:tc>
              <w:tc>
                <w:tcPr>
                  <w:tcW w:w="1464" w:type="pct"/>
                  <w:vMerge w:val="restart"/>
                  <w:vAlign w:val="center"/>
                </w:tcPr>
                <w:p w14:paraId="44F3E44E">
                  <w:pPr>
                    <w:pStyle w:val="29"/>
                    <w:widowControl w:val="0"/>
                    <w:adjustRightInd w:val="0"/>
                    <w:snapToGrid w:val="0"/>
                    <w:spacing w:before="0" w:beforeAutospacing="0" w:after="0" w:afterAutospacing="0" w:line="300" w:lineRule="atLeast"/>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标准名称及级</w:t>
                  </w:r>
                </w:p>
                <w:p w14:paraId="13F2E8F9">
                  <w:pPr>
                    <w:pStyle w:val="29"/>
                    <w:widowControl w:val="0"/>
                    <w:adjustRightInd w:val="0"/>
                    <w:snapToGrid w:val="0"/>
                    <w:spacing w:before="0" w:beforeAutospacing="0" w:after="0" w:afterAutospacing="0" w:line="300" w:lineRule="atLeast"/>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（类）别</w:t>
                  </w:r>
                </w:p>
              </w:tc>
            </w:tr>
            <w:tr w14:paraId="071C2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28" w:type="pct"/>
                  <w:gridSpan w:val="2"/>
                  <w:vAlign w:val="center"/>
                </w:tcPr>
                <w:p w14:paraId="0AFD07F0">
                  <w:pPr>
                    <w:pStyle w:val="29"/>
                    <w:widowControl w:val="0"/>
                    <w:adjustRightInd w:val="0"/>
                    <w:snapToGrid w:val="0"/>
                    <w:spacing w:before="0" w:beforeAutospacing="0" w:after="0" w:afterAutospacing="0" w:line="300" w:lineRule="atLeast"/>
                    <w:jc w:val="center"/>
                    <w:rPr>
                      <w:rFonts w:ascii="Times New Roman" w:hAnsi="Times New Roman" w:eastAsiaTheme="minorEastAsia"/>
                      <w:color w:val="auto"/>
                      <w:sz w:val="21"/>
                      <w:szCs w:val="21"/>
                      <w:highlight w:val="none"/>
                    </w:rPr>
                  </w:pPr>
                  <w:r>
                    <w:rPr>
                      <w:rFonts w:ascii="Times New Roman" w:hAnsiTheme="minorEastAsia" w:eastAsiaTheme="minorEastAsia"/>
                      <w:color w:val="auto"/>
                      <w:sz w:val="21"/>
                      <w:szCs w:val="21"/>
                      <w:highlight w:val="none"/>
                    </w:rPr>
                    <w:t>污染因子</w:t>
                  </w:r>
                </w:p>
              </w:tc>
              <w:tc>
                <w:tcPr>
                  <w:tcW w:w="1607" w:type="pct"/>
                  <w:vAlign w:val="center"/>
                </w:tcPr>
                <w:p w14:paraId="4A20DF3E">
                  <w:pPr>
                    <w:pStyle w:val="29"/>
                    <w:widowControl w:val="0"/>
                    <w:adjustRightInd w:val="0"/>
                    <w:snapToGrid w:val="0"/>
                    <w:spacing w:before="0" w:beforeAutospacing="0" w:after="0" w:afterAutospacing="0" w:line="300" w:lineRule="atLeast"/>
                    <w:jc w:val="center"/>
                    <w:rPr>
                      <w:rFonts w:ascii="Times New Roman" w:hAnsi="Times New Roman" w:eastAsiaTheme="minorEastAsia"/>
                      <w:color w:val="auto"/>
                      <w:sz w:val="21"/>
                      <w:szCs w:val="21"/>
                      <w:highlight w:val="none"/>
                    </w:rPr>
                  </w:pPr>
                  <w:r>
                    <w:rPr>
                      <w:rFonts w:ascii="Times New Roman" w:hAnsiTheme="minorEastAsia" w:eastAsiaTheme="minorEastAsia"/>
                      <w:color w:val="auto"/>
                      <w:sz w:val="21"/>
                      <w:szCs w:val="21"/>
                      <w:highlight w:val="none"/>
                    </w:rPr>
                    <w:t>污染物排放限值（</w:t>
                  </w:r>
                  <w:r>
                    <w:rPr>
                      <w:rFonts w:ascii="Times New Roman" w:hAnsi="Times New Roman" w:eastAsiaTheme="minorEastAsia"/>
                      <w:color w:val="auto"/>
                      <w:sz w:val="21"/>
                      <w:szCs w:val="21"/>
                      <w:highlight w:val="none"/>
                    </w:rPr>
                    <w:t>mg/L</w:t>
                  </w:r>
                  <w:r>
                    <w:rPr>
                      <w:rFonts w:ascii="Times New Roman" w:hAnsiTheme="minorEastAsia" w:eastAsiaTheme="minorEastAsia"/>
                      <w:color w:val="auto"/>
                      <w:sz w:val="21"/>
                      <w:szCs w:val="21"/>
                      <w:highlight w:val="none"/>
                    </w:rPr>
                    <w:t>）</w:t>
                  </w:r>
                </w:p>
              </w:tc>
              <w:tc>
                <w:tcPr>
                  <w:tcW w:w="1464" w:type="pct"/>
                  <w:vMerge w:val="continue"/>
                  <w:vAlign w:val="center"/>
                </w:tcPr>
                <w:p w14:paraId="51CDBDF3">
                  <w:pPr>
                    <w:adjustRightInd w:val="0"/>
                    <w:snapToGrid w:val="0"/>
                    <w:spacing w:line="300" w:lineRule="atLeast"/>
                    <w:rPr>
                      <w:rFonts w:eastAsiaTheme="minorEastAsia"/>
                      <w:color w:val="auto"/>
                      <w:szCs w:val="21"/>
                      <w:highlight w:val="none"/>
                    </w:rPr>
                  </w:pPr>
                </w:p>
              </w:tc>
            </w:tr>
            <w:tr w14:paraId="7C35F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98" w:type="pct"/>
                  <w:vMerge w:val="restart"/>
                  <w:vAlign w:val="center"/>
                </w:tcPr>
                <w:p w14:paraId="1EB85A26">
                  <w:pPr>
                    <w:pStyle w:val="29"/>
                    <w:widowControl w:val="0"/>
                    <w:adjustRightInd w:val="0"/>
                    <w:snapToGrid w:val="0"/>
                    <w:spacing w:before="0" w:beforeAutospacing="0" w:after="0" w:afterAutospacing="0" w:line="300" w:lineRule="atLeast"/>
                    <w:jc w:val="center"/>
                    <w:rPr>
                      <w:rFonts w:ascii="Times New Roman" w:hAnsi="Times New Roman" w:eastAsiaTheme="minorEastAsia"/>
                      <w:color w:val="auto"/>
                      <w:sz w:val="21"/>
                      <w:szCs w:val="21"/>
                      <w:highlight w:val="none"/>
                    </w:rPr>
                  </w:pPr>
                  <w:r>
                    <w:rPr>
                      <w:rFonts w:ascii="Times New Roman" w:hAnsiTheme="minorEastAsia" w:eastAsiaTheme="minorEastAsia"/>
                      <w:color w:val="auto"/>
                      <w:sz w:val="21"/>
                      <w:szCs w:val="21"/>
                      <w:highlight w:val="none"/>
                    </w:rPr>
                    <w:t>生活污水</w:t>
                  </w:r>
                </w:p>
              </w:tc>
              <w:tc>
                <w:tcPr>
                  <w:tcW w:w="1129" w:type="pct"/>
                  <w:vAlign w:val="center"/>
                </w:tcPr>
                <w:p w14:paraId="21E0B309">
                  <w:pPr>
                    <w:pStyle w:val="29"/>
                    <w:widowControl w:val="0"/>
                    <w:adjustRightInd w:val="0"/>
                    <w:snapToGrid w:val="0"/>
                    <w:spacing w:before="0" w:beforeAutospacing="0" w:after="0" w:afterAutospacing="0" w:line="300" w:lineRule="atLeast"/>
                    <w:jc w:val="center"/>
                    <w:rPr>
                      <w:rFonts w:ascii="Times New Roman" w:hAnsi="Times New Roman" w:eastAsiaTheme="minorEastAsia"/>
                      <w:color w:val="auto"/>
                      <w:sz w:val="21"/>
                      <w:szCs w:val="21"/>
                      <w:highlight w:val="none"/>
                    </w:rPr>
                  </w:pPr>
                  <w:r>
                    <w:rPr>
                      <w:rFonts w:ascii="Times New Roman" w:hAnsi="Times New Roman" w:eastAsiaTheme="minorEastAsia"/>
                      <w:color w:val="auto"/>
                      <w:sz w:val="21"/>
                      <w:szCs w:val="21"/>
                      <w:highlight w:val="none"/>
                    </w:rPr>
                    <w:t>pH</w:t>
                  </w:r>
                  <w:r>
                    <w:rPr>
                      <w:rFonts w:ascii="Times New Roman" w:hAnsiTheme="minorEastAsia" w:eastAsiaTheme="minorEastAsia"/>
                      <w:color w:val="auto"/>
                      <w:sz w:val="21"/>
                      <w:szCs w:val="21"/>
                      <w:highlight w:val="none"/>
                    </w:rPr>
                    <w:t>值</w:t>
                  </w:r>
                </w:p>
              </w:tc>
              <w:tc>
                <w:tcPr>
                  <w:tcW w:w="1607" w:type="pct"/>
                  <w:vAlign w:val="center"/>
                </w:tcPr>
                <w:p w14:paraId="30EB1475">
                  <w:pPr>
                    <w:pStyle w:val="29"/>
                    <w:widowControl w:val="0"/>
                    <w:adjustRightInd w:val="0"/>
                    <w:snapToGrid w:val="0"/>
                    <w:spacing w:before="0" w:beforeAutospacing="0" w:after="0" w:afterAutospacing="0" w:line="300" w:lineRule="atLeast"/>
                    <w:jc w:val="center"/>
                    <w:rPr>
                      <w:rFonts w:ascii="Times New Roman" w:hAnsi="Times New Roman" w:eastAsiaTheme="minorEastAsia"/>
                      <w:color w:val="auto"/>
                      <w:sz w:val="21"/>
                      <w:szCs w:val="21"/>
                      <w:highlight w:val="none"/>
                    </w:rPr>
                  </w:pPr>
                  <w:r>
                    <w:rPr>
                      <w:rFonts w:ascii="Times New Roman" w:hAnsi="Times New Roman" w:eastAsiaTheme="minorEastAsia"/>
                      <w:color w:val="auto"/>
                      <w:sz w:val="21"/>
                      <w:szCs w:val="21"/>
                      <w:highlight w:val="none"/>
                    </w:rPr>
                    <w:t>6</w:t>
                  </w:r>
                  <w:r>
                    <w:rPr>
                      <w:rFonts w:ascii="Times New Roman" w:hAnsiTheme="minorEastAsia" w:eastAsiaTheme="minorEastAsia"/>
                      <w:color w:val="auto"/>
                      <w:sz w:val="21"/>
                      <w:szCs w:val="21"/>
                      <w:highlight w:val="none"/>
                    </w:rPr>
                    <w:t>～</w:t>
                  </w:r>
                  <w:r>
                    <w:rPr>
                      <w:rFonts w:ascii="Times New Roman" w:hAnsi="Times New Roman" w:eastAsiaTheme="minorEastAsia"/>
                      <w:color w:val="auto"/>
                      <w:sz w:val="21"/>
                      <w:szCs w:val="21"/>
                      <w:highlight w:val="none"/>
                    </w:rPr>
                    <w:t>9</w:t>
                  </w:r>
                </w:p>
              </w:tc>
              <w:tc>
                <w:tcPr>
                  <w:tcW w:w="1464" w:type="pct"/>
                  <w:vMerge w:val="restart"/>
                  <w:vAlign w:val="center"/>
                </w:tcPr>
                <w:p w14:paraId="184A810B">
                  <w:pPr>
                    <w:pStyle w:val="29"/>
                    <w:widowControl w:val="0"/>
                    <w:adjustRightInd w:val="0"/>
                    <w:snapToGrid w:val="0"/>
                    <w:spacing w:before="0" w:beforeAutospacing="0" w:after="0" w:afterAutospacing="0" w:line="300" w:lineRule="atLeast"/>
                    <w:jc w:val="center"/>
                    <w:rPr>
                      <w:rFonts w:ascii="Times New Roman" w:hAnsi="Times New Roman" w:eastAsiaTheme="minorEastAsia"/>
                      <w:color w:val="auto"/>
                      <w:sz w:val="21"/>
                      <w:szCs w:val="21"/>
                      <w:highlight w:val="none"/>
                    </w:rPr>
                  </w:pPr>
                  <w:r>
                    <w:rPr>
                      <w:rFonts w:ascii="Times New Roman" w:hAnsiTheme="minorEastAsia" w:eastAsiaTheme="minorEastAsia"/>
                      <w:color w:val="auto"/>
                      <w:spacing w:val="-2"/>
                      <w:sz w:val="21"/>
                      <w:szCs w:val="21"/>
                      <w:highlight w:val="none"/>
                    </w:rPr>
                    <w:t>《污水综合排放标准》</w:t>
                  </w:r>
                </w:p>
                <w:p w14:paraId="7BD9C48A">
                  <w:pPr>
                    <w:pStyle w:val="29"/>
                    <w:widowControl w:val="0"/>
                    <w:adjustRightInd w:val="0"/>
                    <w:snapToGrid w:val="0"/>
                    <w:spacing w:before="0" w:beforeAutospacing="0" w:after="0" w:afterAutospacing="0" w:line="300" w:lineRule="atLeast"/>
                    <w:jc w:val="center"/>
                    <w:rPr>
                      <w:rFonts w:ascii="Times New Roman" w:hAnsi="Times New Roman" w:eastAsiaTheme="minorEastAsia"/>
                      <w:color w:val="auto"/>
                      <w:sz w:val="21"/>
                      <w:szCs w:val="21"/>
                      <w:highlight w:val="none"/>
                    </w:rPr>
                  </w:pPr>
                  <w:r>
                    <w:rPr>
                      <w:rFonts w:ascii="Times New Roman" w:hAnsiTheme="minorEastAsia" w:eastAsiaTheme="minorEastAsia"/>
                      <w:color w:val="auto"/>
                      <w:spacing w:val="-1"/>
                      <w:sz w:val="21"/>
                      <w:szCs w:val="21"/>
                      <w:highlight w:val="none"/>
                    </w:rPr>
                    <w:t>（</w:t>
                  </w:r>
                  <w:r>
                    <w:rPr>
                      <w:rFonts w:ascii="Times New Roman" w:hAnsi="Times New Roman" w:eastAsiaTheme="minorEastAsia"/>
                      <w:color w:val="auto"/>
                      <w:spacing w:val="-1"/>
                      <w:sz w:val="21"/>
                      <w:szCs w:val="21"/>
                      <w:highlight w:val="none"/>
                    </w:rPr>
                    <w:t>GB8978-1996</w:t>
                  </w:r>
                  <w:r>
                    <w:rPr>
                      <w:rFonts w:ascii="Times New Roman" w:hAnsiTheme="minorEastAsia" w:eastAsiaTheme="minorEastAsia"/>
                      <w:color w:val="auto"/>
                      <w:spacing w:val="-1"/>
                      <w:sz w:val="21"/>
                      <w:szCs w:val="21"/>
                      <w:highlight w:val="none"/>
                    </w:rPr>
                    <w:t>）</w:t>
                  </w:r>
                  <w:r>
                    <w:rPr>
                      <w:rFonts w:hint="eastAsia" w:ascii="Times New Roman" w:hAnsiTheme="minorEastAsia" w:eastAsiaTheme="minorEastAsia"/>
                      <w:color w:val="auto"/>
                      <w:spacing w:val="-1"/>
                      <w:sz w:val="21"/>
                      <w:szCs w:val="21"/>
                      <w:highlight w:val="none"/>
                    </w:rPr>
                    <w:t>表4中</w:t>
                  </w:r>
                  <w:r>
                    <w:rPr>
                      <w:rFonts w:ascii="Times New Roman" w:hAnsiTheme="minorEastAsia" w:eastAsiaTheme="minorEastAsia"/>
                      <w:color w:val="auto"/>
                      <w:spacing w:val="-5"/>
                      <w:sz w:val="21"/>
                      <w:szCs w:val="21"/>
                      <w:highlight w:val="none"/>
                    </w:rPr>
                    <w:t>三级</w:t>
                  </w:r>
                  <w:r>
                    <w:rPr>
                      <w:rFonts w:hint="eastAsia" w:ascii="Times New Roman" w:hAnsiTheme="minorEastAsia" w:eastAsiaTheme="minorEastAsia"/>
                      <w:color w:val="auto"/>
                      <w:spacing w:val="-5"/>
                      <w:sz w:val="21"/>
                      <w:szCs w:val="21"/>
                      <w:highlight w:val="none"/>
                    </w:rPr>
                    <w:t>标准</w:t>
                  </w:r>
                </w:p>
              </w:tc>
            </w:tr>
            <w:tr w14:paraId="718F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98" w:type="pct"/>
                  <w:vMerge w:val="continue"/>
                  <w:vAlign w:val="center"/>
                </w:tcPr>
                <w:p w14:paraId="417B2343">
                  <w:pPr>
                    <w:adjustRightInd w:val="0"/>
                    <w:snapToGrid w:val="0"/>
                    <w:spacing w:line="300" w:lineRule="atLeast"/>
                    <w:rPr>
                      <w:rFonts w:eastAsiaTheme="minorEastAsia"/>
                      <w:color w:val="auto"/>
                      <w:szCs w:val="21"/>
                      <w:highlight w:val="none"/>
                    </w:rPr>
                  </w:pPr>
                </w:p>
              </w:tc>
              <w:tc>
                <w:tcPr>
                  <w:tcW w:w="1129" w:type="pct"/>
                  <w:vAlign w:val="center"/>
                </w:tcPr>
                <w:p w14:paraId="57EF58C1">
                  <w:pPr>
                    <w:pStyle w:val="29"/>
                    <w:widowControl w:val="0"/>
                    <w:adjustRightInd w:val="0"/>
                    <w:snapToGrid w:val="0"/>
                    <w:spacing w:before="0" w:beforeAutospacing="0" w:after="0" w:afterAutospacing="0" w:line="300" w:lineRule="atLeast"/>
                    <w:jc w:val="center"/>
                    <w:rPr>
                      <w:rFonts w:ascii="Times New Roman" w:hAnsi="Times New Roman" w:eastAsiaTheme="minorEastAsia"/>
                      <w:color w:val="auto"/>
                      <w:sz w:val="21"/>
                      <w:szCs w:val="21"/>
                      <w:highlight w:val="none"/>
                    </w:rPr>
                  </w:pPr>
                  <w:r>
                    <w:rPr>
                      <w:rFonts w:ascii="Times New Roman" w:hAnsi="Times New Roman" w:eastAsiaTheme="minorEastAsia"/>
                      <w:color w:val="auto"/>
                      <w:sz w:val="21"/>
                      <w:szCs w:val="21"/>
                      <w:highlight w:val="none"/>
                    </w:rPr>
                    <w:t>SS</w:t>
                  </w:r>
                </w:p>
              </w:tc>
              <w:tc>
                <w:tcPr>
                  <w:tcW w:w="1607" w:type="pct"/>
                  <w:vAlign w:val="center"/>
                </w:tcPr>
                <w:p w14:paraId="74884970">
                  <w:pPr>
                    <w:pStyle w:val="29"/>
                    <w:widowControl w:val="0"/>
                    <w:adjustRightInd w:val="0"/>
                    <w:snapToGrid w:val="0"/>
                    <w:spacing w:before="0" w:beforeAutospacing="0" w:after="0" w:afterAutospacing="0" w:line="300" w:lineRule="atLeast"/>
                    <w:jc w:val="center"/>
                    <w:rPr>
                      <w:rFonts w:ascii="Times New Roman" w:hAnsi="Times New Roman" w:eastAsiaTheme="minorEastAsia"/>
                      <w:color w:val="auto"/>
                      <w:sz w:val="21"/>
                      <w:szCs w:val="21"/>
                      <w:highlight w:val="none"/>
                    </w:rPr>
                  </w:pPr>
                  <w:r>
                    <w:rPr>
                      <w:rFonts w:ascii="Times New Roman" w:hAnsi="Times New Roman" w:eastAsiaTheme="minorEastAsia"/>
                      <w:color w:val="auto"/>
                      <w:sz w:val="21"/>
                      <w:szCs w:val="21"/>
                      <w:highlight w:val="none"/>
                    </w:rPr>
                    <w:t>400</w:t>
                  </w:r>
                </w:p>
              </w:tc>
              <w:tc>
                <w:tcPr>
                  <w:tcW w:w="1464" w:type="pct"/>
                  <w:vMerge w:val="continue"/>
                  <w:vAlign w:val="center"/>
                </w:tcPr>
                <w:p w14:paraId="5F930FDF">
                  <w:pPr>
                    <w:adjustRightInd w:val="0"/>
                    <w:snapToGrid w:val="0"/>
                    <w:spacing w:line="300" w:lineRule="atLeast"/>
                    <w:rPr>
                      <w:rFonts w:eastAsiaTheme="minorEastAsia"/>
                      <w:color w:val="auto"/>
                      <w:szCs w:val="21"/>
                      <w:highlight w:val="none"/>
                    </w:rPr>
                  </w:pPr>
                </w:p>
              </w:tc>
            </w:tr>
            <w:tr w14:paraId="3D77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98" w:type="pct"/>
                  <w:vMerge w:val="continue"/>
                  <w:vAlign w:val="center"/>
                </w:tcPr>
                <w:p w14:paraId="469FAACD">
                  <w:pPr>
                    <w:adjustRightInd w:val="0"/>
                    <w:snapToGrid w:val="0"/>
                    <w:spacing w:line="300" w:lineRule="atLeast"/>
                    <w:rPr>
                      <w:rFonts w:eastAsiaTheme="minorEastAsia"/>
                      <w:color w:val="auto"/>
                      <w:szCs w:val="21"/>
                      <w:highlight w:val="none"/>
                    </w:rPr>
                  </w:pPr>
                </w:p>
              </w:tc>
              <w:tc>
                <w:tcPr>
                  <w:tcW w:w="1129" w:type="pct"/>
                  <w:vAlign w:val="center"/>
                </w:tcPr>
                <w:p w14:paraId="2645CE91">
                  <w:pPr>
                    <w:pStyle w:val="29"/>
                    <w:widowControl w:val="0"/>
                    <w:adjustRightInd w:val="0"/>
                    <w:snapToGrid w:val="0"/>
                    <w:spacing w:before="0" w:beforeAutospacing="0" w:after="0" w:afterAutospacing="0" w:line="300" w:lineRule="atLeast"/>
                    <w:jc w:val="center"/>
                    <w:rPr>
                      <w:rFonts w:ascii="Times New Roman" w:hAnsi="Times New Roman" w:eastAsiaTheme="minorEastAsia"/>
                      <w:color w:val="auto"/>
                      <w:sz w:val="21"/>
                      <w:szCs w:val="21"/>
                      <w:highlight w:val="none"/>
                    </w:rPr>
                  </w:pPr>
                  <w:r>
                    <w:rPr>
                      <w:rFonts w:ascii="Times New Roman" w:hAnsi="Times New Roman" w:eastAsiaTheme="minorEastAsia"/>
                      <w:color w:val="auto"/>
                      <w:sz w:val="21"/>
                      <w:szCs w:val="21"/>
                      <w:highlight w:val="none"/>
                    </w:rPr>
                    <w:t>COD</w:t>
                  </w:r>
                </w:p>
              </w:tc>
              <w:tc>
                <w:tcPr>
                  <w:tcW w:w="1607" w:type="pct"/>
                  <w:vAlign w:val="center"/>
                </w:tcPr>
                <w:p w14:paraId="2D7858E4">
                  <w:pPr>
                    <w:pStyle w:val="29"/>
                    <w:widowControl w:val="0"/>
                    <w:adjustRightInd w:val="0"/>
                    <w:snapToGrid w:val="0"/>
                    <w:spacing w:before="0" w:beforeAutospacing="0" w:after="0" w:afterAutospacing="0" w:line="300" w:lineRule="atLeast"/>
                    <w:jc w:val="center"/>
                    <w:rPr>
                      <w:rFonts w:ascii="Times New Roman" w:hAnsi="Times New Roman" w:eastAsiaTheme="minorEastAsia"/>
                      <w:color w:val="auto"/>
                      <w:sz w:val="21"/>
                      <w:szCs w:val="21"/>
                      <w:highlight w:val="none"/>
                    </w:rPr>
                  </w:pPr>
                  <w:r>
                    <w:rPr>
                      <w:rFonts w:ascii="Times New Roman" w:hAnsi="Times New Roman" w:eastAsiaTheme="minorEastAsia"/>
                      <w:color w:val="auto"/>
                      <w:sz w:val="21"/>
                      <w:szCs w:val="21"/>
                      <w:highlight w:val="none"/>
                    </w:rPr>
                    <w:t>500</w:t>
                  </w:r>
                </w:p>
              </w:tc>
              <w:tc>
                <w:tcPr>
                  <w:tcW w:w="1464" w:type="pct"/>
                  <w:vMerge w:val="continue"/>
                  <w:vAlign w:val="center"/>
                </w:tcPr>
                <w:p w14:paraId="655FBE97">
                  <w:pPr>
                    <w:adjustRightInd w:val="0"/>
                    <w:snapToGrid w:val="0"/>
                    <w:spacing w:line="300" w:lineRule="atLeast"/>
                    <w:rPr>
                      <w:rFonts w:eastAsiaTheme="minorEastAsia"/>
                      <w:color w:val="auto"/>
                      <w:szCs w:val="21"/>
                      <w:highlight w:val="none"/>
                    </w:rPr>
                  </w:pPr>
                </w:p>
              </w:tc>
            </w:tr>
            <w:tr w14:paraId="60EDB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98" w:type="pct"/>
                  <w:vMerge w:val="continue"/>
                  <w:vAlign w:val="center"/>
                </w:tcPr>
                <w:p w14:paraId="4A85EE2F">
                  <w:pPr>
                    <w:adjustRightInd w:val="0"/>
                    <w:snapToGrid w:val="0"/>
                    <w:spacing w:line="300" w:lineRule="atLeast"/>
                    <w:rPr>
                      <w:rFonts w:eastAsiaTheme="minorEastAsia"/>
                      <w:color w:val="auto"/>
                      <w:szCs w:val="21"/>
                      <w:highlight w:val="none"/>
                    </w:rPr>
                  </w:pPr>
                </w:p>
              </w:tc>
              <w:tc>
                <w:tcPr>
                  <w:tcW w:w="1129" w:type="pct"/>
                  <w:vAlign w:val="center"/>
                </w:tcPr>
                <w:p w14:paraId="3759CD07">
                  <w:pPr>
                    <w:pStyle w:val="29"/>
                    <w:widowControl w:val="0"/>
                    <w:adjustRightInd w:val="0"/>
                    <w:snapToGrid w:val="0"/>
                    <w:spacing w:before="0" w:beforeAutospacing="0" w:after="0" w:afterAutospacing="0" w:line="300" w:lineRule="atLeast"/>
                    <w:jc w:val="center"/>
                    <w:rPr>
                      <w:rFonts w:ascii="Times New Roman" w:hAnsi="Times New Roman" w:eastAsiaTheme="minorEastAsia"/>
                      <w:color w:val="auto"/>
                      <w:sz w:val="21"/>
                      <w:szCs w:val="21"/>
                      <w:highlight w:val="none"/>
                    </w:rPr>
                  </w:pPr>
                  <w:r>
                    <w:rPr>
                      <w:rFonts w:ascii="Times New Roman" w:hAnsi="Times New Roman" w:eastAsiaTheme="minorEastAsia"/>
                      <w:color w:val="auto"/>
                      <w:sz w:val="21"/>
                      <w:szCs w:val="21"/>
                      <w:highlight w:val="none"/>
                    </w:rPr>
                    <w:t>BOD</w:t>
                  </w:r>
                  <w:r>
                    <w:rPr>
                      <w:rFonts w:ascii="Times New Roman" w:hAnsi="Times New Roman" w:eastAsiaTheme="minorEastAsia"/>
                      <w:color w:val="auto"/>
                      <w:sz w:val="21"/>
                      <w:szCs w:val="21"/>
                      <w:highlight w:val="none"/>
                      <w:vertAlign w:val="subscript"/>
                    </w:rPr>
                    <w:t>5</w:t>
                  </w:r>
                </w:p>
              </w:tc>
              <w:tc>
                <w:tcPr>
                  <w:tcW w:w="1607" w:type="pct"/>
                  <w:vAlign w:val="center"/>
                </w:tcPr>
                <w:p w14:paraId="0E481012">
                  <w:pPr>
                    <w:pStyle w:val="29"/>
                    <w:widowControl w:val="0"/>
                    <w:adjustRightInd w:val="0"/>
                    <w:snapToGrid w:val="0"/>
                    <w:spacing w:before="0" w:beforeAutospacing="0" w:after="0" w:afterAutospacing="0" w:line="300" w:lineRule="atLeast"/>
                    <w:jc w:val="center"/>
                    <w:rPr>
                      <w:rFonts w:ascii="Times New Roman" w:hAnsi="Times New Roman" w:eastAsiaTheme="minorEastAsia"/>
                      <w:color w:val="auto"/>
                      <w:sz w:val="21"/>
                      <w:szCs w:val="21"/>
                      <w:highlight w:val="none"/>
                    </w:rPr>
                  </w:pPr>
                  <w:r>
                    <w:rPr>
                      <w:rFonts w:ascii="Times New Roman" w:hAnsi="Times New Roman" w:eastAsiaTheme="minorEastAsia"/>
                      <w:color w:val="auto"/>
                      <w:sz w:val="21"/>
                      <w:szCs w:val="21"/>
                      <w:highlight w:val="none"/>
                    </w:rPr>
                    <w:t>300</w:t>
                  </w:r>
                </w:p>
              </w:tc>
              <w:tc>
                <w:tcPr>
                  <w:tcW w:w="1464" w:type="pct"/>
                  <w:vMerge w:val="continue"/>
                  <w:vAlign w:val="center"/>
                </w:tcPr>
                <w:p w14:paraId="43C9E698">
                  <w:pPr>
                    <w:adjustRightInd w:val="0"/>
                    <w:snapToGrid w:val="0"/>
                    <w:spacing w:line="300" w:lineRule="atLeast"/>
                    <w:rPr>
                      <w:rFonts w:eastAsiaTheme="minorEastAsia"/>
                      <w:color w:val="auto"/>
                      <w:szCs w:val="21"/>
                      <w:highlight w:val="none"/>
                    </w:rPr>
                  </w:pPr>
                </w:p>
              </w:tc>
            </w:tr>
            <w:tr w14:paraId="07E80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98" w:type="pct"/>
                  <w:vMerge w:val="continue"/>
                  <w:vAlign w:val="center"/>
                </w:tcPr>
                <w:p w14:paraId="16708148">
                  <w:pPr>
                    <w:adjustRightInd w:val="0"/>
                    <w:snapToGrid w:val="0"/>
                    <w:spacing w:line="300" w:lineRule="atLeast"/>
                    <w:rPr>
                      <w:rFonts w:eastAsiaTheme="minorEastAsia"/>
                      <w:color w:val="auto"/>
                      <w:szCs w:val="21"/>
                      <w:highlight w:val="none"/>
                    </w:rPr>
                  </w:pPr>
                </w:p>
              </w:tc>
              <w:tc>
                <w:tcPr>
                  <w:tcW w:w="1129" w:type="pct"/>
                  <w:vAlign w:val="center"/>
                </w:tcPr>
                <w:p w14:paraId="6F71FDE2">
                  <w:pPr>
                    <w:pStyle w:val="29"/>
                    <w:widowControl w:val="0"/>
                    <w:adjustRightInd w:val="0"/>
                    <w:snapToGrid w:val="0"/>
                    <w:spacing w:before="0" w:beforeAutospacing="0" w:after="0" w:afterAutospacing="0" w:line="300" w:lineRule="atLeast"/>
                    <w:jc w:val="center"/>
                    <w:rPr>
                      <w:rFonts w:ascii="Times New Roman" w:hAnsi="Times New Roman" w:eastAsiaTheme="minorEastAsia"/>
                      <w:color w:val="auto"/>
                      <w:sz w:val="21"/>
                      <w:szCs w:val="21"/>
                      <w:highlight w:val="none"/>
                    </w:rPr>
                  </w:pPr>
                  <w:r>
                    <w:rPr>
                      <w:rFonts w:ascii="Times New Roman" w:hAnsiTheme="minorEastAsia" w:eastAsiaTheme="minorEastAsia"/>
                      <w:color w:val="auto"/>
                      <w:sz w:val="21"/>
                      <w:szCs w:val="21"/>
                      <w:highlight w:val="none"/>
                    </w:rPr>
                    <w:t>氨氮</w:t>
                  </w:r>
                </w:p>
              </w:tc>
              <w:tc>
                <w:tcPr>
                  <w:tcW w:w="1607" w:type="pct"/>
                  <w:vAlign w:val="center"/>
                </w:tcPr>
                <w:p w14:paraId="55495875">
                  <w:pPr>
                    <w:pStyle w:val="29"/>
                    <w:widowControl w:val="0"/>
                    <w:adjustRightInd w:val="0"/>
                    <w:snapToGrid w:val="0"/>
                    <w:spacing w:before="0" w:beforeAutospacing="0" w:after="0" w:afterAutospacing="0" w:line="300" w:lineRule="atLeast"/>
                    <w:jc w:val="center"/>
                    <w:rPr>
                      <w:rFonts w:ascii="Times New Roman" w:hAnsi="Times New Roman" w:eastAsiaTheme="minorEastAsia"/>
                      <w:color w:val="auto"/>
                      <w:sz w:val="21"/>
                      <w:szCs w:val="21"/>
                      <w:highlight w:val="none"/>
                    </w:rPr>
                  </w:pPr>
                  <w:r>
                    <w:rPr>
                      <w:rFonts w:ascii="Times New Roman" w:hAnsi="Times New Roman" w:eastAsiaTheme="minorEastAsia"/>
                      <w:color w:val="auto"/>
                      <w:sz w:val="21"/>
                      <w:szCs w:val="21"/>
                      <w:highlight w:val="none"/>
                    </w:rPr>
                    <w:t>--</w:t>
                  </w:r>
                </w:p>
              </w:tc>
              <w:tc>
                <w:tcPr>
                  <w:tcW w:w="1464" w:type="pct"/>
                  <w:vMerge w:val="continue"/>
                  <w:vAlign w:val="center"/>
                </w:tcPr>
                <w:p w14:paraId="61624702">
                  <w:pPr>
                    <w:adjustRightInd w:val="0"/>
                    <w:snapToGrid w:val="0"/>
                    <w:spacing w:line="300" w:lineRule="atLeast"/>
                    <w:rPr>
                      <w:rFonts w:eastAsiaTheme="minorEastAsia"/>
                      <w:color w:val="auto"/>
                      <w:szCs w:val="21"/>
                      <w:highlight w:val="none"/>
                    </w:rPr>
                  </w:pPr>
                </w:p>
              </w:tc>
            </w:tr>
            <w:tr w14:paraId="4D39E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98" w:type="pct"/>
                  <w:vMerge w:val="continue"/>
                  <w:vAlign w:val="center"/>
                </w:tcPr>
                <w:p w14:paraId="5529FF24">
                  <w:pPr>
                    <w:adjustRightInd w:val="0"/>
                    <w:snapToGrid w:val="0"/>
                    <w:spacing w:line="300" w:lineRule="atLeast"/>
                    <w:rPr>
                      <w:rFonts w:eastAsiaTheme="minorEastAsia"/>
                      <w:color w:val="auto"/>
                      <w:szCs w:val="21"/>
                      <w:highlight w:val="none"/>
                    </w:rPr>
                  </w:pPr>
                </w:p>
              </w:tc>
              <w:tc>
                <w:tcPr>
                  <w:tcW w:w="1129" w:type="pct"/>
                  <w:vAlign w:val="center"/>
                </w:tcPr>
                <w:p w14:paraId="3764725C">
                  <w:pPr>
                    <w:pStyle w:val="29"/>
                    <w:widowControl w:val="0"/>
                    <w:adjustRightInd w:val="0"/>
                    <w:snapToGrid w:val="0"/>
                    <w:spacing w:before="0" w:beforeAutospacing="0" w:after="0" w:afterAutospacing="0" w:line="300" w:lineRule="atLeast"/>
                    <w:jc w:val="center"/>
                    <w:rPr>
                      <w:rFonts w:hint="eastAsia" w:ascii="Times New Roman" w:hAnsiTheme="minorEastAsia" w:eastAsiaTheme="minorEastAsia"/>
                      <w:color w:val="auto"/>
                      <w:sz w:val="21"/>
                      <w:szCs w:val="21"/>
                      <w:highlight w:val="none"/>
                      <w:lang w:val="en-US" w:eastAsia="zh-CN"/>
                    </w:rPr>
                  </w:pPr>
                  <w:r>
                    <w:rPr>
                      <w:rFonts w:hint="eastAsia" w:ascii="Times New Roman" w:hAnsiTheme="minorEastAsia" w:eastAsiaTheme="minorEastAsia"/>
                      <w:color w:val="auto"/>
                      <w:sz w:val="21"/>
                      <w:szCs w:val="21"/>
                      <w:highlight w:val="none"/>
                      <w:lang w:val="en-US" w:eastAsia="zh-CN"/>
                    </w:rPr>
                    <w:t>动植物油</w:t>
                  </w:r>
                </w:p>
              </w:tc>
              <w:tc>
                <w:tcPr>
                  <w:tcW w:w="1607" w:type="pct"/>
                  <w:vAlign w:val="center"/>
                </w:tcPr>
                <w:p w14:paraId="6EF8E152">
                  <w:pPr>
                    <w:pStyle w:val="29"/>
                    <w:widowControl w:val="0"/>
                    <w:adjustRightInd w:val="0"/>
                    <w:snapToGrid w:val="0"/>
                    <w:spacing w:before="0" w:beforeAutospacing="0" w:after="0" w:afterAutospacing="0" w:line="300" w:lineRule="atLeast"/>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100</w:t>
                  </w:r>
                </w:p>
              </w:tc>
              <w:tc>
                <w:tcPr>
                  <w:tcW w:w="1464" w:type="pct"/>
                  <w:vMerge w:val="continue"/>
                  <w:vAlign w:val="center"/>
                </w:tcPr>
                <w:p w14:paraId="2C44DE3F">
                  <w:pPr>
                    <w:adjustRightInd w:val="0"/>
                    <w:snapToGrid w:val="0"/>
                    <w:spacing w:line="300" w:lineRule="atLeast"/>
                    <w:rPr>
                      <w:rFonts w:eastAsiaTheme="minorEastAsia"/>
                      <w:color w:val="auto"/>
                      <w:szCs w:val="21"/>
                      <w:highlight w:val="none"/>
                    </w:rPr>
                  </w:pPr>
                </w:p>
              </w:tc>
            </w:tr>
          </w:tbl>
          <w:p w14:paraId="744123C6">
            <w:pPr>
              <w:topLinePunct/>
              <w:adjustRightInd w:val="0"/>
              <w:snapToGrid w:val="0"/>
              <w:spacing w:line="500" w:lineRule="exact"/>
              <w:jc w:val="left"/>
              <w:rPr>
                <w:rFonts w:eastAsiaTheme="minorEastAsia"/>
                <w:b/>
                <w:color w:val="auto"/>
                <w:sz w:val="24"/>
                <w:highlight w:val="none"/>
              </w:rPr>
            </w:pPr>
            <w:r>
              <w:rPr>
                <w:rFonts w:hint="eastAsia" w:hAnsiTheme="minorEastAsia" w:eastAsiaTheme="minorEastAsia"/>
                <w:b/>
                <w:color w:val="auto"/>
                <w:sz w:val="24"/>
                <w:highlight w:val="none"/>
              </w:rPr>
              <w:t>3、</w:t>
            </w:r>
            <w:r>
              <w:rPr>
                <w:rFonts w:hAnsiTheme="minorEastAsia" w:eastAsiaTheme="minorEastAsia"/>
                <w:b/>
                <w:color w:val="auto"/>
                <w:sz w:val="24"/>
                <w:highlight w:val="none"/>
              </w:rPr>
              <w:t>噪声</w:t>
            </w:r>
          </w:p>
          <w:p w14:paraId="0157019B">
            <w:pPr>
              <w:adjustRightInd w:val="0"/>
              <w:snapToGrid w:val="0"/>
              <w:spacing w:line="500" w:lineRule="exact"/>
              <w:ind w:firstLine="480" w:firstLineChars="200"/>
              <w:rPr>
                <w:rFonts w:eastAsiaTheme="minorEastAsia"/>
                <w:color w:val="auto"/>
                <w:sz w:val="24"/>
                <w:highlight w:val="none"/>
              </w:rPr>
            </w:pPr>
            <w:r>
              <w:rPr>
                <w:rFonts w:hAnsiTheme="minorEastAsia" w:eastAsiaTheme="minorEastAsia"/>
                <w:color w:val="auto"/>
                <w:sz w:val="24"/>
                <w:highlight w:val="none"/>
              </w:rPr>
              <w:t>厂界噪声执行《工业企业厂界环境噪声排放标准》</w:t>
            </w:r>
            <w:r>
              <w:rPr>
                <w:rFonts w:hint="eastAsia" w:hAnsiTheme="minorEastAsia" w:eastAsiaTheme="minorEastAsia"/>
                <w:color w:val="auto"/>
                <w:sz w:val="24"/>
                <w:highlight w:val="none"/>
                <w:lang w:eastAsia="zh-CN"/>
              </w:rPr>
              <w:t>（</w:t>
            </w:r>
            <w:r>
              <w:rPr>
                <w:rFonts w:eastAsiaTheme="minorEastAsia"/>
                <w:color w:val="auto"/>
                <w:sz w:val="24"/>
                <w:highlight w:val="none"/>
              </w:rPr>
              <w:t>GB12348-2008</w:t>
            </w:r>
            <w:r>
              <w:rPr>
                <w:rFonts w:hint="eastAsia" w:eastAsiaTheme="minorEastAsia"/>
                <w:color w:val="auto"/>
                <w:sz w:val="24"/>
                <w:highlight w:val="none"/>
                <w:lang w:eastAsia="zh-CN"/>
              </w:rPr>
              <w:t>）</w:t>
            </w:r>
            <w:r>
              <w:rPr>
                <w:rFonts w:hAnsiTheme="minorEastAsia" w:eastAsiaTheme="minorEastAsia"/>
                <w:color w:val="auto"/>
                <w:sz w:val="24"/>
                <w:highlight w:val="none"/>
              </w:rPr>
              <w:t>中</w:t>
            </w:r>
            <w:r>
              <w:rPr>
                <w:rFonts w:hint="eastAsia" w:hAnsiTheme="minorEastAsia" w:eastAsiaTheme="minorEastAsia"/>
                <w:color w:val="auto"/>
                <w:sz w:val="24"/>
                <w:highlight w:val="none"/>
              </w:rPr>
              <w:t>3</w:t>
            </w:r>
            <w:r>
              <w:rPr>
                <w:rFonts w:hAnsiTheme="minorEastAsia" w:eastAsiaTheme="minorEastAsia"/>
                <w:color w:val="auto"/>
                <w:sz w:val="24"/>
                <w:highlight w:val="none"/>
              </w:rPr>
              <w:t>类标准的要求。</w:t>
            </w:r>
          </w:p>
          <w:p w14:paraId="691162A4">
            <w:pPr>
              <w:spacing w:line="500" w:lineRule="exact"/>
              <w:jc w:val="center"/>
              <w:rPr>
                <w:rFonts w:eastAsiaTheme="minorEastAsia"/>
                <w:b/>
                <w:color w:val="auto"/>
                <w:szCs w:val="21"/>
                <w:highlight w:val="none"/>
              </w:rPr>
            </w:pPr>
            <w:r>
              <w:rPr>
                <w:rFonts w:hAnsiTheme="minorEastAsia" w:eastAsiaTheme="minorEastAsia"/>
                <w:b/>
                <w:color w:val="auto"/>
                <w:szCs w:val="21"/>
                <w:highlight w:val="none"/>
              </w:rPr>
              <w:t>表</w:t>
            </w:r>
            <w:r>
              <w:rPr>
                <w:rFonts w:hint="eastAsia" w:eastAsiaTheme="minorEastAsia"/>
                <w:b/>
                <w:color w:val="auto"/>
                <w:szCs w:val="21"/>
                <w:highlight w:val="none"/>
                <w:lang w:val="en-US" w:eastAsia="zh-CN"/>
              </w:rPr>
              <w:t>2-6</w:t>
            </w:r>
            <w:r>
              <w:rPr>
                <w:b/>
                <w:bCs/>
                <w:color w:val="auto"/>
                <w:szCs w:val="21"/>
                <w:highlight w:val="none"/>
              </w:rPr>
              <w:t xml:space="preserve">       </w:t>
            </w:r>
            <w:r>
              <w:rPr>
                <w:rFonts w:hAnsiTheme="minorEastAsia" w:eastAsiaTheme="minorEastAsia"/>
                <w:b/>
                <w:color w:val="auto"/>
                <w:szCs w:val="21"/>
                <w:highlight w:val="none"/>
              </w:rPr>
              <w:t>工业企业厂界环境噪声排放限值单位：</w:t>
            </w:r>
            <w:r>
              <w:rPr>
                <w:rFonts w:eastAsiaTheme="minorEastAsia"/>
                <w:b/>
                <w:color w:val="auto"/>
                <w:szCs w:val="21"/>
                <w:highlight w:val="none"/>
              </w:rPr>
              <w:t>dB(A)</w:t>
            </w:r>
          </w:p>
          <w:tbl>
            <w:tblPr>
              <w:tblStyle w:val="34"/>
              <w:tblW w:w="840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709"/>
              <w:gridCol w:w="2907"/>
              <w:gridCol w:w="2787"/>
            </w:tblGrid>
            <w:tr w14:paraId="0C8BD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756" w:type="dxa"/>
                  <w:vAlign w:val="center"/>
                </w:tcPr>
                <w:p w14:paraId="757B4135">
                  <w:pPr>
                    <w:adjustRightInd w:val="0"/>
                    <w:snapToGrid w:val="0"/>
                    <w:spacing w:line="300" w:lineRule="exact"/>
                    <w:jc w:val="center"/>
                    <w:rPr>
                      <w:rFonts w:eastAsiaTheme="minorEastAsia"/>
                      <w:b/>
                      <w:color w:val="auto"/>
                      <w:szCs w:val="21"/>
                      <w:highlight w:val="none"/>
                    </w:rPr>
                  </w:pPr>
                  <w:r>
                    <w:rPr>
                      <w:rFonts w:hAnsiTheme="minorEastAsia" w:eastAsiaTheme="minorEastAsia"/>
                      <w:b/>
                      <w:color w:val="auto"/>
                      <w:szCs w:val="21"/>
                      <w:highlight w:val="none"/>
                    </w:rPr>
                    <w:t>指标名称</w:t>
                  </w:r>
                </w:p>
              </w:tc>
              <w:tc>
                <w:tcPr>
                  <w:tcW w:w="2958" w:type="dxa"/>
                  <w:vAlign w:val="center"/>
                </w:tcPr>
                <w:p w14:paraId="5B683748">
                  <w:pPr>
                    <w:adjustRightInd w:val="0"/>
                    <w:snapToGrid w:val="0"/>
                    <w:spacing w:line="300" w:lineRule="exact"/>
                    <w:jc w:val="center"/>
                    <w:rPr>
                      <w:rFonts w:eastAsiaTheme="minorEastAsia"/>
                      <w:b/>
                      <w:color w:val="auto"/>
                      <w:szCs w:val="21"/>
                      <w:highlight w:val="none"/>
                    </w:rPr>
                  </w:pPr>
                  <w:r>
                    <w:rPr>
                      <w:rFonts w:hAnsiTheme="minorEastAsia" w:eastAsiaTheme="minorEastAsia"/>
                      <w:b/>
                      <w:color w:val="auto"/>
                      <w:szCs w:val="21"/>
                      <w:highlight w:val="none"/>
                    </w:rPr>
                    <w:t>昼间</w:t>
                  </w:r>
                </w:p>
              </w:tc>
              <w:tc>
                <w:tcPr>
                  <w:tcW w:w="2835" w:type="dxa"/>
                  <w:vAlign w:val="center"/>
                </w:tcPr>
                <w:p w14:paraId="79E5F9B4">
                  <w:pPr>
                    <w:adjustRightInd w:val="0"/>
                    <w:snapToGrid w:val="0"/>
                    <w:spacing w:line="300" w:lineRule="exact"/>
                    <w:jc w:val="center"/>
                    <w:rPr>
                      <w:rFonts w:eastAsiaTheme="minorEastAsia"/>
                      <w:b/>
                      <w:color w:val="auto"/>
                      <w:szCs w:val="21"/>
                      <w:highlight w:val="none"/>
                    </w:rPr>
                  </w:pPr>
                  <w:r>
                    <w:rPr>
                      <w:rFonts w:hAnsiTheme="minorEastAsia" w:eastAsiaTheme="minorEastAsia"/>
                      <w:b/>
                      <w:color w:val="auto"/>
                      <w:szCs w:val="21"/>
                      <w:highlight w:val="none"/>
                    </w:rPr>
                    <w:t>夜间</w:t>
                  </w:r>
                </w:p>
              </w:tc>
            </w:tr>
            <w:tr w14:paraId="2CE90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756" w:type="dxa"/>
                  <w:vAlign w:val="center"/>
                </w:tcPr>
                <w:p w14:paraId="6299F460">
                  <w:pPr>
                    <w:adjustRightInd w:val="0"/>
                    <w:snapToGrid w:val="0"/>
                    <w:spacing w:line="300" w:lineRule="exact"/>
                    <w:jc w:val="center"/>
                    <w:rPr>
                      <w:rFonts w:eastAsiaTheme="minorEastAsia"/>
                      <w:color w:val="auto"/>
                      <w:szCs w:val="21"/>
                      <w:highlight w:val="none"/>
                    </w:rPr>
                  </w:pPr>
                  <w:r>
                    <w:rPr>
                      <w:rFonts w:hint="eastAsia" w:eastAsiaTheme="minorEastAsia"/>
                      <w:color w:val="auto"/>
                      <w:szCs w:val="21"/>
                      <w:highlight w:val="none"/>
                    </w:rPr>
                    <w:t>3</w:t>
                  </w:r>
                  <w:r>
                    <w:rPr>
                      <w:rFonts w:hAnsiTheme="minorEastAsia" w:eastAsiaTheme="minorEastAsia"/>
                      <w:color w:val="auto"/>
                      <w:szCs w:val="21"/>
                      <w:highlight w:val="none"/>
                    </w:rPr>
                    <w:t>类标准</w:t>
                  </w:r>
                </w:p>
              </w:tc>
              <w:tc>
                <w:tcPr>
                  <w:tcW w:w="2958" w:type="dxa"/>
                  <w:vAlign w:val="center"/>
                </w:tcPr>
                <w:p w14:paraId="01314B6A">
                  <w:pPr>
                    <w:adjustRightInd w:val="0"/>
                    <w:snapToGrid w:val="0"/>
                    <w:spacing w:line="300" w:lineRule="exact"/>
                    <w:jc w:val="center"/>
                    <w:rPr>
                      <w:rFonts w:eastAsiaTheme="minorEastAsia"/>
                      <w:color w:val="auto"/>
                      <w:szCs w:val="21"/>
                      <w:highlight w:val="none"/>
                    </w:rPr>
                  </w:pPr>
                  <w:r>
                    <w:rPr>
                      <w:rFonts w:hint="eastAsia" w:eastAsiaTheme="minorEastAsia"/>
                      <w:color w:val="auto"/>
                      <w:szCs w:val="21"/>
                      <w:highlight w:val="none"/>
                    </w:rPr>
                    <w:t>65</w:t>
                  </w:r>
                </w:p>
              </w:tc>
              <w:tc>
                <w:tcPr>
                  <w:tcW w:w="2835" w:type="dxa"/>
                  <w:vAlign w:val="center"/>
                </w:tcPr>
                <w:p w14:paraId="4AE518B0">
                  <w:pPr>
                    <w:adjustRightInd w:val="0"/>
                    <w:snapToGrid w:val="0"/>
                    <w:spacing w:line="300" w:lineRule="exact"/>
                    <w:jc w:val="center"/>
                    <w:rPr>
                      <w:rFonts w:eastAsiaTheme="minorEastAsia"/>
                      <w:color w:val="auto"/>
                      <w:szCs w:val="21"/>
                      <w:highlight w:val="none"/>
                    </w:rPr>
                  </w:pPr>
                  <w:r>
                    <w:rPr>
                      <w:rFonts w:hint="eastAsia" w:eastAsiaTheme="minorEastAsia"/>
                      <w:color w:val="auto"/>
                      <w:szCs w:val="21"/>
                      <w:highlight w:val="none"/>
                    </w:rPr>
                    <w:t>55</w:t>
                  </w:r>
                </w:p>
              </w:tc>
            </w:tr>
          </w:tbl>
          <w:p w14:paraId="253EC146">
            <w:pPr>
              <w:adjustRightInd w:val="0"/>
              <w:snapToGrid w:val="0"/>
              <w:spacing w:line="500" w:lineRule="exact"/>
              <w:rPr>
                <w:rFonts w:eastAsiaTheme="minorEastAsia"/>
                <w:b/>
                <w:color w:val="auto"/>
                <w:sz w:val="24"/>
                <w:highlight w:val="none"/>
              </w:rPr>
            </w:pPr>
            <w:r>
              <w:rPr>
                <w:rFonts w:hint="eastAsia" w:eastAsiaTheme="minorEastAsia"/>
                <w:b/>
                <w:color w:val="auto"/>
                <w:sz w:val="24"/>
                <w:highlight w:val="none"/>
              </w:rPr>
              <w:t>4</w:t>
            </w:r>
            <w:r>
              <w:rPr>
                <w:rFonts w:hAnsiTheme="minorEastAsia" w:eastAsiaTheme="minorEastAsia"/>
                <w:b/>
                <w:color w:val="auto"/>
                <w:sz w:val="24"/>
                <w:highlight w:val="none"/>
              </w:rPr>
              <w:t>、固废</w:t>
            </w:r>
          </w:p>
          <w:bookmarkEnd w:id="11"/>
          <w:p w14:paraId="007D16AF">
            <w:pPr>
              <w:adjustRightInd w:val="0"/>
              <w:snapToGrid w:val="0"/>
              <w:spacing w:line="500" w:lineRule="exact"/>
              <w:ind w:firstLine="480" w:firstLineChars="200"/>
              <w:rPr>
                <w:rFonts w:hint="eastAsia" w:eastAsia="宋体"/>
                <w:color w:val="auto"/>
                <w:sz w:val="24"/>
                <w:highlight w:val="none"/>
                <w:lang w:val="en-US" w:eastAsia="zh-CN"/>
              </w:rPr>
            </w:pPr>
            <w:r>
              <w:rPr>
                <w:rFonts w:hint="eastAsia" w:hAnsiTheme="minorEastAsia" w:eastAsiaTheme="minorEastAsia"/>
                <w:color w:val="auto"/>
                <w:sz w:val="24"/>
                <w:highlight w:val="none"/>
              </w:rPr>
              <w:t>一般工业固废</w:t>
            </w:r>
            <w:r>
              <w:rPr>
                <w:rFonts w:hAnsiTheme="minorEastAsia" w:eastAsiaTheme="minorEastAsia"/>
                <w:color w:val="auto"/>
                <w:sz w:val="24"/>
                <w:highlight w:val="none"/>
              </w:rPr>
              <w:t>执行</w:t>
            </w:r>
            <w:r>
              <w:rPr>
                <w:rFonts w:hint="eastAsia"/>
                <w:color w:val="auto"/>
                <w:sz w:val="24"/>
                <w:highlight w:val="none"/>
              </w:rPr>
              <w:t>《一般工业固体废物贮存和填埋污染控制标准》（GB18599-2020）的规定；</w:t>
            </w:r>
            <w:r>
              <w:rPr>
                <w:color w:val="auto"/>
                <w:sz w:val="24"/>
                <w:highlight w:val="none"/>
              </w:rPr>
              <w:t>危险废物执行《危险废物贮存污染控制标准》（GB18597-20</w:t>
            </w:r>
            <w:r>
              <w:rPr>
                <w:rFonts w:hint="eastAsia"/>
                <w:color w:val="auto"/>
                <w:sz w:val="24"/>
                <w:highlight w:val="none"/>
              </w:rPr>
              <w:t>23</w:t>
            </w:r>
            <w:r>
              <w:rPr>
                <w:color w:val="auto"/>
                <w:sz w:val="24"/>
                <w:highlight w:val="none"/>
              </w:rPr>
              <w:t>）</w:t>
            </w:r>
            <w:r>
              <w:rPr>
                <w:rFonts w:hint="eastAsia"/>
                <w:color w:val="auto"/>
                <w:sz w:val="24"/>
                <w:highlight w:val="none"/>
              </w:rPr>
              <w:t>要求</w:t>
            </w:r>
            <w:r>
              <w:rPr>
                <w:color w:val="auto"/>
                <w:sz w:val="24"/>
                <w:highlight w:val="none"/>
              </w:rPr>
              <w:t>。</w:t>
            </w:r>
          </w:p>
        </w:tc>
      </w:tr>
      <w:tr w14:paraId="1BF5AC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0" w:hRule="atLeast"/>
        </w:trPr>
        <w:tc>
          <w:tcPr>
            <w:tcW w:w="455" w:type="dxa"/>
            <w:vAlign w:val="center"/>
          </w:tcPr>
          <w:p w14:paraId="1E1BEE72">
            <w:pPr>
              <w:adjustRightInd w:val="0"/>
              <w:snapToGrid w:val="0"/>
              <w:spacing w:line="400" w:lineRule="exact"/>
              <w:jc w:val="both"/>
              <w:rPr>
                <w:rFonts w:eastAsiaTheme="minorEastAsia"/>
                <w:color w:val="auto"/>
                <w:kern w:val="0"/>
                <w:sz w:val="24"/>
                <w:highlight w:val="none"/>
              </w:rPr>
            </w:pPr>
            <w:r>
              <w:rPr>
                <w:rFonts w:hAnsiTheme="minorEastAsia" w:eastAsiaTheme="minorEastAsia"/>
                <w:color w:val="auto"/>
                <w:kern w:val="0"/>
                <w:sz w:val="24"/>
                <w:highlight w:val="none"/>
              </w:rPr>
              <w:t>总量</w:t>
            </w:r>
          </w:p>
          <w:p w14:paraId="03E9A939">
            <w:pPr>
              <w:adjustRightInd w:val="0"/>
              <w:snapToGrid w:val="0"/>
              <w:spacing w:line="400" w:lineRule="exact"/>
              <w:jc w:val="center"/>
              <w:rPr>
                <w:rFonts w:eastAsiaTheme="minorEastAsia"/>
                <w:color w:val="auto"/>
                <w:kern w:val="0"/>
                <w:sz w:val="24"/>
                <w:highlight w:val="none"/>
              </w:rPr>
            </w:pPr>
            <w:r>
              <w:rPr>
                <w:rFonts w:hAnsiTheme="minorEastAsia" w:eastAsiaTheme="minorEastAsia"/>
                <w:color w:val="auto"/>
                <w:kern w:val="0"/>
                <w:sz w:val="24"/>
                <w:highlight w:val="none"/>
              </w:rPr>
              <w:t>控制</w:t>
            </w:r>
          </w:p>
          <w:p w14:paraId="3901ACF6">
            <w:pPr>
              <w:adjustRightInd w:val="0"/>
              <w:snapToGrid w:val="0"/>
              <w:spacing w:line="400" w:lineRule="exact"/>
              <w:jc w:val="center"/>
              <w:rPr>
                <w:rFonts w:eastAsiaTheme="minorEastAsia"/>
                <w:color w:val="auto"/>
                <w:kern w:val="0"/>
                <w:szCs w:val="21"/>
                <w:highlight w:val="none"/>
              </w:rPr>
            </w:pPr>
            <w:r>
              <w:rPr>
                <w:rFonts w:hAnsiTheme="minorEastAsia" w:eastAsiaTheme="minorEastAsia"/>
                <w:color w:val="auto"/>
                <w:kern w:val="0"/>
                <w:sz w:val="24"/>
                <w:highlight w:val="none"/>
              </w:rPr>
              <w:t>指标</w:t>
            </w:r>
          </w:p>
        </w:tc>
        <w:tc>
          <w:tcPr>
            <w:tcW w:w="8624" w:type="dxa"/>
            <w:vAlign w:val="center"/>
          </w:tcPr>
          <w:p w14:paraId="7B1F2CDF">
            <w:pPr>
              <w:pStyle w:val="11"/>
              <w:keepNext w:val="0"/>
              <w:keepLines w:val="0"/>
              <w:pageBreakBefore w:val="0"/>
              <w:widowControl/>
              <w:kinsoku/>
              <w:wordWrap/>
              <w:overflowPunct/>
              <w:topLinePunct w:val="0"/>
              <w:autoSpaceDE/>
              <w:autoSpaceDN/>
              <w:bidi w:val="0"/>
              <w:adjustRightInd/>
              <w:snapToGrid/>
              <w:spacing w:before="0" w:after="0" w:line="360" w:lineRule="auto"/>
              <w:ind w:right="0" w:firstLine="480" w:firstLineChars="200"/>
              <w:textAlignment w:val="auto"/>
              <w:rPr>
                <w:rFonts w:hAnsi="宋体"/>
                <w:color w:val="auto"/>
                <w:sz w:val="24"/>
                <w:highlight w:val="none"/>
                <w:lang w:val="fr-FR"/>
              </w:rPr>
            </w:pPr>
            <w:r>
              <w:rPr>
                <w:rFonts w:hAnsi="宋体"/>
                <w:color w:val="auto"/>
                <w:sz w:val="24"/>
                <w:highlight w:val="none"/>
              </w:rPr>
              <w:t>根据国家总量控制指标，并结合本项目排污特点、所在区域环境质量现状等因素，</w:t>
            </w:r>
            <w:r>
              <w:rPr>
                <w:rFonts w:hAnsi="宋体"/>
                <w:color w:val="auto"/>
                <w:sz w:val="24"/>
                <w:highlight w:val="none"/>
                <w:lang w:val="fr-FR"/>
              </w:rPr>
              <w:t>本项目总量控制</w:t>
            </w:r>
            <w:r>
              <w:rPr>
                <w:rFonts w:hint="eastAsia" w:hAnsi="宋体"/>
                <w:color w:val="auto"/>
                <w:sz w:val="24"/>
                <w:highlight w:val="none"/>
                <w:lang w:val="fr-FR"/>
              </w:rPr>
              <w:t>因子为：VOC</w:t>
            </w:r>
            <w:r>
              <w:rPr>
                <w:rFonts w:hint="eastAsia" w:hAnsi="宋体"/>
                <w:color w:val="auto"/>
                <w:sz w:val="24"/>
                <w:highlight w:val="none"/>
                <w:vertAlign w:val="subscript"/>
                <w:lang w:val="fr-FR"/>
              </w:rPr>
              <w:t>S</w:t>
            </w:r>
            <w:r>
              <w:rPr>
                <w:rFonts w:hint="eastAsia" w:hAnsi="宋体"/>
                <w:color w:val="auto"/>
                <w:sz w:val="24"/>
                <w:highlight w:val="none"/>
                <w:lang w:val="fr-FR"/>
              </w:rPr>
              <w:t>。</w:t>
            </w:r>
          </w:p>
          <w:p w14:paraId="708E6760">
            <w:pPr>
              <w:pStyle w:val="11"/>
              <w:keepNext w:val="0"/>
              <w:keepLines w:val="0"/>
              <w:pageBreakBefore w:val="0"/>
              <w:widowControl/>
              <w:kinsoku/>
              <w:wordWrap/>
              <w:overflowPunct/>
              <w:topLinePunct w:val="0"/>
              <w:autoSpaceDE/>
              <w:autoSpaceDN/>
              <w:bidi w:val="0"/>
              <w:adjustRightInd/>
              <w:snapToGrid/>
              <w:spacing w:before="0" w:after="0" w:line="360" w:lineRule="auto"/>
              <w:ind w:right="0" w:firstLine="480" w:firstLineChars="200"/>
              <w:textAlignment w:val="auto"/>
              <w:rPr>
                <w:rFonts w:hint="eastAsia" w:hAnsi="宋体" w:eastAsia="宋体"/>
                <w:color w:val="auto"/>
                <w:sz w:val="24"/>
                <w:highlight w:val="none"/>
                <w:lang w:val="en-US" w:eastAsia="zh-CN"/>
              </w:rPr>
            </w:pPr>
            <w:r>
              <w:rPr>
                <w:rFonts w:hint="eastAsia" w:hAnsi="宋体"/>
                <w:color w:val="auto"/>
                <w:sz w:val="24"/>
                <w:highlight w:val="none"/>
                <w:lang w:val="fr-FR"/>
              </w:rPr>
              <w:t>本项目</w:t>
            </w:r>
            <w:r>
              <w:rPr>
                <w:rFonts w:hint="eastAsia" w:hAnsi="宋体"/>
                <w:color w:val="auto"/>
                <w:sz w:val="24"/>
                <w:highlight w:val="none"/>
                <w:lang w:val="en-US" w:eastAsia="zh-CN"/>
              </w:rPr>
              <w:t>申请</w:t>
            </w:r>
            <w:r>
              <w:rPr>
                <w:rFonts w:hint="eastAsia" w:hAnsi="宋体"/>
                <w:color w:val="auto"/>
                <w:sz w:val="24"/>
                <w:highlight w:val="none"/>
                <w:lang w:val="fr-FR"/>
              </w:rPr>
              <w:t>的</w:t>
            </w:r>
            <w:r>
              <w:rPr>
                <w:rFonts w:hint="eastAsia"/>
                <w:color w:val="auto"/>
                <w:sz w:val="24"/>
                <w:szCs w:val="24"/>
                <w:highlight w:val="none"/>
              </w:rPr>
              <w:t>总量控制指标为</w:t>
            </w:r>
            <w:r>
              <w:rPr>
                <w:rFonts w:hint="eastAsia"/>
                <w:color w:val="auto"/>
                <w:sz w:val="24"/>
                <w:szCs w:val="24"/>
                <w:highlight w:val="none"/>
                <w:lang w:val="en-US" w:eastAsia="zh-CN"/>
              </w:rPr>
              <w:t>有组织：</w:t>
            </w:r>
            <w:r>
              <w:rPr>
                <w:rFonts w:hint="eastAsia" w:hAnsi="宋体"/>
                <w:color w:val="auto"/>
                <w:sz w:val="24"/>
                <w:highlight w:val="none"/>
                <w:lang w:val="fr-FR"/>
              </w:rPr>
              <w:t>VOC</w:t>
            </w:r>
            <w:r>
              <w:rPr>
                <w:rFonts w:hint="eastAsia" w:hAnsi="宋体"/>
                <w:color w:val="auto"/>
                <w:sz w:val="24"/>
                <w:highlight w:val="none"/>
                <w:vertAlign w:val="subscript"/>
                <w:lang w:val="fr-FR"/>
              </w:rPr>
              <w:t>S</w:t>
            </w:r>
            <w:r>
              <w:rPr>
                <w:rFonts w:hint="eastAsia" w:hAnsi="宋体"/>
                <w:color w:val="auto"/>
                <w:sz w:val="24"/>
                <w:highlight w:val="none"/>
                <w:lang w:val="fr-FR"/>
              </w:rPr>
              <w:t>：</w:t>
            </w:r>
            <w:r>
              <w:rPr>
                <w:rFonts w:hint="eastAsia" w:hAnsi="宋体"/>
                <w:color w:val="auto"/>
                <w:sz w:val="24"/>
                <w:highlight w:val="none"/>
                <w:lang w:val="en-US" w:eastAsia="zh-CN"/>
              </w:rPr>
              <w:t>1.64t</w:t>
            </w:r>
            <w:r>
              <w:rPr>
                <w:rFonts w:hint="eastAsia" w:hAnsi="宋体"/>
                <w:color w:val="auto"/>
                <w:sz w:val="24"/>
                <w:highlight w:val="none"/>
                <w:lang w:val="fr-FR"/>
              </w:rPr>
              <w:t>/a。</w:t>
            </w:r>
          </w:p>
        </w:tc>
      </w:tr>
    </w:tbl>
    <w:p w14:paraId="0C04B54A">
      <w:pPr>
        <w:pStyle w:val="29"/>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eastAsia" w:ascii="黑体" w:hAnsi="黑体" w:eastAsia="黑体"/>
          <w:snapToGrid w:val="0"/>
          <w:color w:val="auto"/>
          <w:sz w:val="30"/>
          <w:szCs w:val="30"/>
          <w:highlight w:val="none"/>
        </w:rPr>
        <w:sectPr>
          <w:pgSz w:w="11907" w:h="16840"/>
          <w:pgMar w:top="1701" w:right="1531" w:bottom="2127" w:left="1531" w:header="851" w:footer="851" w:gutter="0"/>
          <w:pgNumType w:fmt="decimal"/>
          <w:cols w:space="720" w:num="1"/>
          <w:docGrid w:linePitch="312" w:charSpace="0"/>
        </w:sectPr>
      </w:pPr>
    </w:p>
    <w:p w14:paraId="43A0296D">
      <w:pPr>
        <w:pStyle w:val="29"/>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ascii="黑体" w:hAnsi="黑体" w:eastAsia="黑体"/>
          <w:snapToGrid w:val="0"/>
          <w:color w:val="auto"/>
          <w:sz w:val="30"/>
          <w:szCs w:val="30"/>
          <w:highlight w:val="none"/>
        </w:rPr>
      </w:pPr>
      <w:bookmarkStart w:id="12" w:name="_Toc25631"/>
      <w:r>
        <w:rPr>
          <w:rFonts w:hint="eastAsia" w:ascii="黑体" w:hAnsi="黑体" w:eastAsia="黑体"/>
          <w:snapToGrid w:val="0"/>
          <w:color w:val="auto"/>
          <w:sz w:val="30"/>
          <w:szCs w:val="30"/>
          <w:highlight w:val="none"/>
        </w:rPr>
        <w:t>四、主要环境影响和保护措施</w:t>
      </w:r>
      <w:bookmarkEnd w:id="12"/>
    </w:p>
    <w:tbl>
      <w:tblPr>
        <w:tblStyle w:val="34"/>
        <w:tblpPr w:leftFromText="180" w:rightFromText="180" w:vertAnchor="text" w:tblpXSpec="center" w:tblpY="1"/>
        <w:tblOverlap w:val="never"/>
        <w:tblW w:w="8981"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4"/>
        <w:gridCol w:w="8527"/>
      </w:tblGrid>
      <w:tr w14:paraId="4945E0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1" w:hRule="atLeast"/>
        </w:trPr>
        <w:tc>
          <w:tcPr>
            <w:tcW w:w="454" w:type="dxa"/>
            <w:tcMar>
              <w:left w:w="28" w:type="dxa"/>
              <w:right w:w="28" w:type="dxa"/>
            </w:tcMar>
            <w:vAlign w:val="center"/>
          </w:tcPr>
          <w:p w14:paraId="07060A11">
            <w:pPr>
              <w:pStyle w:val="29"/>
              <w:adjustRightInd w:val="0"/>
              <w:snapToGrid w:val="0"/>
              <w:spacing w:before="0" w:beforeAutospacing="0" w:after="0" w:afterAutospacing="0"/>
              <w:jc w:val="center"/>
              <w:rPr>
                <w:rFonts w:ascii="Times New Roman" w:hAnsi="Times New Roman" w:eastAsiaTheme="minorEastAsia"/>
                <w:color w:val="auto"/>
                <w:kern w:val="2"/>
                <w:szCs w:val="24"/>
                <w:highlight w:val="none"/>
              </w:rPr>
            </w:pPr>
            <w:r>
              <w:rPr>
                <w:rFonts w:ascii="Times New Roman" w:hAnsiTheme="minorEastAsia" w:eastAsiaTheme="minorEastAsia"/>
                <w:color w:val="auto"/>
                <w:kern w:val="2"/>
                <w:szCs w:val="24"/>
                <w:highlight w:val="none"/>
              </w:rPr>
              <w:t>施工</w:t>
            </w:r>
          </w:p>
          <w:p w14:paraId="64617BC2">
            <w:pPr>
              <w:pStyle w:val="29"/>
              <w:adjustRightInd w:val="0"/>
              <w:snapToGrid w:val="0"/>
              <w:spacing w:before="0" w:beforeAutospacing="0" w:after="0" w:afterAutospacing="0"/>
              <w:jc w:val="center"/>
              <w:rPr>
                <w:rFonts w:ascii="Times New Roman" w:hAnsi="Times New Roman" w:eastAsiaTheme="minorEastAsia"/>
                <w:color w:val="auto"/>
                <w:kern w:val="2"/>
                <w:szCs w:val="24"/>
                <w:highlight w:val="none"/>
              </w:rPr>
            </w:pPr>
            <w:r>
              <w:rPr>
                <w:rFonts w:ascii="Times New Roman" w:hAnsiTheme="minorEastAsia" w:eastAsiaTheme="minorEastAsia"/>
                <w:color w:val="auto"/>
                <w:kern w:val="2"/>
                <w:szCs w:val="24"/>
                <w:highlight w:val="none"/>
              </w:rPr>
              <w:t>期环</w:t>
            </w:r>
          </w:p>
          <w:p w14:paraId="08E89A14">
            <w:pPr>
              <w:pStyle w:val="29"/>
              <w:adjustRightInd w:val="0"/>
              <w:snapToGrid w:val="0"/>
              <w:spacing w:before="0" w:beforeAutospacing="0" w:after="0" w:afterAutospacing="0"/>
              <w:jc w:val="center"/>
              <w:rPr>
                <w:rFonts w:ascii="Times New Roman" w:hAnsi="Times New Roman" w:eastAsiaTheme="minorEastAsia"/>
                <w:color w:val="auto"/>
                <w:kern w:val="2"/>
                <w:szCs w:val="24"/>
                <w:highlight w:val="none"/>
              </w:rPr>
            </w:pPr>
            <w:r>
              <w:rPr>
                <w:rFonts w:ascii="Times New Roman" w:hAnsiTheme="minorEastAsia" w:eastAsiaTheme="minorEastAsia"/>
                <w:color w:val="auto"/>
                <w:kern w:val="2"/>
                <w:szCs w:val="24"/>
                <w:highlight w:val="none"/>
              </w:rPr>
              <w:t>境保</w:t>
            </w:r>
          </w:p>
          <w:p w14:paraId="7132C016">
            <w:pPr>
              <w:pStyle w:val="29"/>
              <w:adjustRightInd w:val="0"/>
              <w:snapToGrid w:val="0"/>
              <w:spacing w:before="0" w:beforeAutospacing="0" w:after="0" w:afterAutospacing="0"/>
              <w:jc w:val="center"/>
              <w:rPr>
                <w:rFonts w:ascii="Times New Roman" w:hAnsi="Times New Roman" w:eastAsiaTheme="minorEastAsia"/>
                <w:color w:val="auto"/>
                <w:kern w:val="2"/>
                <w:szCs w:val="24"/>
                <w:highlight w:val="none"/>
              </w:rPr>
            </w:pPr>
            <w:r>
              <w:rPr>
                <w:rFonts w:ascii="Times New Roman" w:hAnsiTheme="minorEastAsia" w:eastAsiaTheme="minorEastAsia"/>
                <w:color w:val="auto"/>
                <w:kern w:val="2"/>
                <w:szCs w:val="24"/>
                <w:highlight w:val="none"/>
              </w:rPr>
              <w:t>护措</w:t>
            </w:r>
          </w:p>
          <w:p w14:paraId="50294DC7">
            <w:pPr>
              <w:pStyle w:val="29"/>
              <w:adjustRightInd w:val="0"/>
              <w:snapToGrid w:val="0"/>
              <w:spacing w:before="0" w:beforeAutospacing="0" w:after="0" w:afterAutospacing="0"/>
              <w:jc w:val="center"/>
              <w:rPr>
                <w:rFonts w:ascii="Times New Roman" w:hAnsi="Times New Roman" w:eastAsiaTheme="minorEastAsia"/>
                <w:bCs/>
                <w:color w:val="auto"/>
                <w:kern w:val="2"/>
                <w:sz w:val="21"/>
                <w:szCs w:val="21"/>
                <w:highlight w:val="none"/>
              </w:rPr>
            </w:pPr>
            <w:r>
              <w:rPr>
                <w:rFonts w:ascii="Times New Roman" w:hAnsiTheme="minorEastAsia" w:eastAsiaTheme="minorEastAsia"/>
                <w:color w:val="auto"/>
                <w:kern w:val="2"/>
                <w:szCs w:val="24"/>
                <w:highlight w:val="none"/>
              </w:rPr>
              <w:t>施</w:t>
            </w:r>
          </w:p>
        </w:tc>
        <w:tc>
          <w:tcPr>
            <w:tcW w:w="8527" w:type="dxa"/>
            <w:vAlign w:val="center"/>
          </w:tcPr>
          <w:p w14:paraId="34F7B446">
            <w:pPr>
              <w:keepNext w:val="0"/>
              <w:keepLines w:val="0"/>
              <w:pageBreakBefore w:val="0"/>
              <w:kinsoku/>
              <w:wordWrap/>
              <w:overflowPunct w:val="0"/>
              <w:bidi w:val="0"/>
              <w:adjustRightInd/>
              <w:snapToGrid/>
              <w:spacing w:line="360" w:lineRule="auto"/>
              <w:textAlignment w:val="baseline"/>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施工期环境保护措施</w:t>
            </w:r>
          </w:p>
          <w:p w14:paraId="596EE9AA">
            <w:pPr>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8"/>
                <w:sz w:val="24"/>
                <w:szCs w:val="24"/>
              </w:rPr>
            </w:pPr>
            <w:r>
              <w:rPr>
                <w:rFonts w:hint="default" w:ascii="Times New Roman" w:hAnsi="Times New Roman" w:eastAsia="宋体" w:cs="Times New Roman"/>
                <w:color w:val="auto"/>
                <w:kern w:val="2"/>
                <w:sz w:val="24"/>
                <w:szCs w:val="24"/>
                <w:lang w:val="en-US" w:eastAsia="zh-CN" w:bidi="ar"/>
              </w:rPr>
              <w:t>本项目租赁已建好厂房</w:t>
            </w:r>
            <w:r>
              <w:rPr>
                <w:rFonts w:hint="eastAsia" w:ascii="Times New Roman" w:hAnsi="Times New Roman" w:eastAsia="宋体" w:cs="Times New Roman"/>
                <w:color w:val="auto"/>
                <w:kern w:val="2"/>
                <w:sz w:val="24"/>
                <w:szCs w:val="24"/>
                <w:lang w:val="en-US" w:eastAsia="zh-CN" w:bidi="ar"/>
              </w:rPr>
              <w:t>，主要施工工程为</w:t>
            </w:r>
            <w:r>
              <w:rPr>
                <w:rFonts w:hint="default" w:ascii="Times New Roman" w:hAnsi="Times New Roman" w:eastAsia="宋体" w:cs="Times New Roman"/>
                <w:color w:val="auto"/>
                <w:kern w:val="2"/>
                <w:sz w:val="24"/>
                <w:szCs w:val="24"/>
                <w:lang w:val="en-US" w:eastAsia="zh-CN" w:bidi="ar"/>
              </w:rPr>
              <w:t>安装生产设备，并新建</w:t>
            </w:r>
            <w:r>
              <w:rPr>
                <w:rFonts w:hint="eastAsia" w:ascii="Times New Roman" w:hAnsi="Times New Roman" w:eastAsia="宋体" w:cs="Times New Roman"/>
                <w:color w:val="auto"/>
                <w:kern w:val="0"/>
                <w:sz w:val="24"/>
                <w:szCs w:val="24"/>
                <w:lang w:val="en-US" w:eastAsia="zh-CN" w:bidi="ar"/>
              </w:rPr>
              <w:t>危废</w:t>
            </w:r>
            <w:r>
              <w:rPr>
                <w:rFonts w:hint="eastAsia" w:ascii="Times New Roman" w:hAnsi="Times New Roman" w:cs="Times New Roman"/>
                <w:color w:val="auto"/>
                <w:kern w:val="0"/>
                <w:sz w:val="24"/>
                <w:szCs w:val="24"/>
                <w:lang w:val="en-US" w:eastAsia="zh-CN" w:bidi="ar"/>
              </w:rPr>
              <w:t>贮存库</w:t>
            </w:r>
            <w:r>
              <w:rPr>
                <w:rFonts w:hint="default" w:ascii="Times New Roman" w:hAnsi="Times New Roman" w:eastAsia="宋体" w:cs="Times New Roman"/>
                <w:color w:val="auto"/>
                <w:kern w:val="2"/>
                <w:sz w:val="24"/>
                <w:szCs w:val="24"/>
                <w:lang w:val="en-US" w:eastAsia="zh-CN" w:bidi="ar"/>
              </w:rPr>
              <w:t>。施工期间产生的大气污染主要为扬尘和汽车尾气；废水污染主要为建筑施工废水；噪声污染主要为</w:t>
            </w:r>
            <w:r>
              <w:rPr>
                <w:rFonts w:hint="default" w:ascii="Times New Roman" w:hAnsi="Times New Roman" w:eastAsia="宋体" w:cs="Times New Roman"/>
                <w:color w:val="auto"/>
                <w:kern w:val="28"/>
                <w:sz w:val="24"/>
                <w:szCs w:val="24"/>
                <w:lang w:val="en-US" w:eastAsia="zh-CN" w:bidi="ar"/>
              </w:rPr>
              <w:t>各类高噪声施工机械产生的噪声；生态影响主要为施工期间的水土流失。总体来说，施工期的</w:t>
            </w:r>
            <w:r>
              <w:rPr>
                <w:rFonts w:hint="eastAsia" w:cs="Times New Roman"/>
                <w:color w:val="auto"/>
                <w:kern w:val="28"/>
                <w:sz w:val="24"/>
                <w:szCs w:val="24"/>
                <w:lang w:val="en-US" w:eastAsia="zh-CN" w:bidi="ar"/>
              </w:rPr>
              <w:t>生态</w:t>
            </w:r>
            <w:r>
              <w:rPr>
                <w:rFonts w:hint="default" w:ascii="Times New Roman" w:hAnsi="Times New Roman" w:eastAsia="宋体" w:cs="Times New Roman"/>
                <w:color w:val="auto"/>
                <w:kern w:val="28"/>
                <w:sz w:val="24"/>
                <w:szCs w:val="24"/>
                <w:lang w:val="en-US" w:eastAsia="zh-CN" w:bidi="ar"/>
              </w:rPr>
              <w:t>环境影响是暂时的，随着施工期的结束其污染将随之消失。</w:t>
            </w:r>
          </w:p>
          <w:p w14:paraId="3390F687">
            <w:pPr>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jc w:val="both"/>
              <w:rPr>
                <w:rFonts w:hint="default" w:ascii="Times New Roman" w:hAnsi="Times New Roman" w:eastAsia="宋体" w:cs="Times New Roman"/>
                <w:b/>
                <w:bCs w:val="0"/>
                <w:color w:val="auto"/>
                <w:kern w:val="2"/>
                <w:sz w:val="24"/>
                <w:szCs w:val="24"/>
              </w:rPr>
            </w:pPr>
            <w:r>
              <w:rPr>
                <w:rFonts w:hint="default" w:ascii="Times New Roman" w:hAnsi="Times New Roman" w:eastAsia="宋体" w:cs="Times New Roman"/>
                <w:b/>
                <w:bCs w:val="0"/>
                <w:color w:val="auto"/>
                <w:kern w:val="2"/>
                <w:sz w:val="24"/>
                <w:szCs w:val="24"/>
                <w:lang w:val="en-US" w:eastAsia="zh-CN" w:bidi="ar"/>
              </w:rPr>
              <w:t>1</w:t>
            </w:r>
            <w:r>
              <w:rPr>
                <w:rFonts w:hint="eastAsia" w:cs="Times New Roman"/>
                <w:b/>
                <w:bCs w:val="0"/>
                <w:color w:val="auto"/>
                <w:kern w:val="2"/>
                <w:sz w:val="24"/>
                <w:szCs w:val="24"/>
                <w:lang w:val="en-US" w:eastAsia="zh-CN" w:bidi="ar"/>
              </w:rPr>
              <w:t>、</w:t>
            </w:r>
            <w:r>
              <w:rPr>
                <w:rFonts w:hint="default" w:ascii="Times New Roman" w:hAnsi="Times New Roman" w:eastAsia="宋体" w:cs="Times New Roman"/>
                <w:b/>
                <w:bCs w:val="0"/>
                <w:color w:val="auto"/>
                <w:kern w:val="2"/>
                <w:sz w:val="24"/>
                <w:szCs w:val="24"/>
                <w:lang w:val="en-US" w:eastAsia="zh-CN" w:bidi="ar"/>
              </w:rPr>
              <w:t>施工期大气污染防治措施</w:t>
            </w:r>
          </w:p>
          <w:p w14:paraId="5B0589A8">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为有效防治本项目施工可能产生的环境空气污染，建议采取以下防治措施。</w:t>
            </w:r>
          </w:p>
          <w:p w14:paraId="47E39859">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（1）施工过程中，应洒水使作业面保持一定湿度；对施工场地内松散、干涸的表土，也应经常洒水降尘；回填土方时，在表层土质干燥时应适当洒水，防止粉尘飞扬。</w:t>
            </w:r>
          </w:p>
          <w:p w14:paraId="5F5DEC93">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（2）建筑材料的防尘管理措施：施工过程中使用水泥、石灰、砂石、钢筋、铺装材料等易产生扬尘的建筑材料，应采取下列措施之一：a.密闭存储；b.设置围挡或堆砌围墙；c.采用防尘布苫盖。</w:t>
            </w:r>
          </w:p>
          <w:p w14:paraId="3B5E18E8">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（3）建筑垃圾的防尘管理措施：施工工程中产生的弃料及其他建筑垃圾，应及时清运。若在工地内堆置超过一周的，则应采取下列措施之一：a.覆盖防尘布、防尘网；b.定期喷水压尘。</w:t>
            </w:r>
          </w:p>
          <w:p w14:paraId="0F594535">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w:t>
            </w:r>
            <w:r>
              <w:rPr>
                <w:rFonts w:hint="eastAsia" w:ascii="Times New Roman" w:hAnsi="Times New Roman" w:eastAsia="宋体" w:cs="Times New Roman"/>
                <w:color w:val="auto"/>
                <w:kern w:val="2"/>
                <w:sz w:val="24"/>
                <w:szCs w:val="24"/>
                <w:lang w:val="en-US" w:eastAsia="zh-CN" w:bidi="ar"/>
              </w:rPr>
              <w:t>4</w:t>
            </w:r>
            <w:r>
              <w:rPr>
                <w:rFonts w:hint="default" w:ascii="Times New Roman" w:hAnsi="Times New Roman" w:eastAsia="宋体" w:cs="Times New Roman"/>
                <w:color w:val="auto"/>
                <w:kern w:val="2"/>
                <w:sz w:val="24"/>
                <w:szCs w:val="24"/>
                <w:lang w:val="en-US" w:eastAsia="zh-CN" w:bidi="ar"/>
              </w:rPr>
              <w:t>）对于工地内裸露地面，应采取下列防尘措施之一：a.覆盖防尘布或防尘网；b.铺设礁渣、细石或其他功能相当的材料；c.做好绿化工作；d.定时定量洒水。</w:t>
            </w:r>
          </w:p>
          <w:p w14:paraId="4BCBF19B">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w:t>
            </w:r>
            <w:r>
              <w:rPr>
                <w:rFonts w:hint="eastAsia" w:ascii="Times New Roman" w:hAnsi="Times New Roman" w:eastAsia="宋体" w:cs="Times New Roman"/>
                <w:color w:val="auto"/>
                <w:kern w:val="2"/>
                <w:sz w:val="24"/>
                <w:szCs w:val="24"/>
                <w:lang w:val="en-US" w:eastAsia="zh-CN" w:bidi="ar"/>
              </w:rPr>
              <w:t>5</w:t>
            </w:r>
            <w:r>
              <w:rPr>
                <w:rFonts w:hint="default" w:ascii="Times New Roman" w:hAnsi="Times New Roman" w:eastAsia="宋体" w:cs="Times New Roman"/>
                <w:color w:val="auto"/>
                <w:kern w:val="2"/>
                <w:sz w:val="24"/>
                <w:szCs w:val="24"/>
                <w:lang w:val="en-US" w:eastAsia="zh-CN" w:bidi="ar"/>
              </w:rPr>
              <w:t>）混凝土的防尘措施：施工期间需使用混凝土时，可使用预拌商品混凝土，不得现场露天搅拌混凝土、消化石灰及拌石灰土等。应尽量采用石材、木制等成品或半成品，实施装配式施工，减少因石材，木制品切割所造成的扬尘污染。</w:t>
            </w:r>
          </w:p>
          <w:p w14:paraId="0A054567">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w:t>
            </w:r>
            <w:r>
              <w:rPr>
                <w:rFonts w:hint="eastAsia" w:ascii="Times New Roman" w:hAnsi="Times New Roman" w:eastAsia="宋体" w:cs="Times New Roman"/>
                <w:color w:val="auto"/>
                <w:kern w:val="2"/>
                <w:sz w:val="24"/>
                <w:szCs w:val="24"/>
                <w:lang w:val="en-US" w:eastAsia="zh-CN" w:bidi="ar"/>
              </w:rPr>
              <w:t>6</w:t>
            </w:r>
            <w:r>
              <w:rPr>
                <w:rFonts w:hint="default" w:ascii="Times New Roman" w:hAnsi="Times New Roman" w:eastAsia="宋体" w:cs="Times New Roman"/>
                <w:color w:val="auto"/>
                <w:kern w:val="2"/>
                <w:sz w:val="24"/>
                <w:szCs w:val="24"/>
                <w:lang w:val="en-US" w:eastAsia="zh-CN" w:bidi="ar"/>
              </w:rPr>
              <w:t>）物料、垃圾等纵向输送作业的防尘措施：施工期间，工地内从建筑上层将具有粉尘逸散性的物料、废弃物输送至地面建筑内部管道或密闭输送管道输送，或者打包装框搬运，不得凌空抛撒。</w:t>
            </w:r>
          </w:p>
          <w:p w14:paraId="7355A268">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w:t>
            </w:r>
            <w:r>
              <w:rPr>
                <w:rFonts w:hint="eastAsia" w:ascii="Times New Roman" w:hAnsi="Times New Roman" w:eastAsia="宋体" w:cs="Times New Roman"/>
                <w:color w:val="auto"/>
                <w:kern w:val="2"/>
                <w:sz w:val="24"/>
                <w:szCs w:val="24"/>
                <w:lang w:val="en-US" w:eastAsia="zh-CN" w:bidi="ar"/>
              </w:rPr>
              <w:t>7</w:t>
            </w:r>
            <w:r>
              <w:rPr>
                <w:rFonts w:hint="default" w:ascii="Times New Roman" w:hAnsi="Times New Roman" w:eastAsia="宋体" w:cs="Times New Roman"/>
                <w:color w:val="auto"/>
                <w:kern w:val="2"/>
                <w:sz w:val="24"/>
                <w:szCs w:val="24"/>
                <w:lang w:val="en-US" w:eastAsia="zh-CN" w:bidi="ar"/>
              </w:rPr>
              <w:t>）工地应设专职人员负责扬尘控制措施的实施和监督。由专人负责逸散性材料、垃圾、渣土、裸地等密闭、覆盖、洒水作业以及车辆清洗作业等，并记录扬尘控制措施的实施情况。</w:t>
            </w:r>
          </w:p>
          <w:p w14:paraId="54A648B3">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w:t>
            </w:r>
            <w:r>
              <w:rPr>
                <w:rFonts w:hint="eastAsia" w:ascii="Times New Roman" w:hAnsi="Times New Roman" w:eastAsia="宋体" w:cs="Times New Roman"/>
                <w:color w:val="auto"/>
                <w:kern w:val="2"/>
                <w:sz w:val="24"/>
                <w:szCs w:val="24"/>
                <w:lang w:val="en-US" w:eastAsia="zh-CN" w:bidi="ar"/>
              </w:rPr>
              <w:t>8</w:t>
            </w:r>
            <w:r>
              <w:rPr>
                <w:rFonts w:hint="default" w:ascii="Times New Roman" w:hAnsi="Times New Roman" w:eastAsia="宋体" w:cs="Times New Roman"/>
                <w:color w:val="auto"/>
                <w:kern w:val="2"/>
                <w:sz w:val="24"/>
                <w:szCs w:val="24"/>
                <w:lang w:val="en-US" w:eastAsia="zh-CN" w:bidi="ar"/>
              </w:rPr>
              <w:t>）做好施工现场的清洁工作。施工后期采用机械清运，此时扬尘污染最重，应采取洒水抑尘措施，设置围挡，降低扬尘污染。</w:t>
            </w:r>
          </w:p>
          <w:p w14:paraId="6413BC06">
            <w:pPr>
              <w:keepNext w:val="0"/>
              <w:keepLines w:val="0"/>
              <w:pageBreakBefore w:val="0"/>
              <w:widowControl w:val="0"/>
              <w:suppressLineNumbers w:val="0"/>
              <w:kinsoku/>
              <w:wordWrap/>
              <w:autoSpaceDE w:val="0"/>
              <w:autoSpaceDN w:val="0"/>
              <w:bidi w:val="0"/>
              <w:adjustRightInd/>
              <w:snapToGrid/>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kern w:val="2"/>
                <w:sz w:val="24"/>
                <w:szCs w:val="24"/>
                <w:vertAlign w:val="baseline"/>
              </w:rPr>
            </w:pPr>
            <w:r>
              <w:rPr>
                <w:rFonts w:hint="default" w:ascii="Times New Roman" w:hAnsi="Times New Roman" w:eastAsia="宋体" w:cs="Times New Roman"/>
                <w:color w:val="auto"/>
                <w:kern w:val="2"/>
                <w:sz w:val="24"/>
                <w:szCs w:val="24"/>
                <w:vertAlign w:val="baseline"/>
                <w:lang w:val="en-US" w:eastAsia="zh-CN" w:bidi="ar"/>
              </w:rPr>
              <w:t>综上所述，在采取相应措施并严格按照本评价要求进行施工的前提下，本项目施工大气污染物对周围大气环境影响不大，且随施工结束而消除。</w:t>
            </w:r>
          </w:p>
          <w:p w14:paraId="4BF52775">
            <w:pPr>
              <w:keepNext w:val="0"/>
              <w:keepLines w:val="0"/>
              <w:pageBreakBefore w:val="0"/>
              <w:widowControl w:val="0"/>
              <w:suppressLineNumbers w:val="0"/>
              <w:kinsoku/>
              <w:wordWrap/>
              <w:overflowPunct w:val="0"/>
              <w:topLinePunct/>
              <w:bidi w:val="0"/>
              <w:adjustRightInd/>
              <w:snapToGrid/>
              <w:spacing w:before="0" w:beforeAutospacing="0" w:after="0" w:afterAutospacing="0" w:line="360" w:lineRule="auto"/>
              <w:ind w:left="0" w:right="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b/>
                <w:bCs w:val="0"/>
                <w:color w:val="auto"/>
                <w:kern w:val="2"/>
                <w:sz w:val="24"/>
                <w:szCs w:val="24"/>
                <w:lang w:val="en-US" w:eastAsia="zh-CN" w:bidi="ar"/>
              </w:rPr>
              <w:t>2</w:t>
            </w:r>
            <w:r>
              <w:rPr>
                <w:rFonts w:hint="eastAsia" w:cs="Times New Roman"/>
                <w:b/>
                <w:bCs w:val="0"/>
                <w:color w:val="auto"/>
                <w:kern w:val="2"/>
                <w:sz w:val="24"/>
                <w:szCs w:val="24"/>
                <w:lang w:val="en-US" w:eastAsia="zh-CN" w:bidi="ar"/>
              </w:rPr>
              <w:t>、</w:t>
            </w:r>
            <w:r>
              <w:rPr>
                <w:rFonts w:hint="default" w:ascii="Times New Roman" w:hAnsi="Times New Roman" w:eastAsia="宋体" w:cs="Times New Roman"/>
                <w:b/>
                <w:bCs w:val="0"/>
                <w:color w:val="auto"/>
                <w:kern w:val="2"/>
                <w:sz w:val="24"/>
                <w:szCs w:val="24"/>
                <w:lang w:val="en-US" w:eastAsia="zh-CN" w:bidi="ar"/>
              </w:rPr>
              <w:t>施工期废水影响治理措施</w:t>
            </w:r>
          </w:p>
          <w:p w14:paraId="411FC51F">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（1）工程施工期间，施工单位应严格执行《建设工程施工场地文明施工及环境管理暂行规定》，对排水进行组织设计，严禁乱排、乱流污染环境。</w:t>
            </w:r>
          </w:p>
          <w:p w14:paraId="10B026A2">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（2）在施工场地混凝土养护废水产生点应设置临时沉淀池，含泥沙雨水、泥浆水经沉淀后回用到生产中去。</w:t>
            </w:r>
          </w:p>
          <w:p w14:paraId="44F7AD10">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（3）加强施工机械设备的维修保养，避免在施工过程中燃料油的跑、冒、滴、漏。</w:t>
            </w:r>
          </w:p>
          <w:p w14:paraId="250A6030">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（4）不得随意在施工区域内冲洗汽车，对施工机械进行检修和清洗时必须定点，检修和清洗场地必须经水泥硬化，清洗污水应根据废水性质进行沉淀处理，用于道路的洒水降尘。</w:t>
            </w:r>
          </w:p>
          <w:p w14:paraId="56B68159">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（5）施工单位对施工场地用水应严格管理，贯彻“一水多用、重复利用、节约用水”的原则，尽量减少废水的排放量，减轻废水排放对周围环境的影响。</w:t>
            </w:r>
          </w:p>
          <w:p w14:paraId="376A98BF">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综上所述，只要加强管理，把以上措施落到实处，施工废水对项目所在区域水环境影响很小。</w:t>
            </w:r>
          </w:p>
          <w:p w14:paraId="10EBDA21">
            <w:pPr>
              <w:pStyle w:val="29"/>
              <w:keepNext w:val="0"/>
              <w:keepLines w:val="0"/>
              <w:pageBreakBefore w:val="0"/>
              <w:widowControl w:val="0"/>
              <w:suppressLineNumbers w:val="0"/>
              <w:kinsoku/>
              <w:wordWrap/>
              <w:overflowPunct w:val="0"/>
              <w:topLinePunct/>
              <w:bidi w:val="0"/>
              <w:adjustRightInd/>
              <w:snapToGrid/>
              <w:spacing w:before="0" w:beforeAutospacing="0" w:after="0" w:afterAutospacing="0" w:line="360" w:lineRule="auto"/>
              <w:ind w:left="0" w:right="0"/>
              <w:jc w:val="both"/>
              <w:rPr>
                <w:rFonts w:hint="default" w:ascii="Times New Roman" w:hAnsi="Times New Roman" w:eastAsia="宋体" w:cs="Times New Roman"/>
                <w:b/>
                <w:bCs w:val="0"/>
                <w:color w:val="auto"/>
                <w:kern w:val="0"/>
                <w:sz w:val="24"/>
                <w:szCs w:val="24"/>
              </w:rPr>
            </w:pPr>
            <w:r>
              <w:rPr>
                <w:rFonts w:hint="default" w:ascii="Times New Roman" w:hAnsi="Times New Roman" w:eastAsia="宋体" w:cs="Times New Roman"/>
                <w:b/>
                <w:bCs w:val="0"/>
                <w:color w:val="auto"/>
                <w:kern w:val="0"/>
                <w:sz w:val="24"/>
                <w:szCs w:val="24"/>
                <w:lang w:val="en-US" w:eastAsia="zh-CN" w:bidi="ar"/>
              </w:rPr>
              <w:t>3</w:t>
            </w:r>
            <w:r>
              <w:rPr>
                <w:rFonts w:hint="eastAsia" w:ascii="Times New Roman" w:hAnsi="Times New Roman" w:cs="Times New Roman"/>
                <w:b/>
                <w:bCs w:val="0"/>
                <w:color w:val="auto"/>
                <w:kern w:val="0"/>
                <w:sz w:val="24"/>
                <w:szCs w:val="24"/>
                <w:lang w:val="en-US" w:eastAsia="zh-CN" w:bidi="ar"/>
              </w:rPr>
              <w:t>、</w:t>
            </w:r>
            <w:r>
              <w:rPr>
                <w:rFonts w:hint="default" w:ascii="Times New Roman" w:hAnsi="Times New Roman" w:eastAsia="宋体" w:cs="Times New Roman"/>
                <w:b/>
                <w:bCs w:val="0"/>
                <w:color w:val="auto"/>
                <w:kern w:val="0"/>
                <w:sz w:val="24"/>
                <w:szCs w:val="24"/>
                <w:lang w:val="en-US" w:eastAsia="zh-CN" w:bidi="ar"/>
              </w:rPr>
              <w:t>施工期噪声治理措施</w:t>
            </w:r>
          </w:p>
          <w:p w14:paraId="42FCCB03">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8"/>
                <w:sz w:val="24"/>
                <w:szCs w:val="24"/>
              </w:rPr>
            </w:pPr>
            <w:r>
              <w:rPr>
                <w:rFonts w:hint="default" w:ascii="Times New Roman" w:hAnsi="Times New Roman" w:eastAsia="宋体" w:cs="Times New Roman"/>
                <w:color w:val="auto"/>
                <w:kern w:val="28"/>
                <w:sz w:val="24"/>
                <w:szCs w:val="24"/>
                <w:lang w:val="en-US" w:eastAsia="zh-CN" w:bidi="ar"/>
              </w:rPr>
              <w:t>施工工地噪声主要是施工机械设备噪声，物料装卸碰撞噪声及施工人员的活动噪声。</w:t>
            </w:r>
          </w:p>
          <w:p w14:paraId="01062C12">
            <w:pPr>
              <w:pStyle w:val="29"/>
              <w:keepNext w:val="0"/>
              <w:keepLines w:val="0"/>
              <w:pageBreakBefore w:val="0"/>
              <w:widowControl w:val="0"/>
              <w:suppressLineNumbers w:val="0"/>
              <w:kinsoku/>
              <w:wordWrap/>
              <w:overflowPunct w:val="0"/>
              <w:topLinePunct/>
              <w:bidi w:val="0"/>
              <w:adjustRightInd/>
              <w:snapToGrid/>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kern w:val="0"/>
                <w:sz w:val="24"/>
                <w:szCs w:val="24"/>
                <w:vertAlign w:val="baseline"/>
              </w:rPr>
            </w:pPr>
            <w:r>
              <w:rPr>
                <w:rFonts w:hint="default" w:ascii="Times New Roman" w:hAnsi="Times New Roman" w:eastAsia="宋体" w:cs="Times New Roman"/>
                <w:color w:val="auto"/>
                <w:kern w:val="0"/>
                <w:sz w:val="24"/>
                <w:szCs w:val="24"/>
                <w:vertAlign w:val="baseline"/>
                <w:lang w:val="en-US" w:eastAsia="zh-CN" w:bidi="ar"/>
              </w:rPr>
              <w:t>本项目应采取减少产生和个人防护等多种措施来共同治理噪声。具体治理措施如下。</w:t>
            </w:r>
          </w:p>
          <w:p w14:paraId="4498B255">
            <w:pPr>
              <w:pStyle w:val="29"/>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lang w:val="en-US" w:eastAsia="zh-CN" w:bidi="ar"/>
              </w:rPr>
              <w:t>（1）合理安排好施工时间，尽量缩短施工期，减少对周围环境的影响。</w:t>
            </w:r>
          </w:p>
          <w:p w14:paraId="66183E91">
            <w:pPr>
              <w:pStyle w:val="29"/>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lang w:val="en-US" w:eastAsia="zh-CN" w:bidi="ar"/>
              </w:rPr>
              <w:t>（2）施工设备选型时，在满足施工需要的前提下，尽可能选取噪声低、振动小、能耗小的先进设备，并避免长时间使用高噪声设备，加强施工机械的维护保养，高噪声设备设置在施工场地中部并修建临时隔声棚，并加强对现场工作人员进行培训，严格按操作规范使用各类机械设备。</w:t>
            </w:r>
          </w:p>
          <w:p w14:paraId="651E2325">
            <w:pPr>
              <w:pStyle w:val="29"/>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lang w:val="en-US" w:eastAsia="zh-CN" w:bidi="ar"/>
              </w:rPr>
              <w:t>（3）尽量将相对固定的机械设备入棚操作。</w:t>
            </w:r>
          </w:p>
          <w:p w14:paraId="3C015FAE">
            <w:pPr>
              <w:pStyle w:val="29"/>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lang w:val="en-US" w:eastAsia="zh-CN" w:bidi="ar"/>
              </w:rPr>
              <w:t>（4）将现场噪声源尽可能集中，缩小噪声范围。</w:t>
            </w:r>
          </w:p>
          <w:p w14:paraId="49AE66E5">
            <w:pPr>
              <w:pStyle w:val="29"/>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lang w:val="en-US" w:eastAsia="zh-CN" w:bidi="ar"/>
              </w:rPr>
              <w:t>（5）施工车辆的运行路线应尽量避开噪声敏感区域，严禁夜间装卸物料，材料运输车辆进入场地需安排专人指挥，场内禁止汽车鸣笛，材料装卸采用人工传递，严禁抛掷。</w:t>
            </w:r>
          </w:p>
          <w:p w14:paraId="4D36E1C3">
            <w:pPr>
              <w:pStyle w:val="29"/>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lang w:val="en-US" w:eastAsia="zh-CN" w:bidi="ar"/>
              </w:rPr>
              <w:t>（6）施工现场使用降噪安全围帘遮挡。</w:t>
            </w:r>
          </w:p>
          <w:p w14:paraId="2F90B721">
            <w:pPr>
              <w:pStyle w:val="29"/>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lang w:val="en-US" w:eastAsia="zh-CN" w:bidi="ar"/>
              </w:rPr>
              <w:t>（7）使用商品混凝土，杜绝现场混凝土拌合噪声，尽量选用低噪声混凝土输送泵。</w:t>
            </w:r>
          </w:p>
          <w:p w14:paraId="6B284A82">
            <w:pPr>
              <w:pStyle w:val="29"/>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lang w:val="en-US" w:eastAsia="zh-CN" w:bidi="ar"/>
              </w:rPr>
              <w:t>综上所述，在采取相应措施并严格按照本评价要求进行施工的前提下，本项目施工噪声对周围声环境影响可大大减轻，且随施工结束而消除。</w:t>
            </w:r>
          </w:p>
          <w:p w14:paraId="3AD9F9E5">
            <w:pPr>
              <w:pStyle w:val="29"/>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jc w:val="left"/>
              <w:rPr>
                <w:rFonts w:hint="default" w:ascii="Times New Roman" w:hAnsi="Times New Roman" w:eastAsia="宋体" w:cs="Times New Roman"/>
                <w:b/>
                <w:bCs w:val="0"/>
                <w:color w:val="auto"/>
                <w:kern w:val="0"/>
                <w:sz w:val="24"/>
                <w:szCs w:val="24"/>
              </w:rPr>
            </w:pPr>
            <w:r>
              <w:rPr>
                <w:rFonts w:hint="default" w:ascii="Times New Roman" w:hAnsi="Times New Roman" w:eastAsia="宋体" w:cs="Times New Roman"/>
                <w:b/>
                <w:bCs w:val="0"/>
                <w:color w:val="auto"/>
                <w:kern w:val="0"/>
                <w:sz w:val="24"/>
                <w:szCs w:val="24"/>
                <w:lang w:val="en-US" w:eastAsia="zh-CN" w:bidi="ar"/>
              </w:rPr>
              <w:t>4</w:t>
            </w:r>
            <w:r>
              <w:rPr>
                <w:rFonts w:hint="eastAsia" w:ascii="Times New Roman" w:hAnsi="Times New Roman" w:cs="Times New Roman"/>
                <w:b/>
                <w:bCs w:val="0"/>
                <w:color w:val="auto"/>
                <w:kern w:val="0"/>
                <w:sz w:val="24"/>
                <w:szCs w:val="24"/>
                <w:lang w:val="en-US" w:eastAsia="zh-CN" w:bidi="ar"/>
              </w:rPr>
              <w:t>、</w:t>
            </w:r>
            <w:r>
              <w:rPr>
                <w:rFonts w:hint="default" w:ascii="Times New Roman" w:hAnsi="Times New Roman" w:eastAsia="宋体" w:cs="Times New Roman"/>
                <w:b/>
                <w:bCs w:val="0"/>
                <w:color w:val="auto"/>
                <w:kern w:val="0"/>
                <w:sz w:val="24"/>
                <w:szCs w:val="24"/>
                <w:lang w:val="en-US" w:eastAsia="zh-CN" w:bidi="ar"/>
              </w:rPr>
              <w:t>施工期固体废弃物处置措施</w:t>
            </w:r>
          </w:p>
          <w:p w14:paraId="6F1E02CC">
            <w:pPr>
              <w:keepNext w:val="0"/>
              <w:keepLines w:val="0"/>
              <w:pageBreakBefore w:val="0"/>
              <w:widowControl w:val="0"/>
              <w:suppressLineNumbers w:val="0"/>
              <w:kinsoku/>
              <w:wordWrap/>
              <w:overflowPunct w:val="0"/>
              <w:topLinePunct/>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施工期间固体废弃物主要为施工垃圾和施工人员的生活垃圾。</w:t>
            </w:r>
          </w:p>
          <w:p w14:paraId="5D6945F3">
            <w:pPr>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为减少固体废物在堆放和运输过程中对环境的影响，建议进一步采取如下措施。</w:t>
            </w:r>
          </w:p>
          <w:p w14:paraId="5BB54285">
            <w:pPr>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（1）施工期间有部分施工垃圾如废砖、废钢铁、废油料等，这些建筑垃圾应分类收集，集中处理，回收利用，以实现固体废料的“减量化、资源化、无害化”。</w:t>
            </w:r>
          </w:p>
          <w:p w14:paraId="1785898F">
            <w:pPr>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（2）车辆运输散体物料和废弃物时，必须密闭、包扎、覆盖，不得沿途漏撒；运载土方的车辆必须在规定的时间内，按指定路段行驶。</w:t>
            </w:r>
          </w:p>
          <w:p w14:paraId="4F055E76">
            <w:pPr>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w:t>
            </w:r>
            <w:r>
              <w:rPr>
                <w:rFonts w:hint="eastAsia" w:ascii="Times New Roman" w:hAnsi="Times New Roman" w:eastAsia="宋体" w:cs="Times New Roman"/>
                <w:color w:val="auto"/>
                <w:kern w:val="2"/>
                <w:sz w:val="24"/>
                <w:szCs w:val="24"/>
                <w:lang w:val="en-US" w:eastAsia="zh-CN" w:bidi="ar"/>
              </w:rPr>
              <w:t>3</w:t>
            </w:r>
            <w:r>
              <w:rPr>
                <w:rFonts w:hint="default" w:ascii="Times New Roman" w:hAnsi="Times New Roman" w:eastAsia="宋体" w:cs="Times New Roman"/>
                <w:color w:val="auto"/>
                <w:kern w:val="2"/>
                <w:sz w:val="24"/>
                <w:szCs w:val="24"/>
                <w:lang w:val="en-US" w:eastAsia="zh-CN" w:bidi="ar"/>
              </w:rPr>
              <w:t>）施工单位应该在施工前5日向渣土管理部门申报建筑垃圾、工程渣土处置计划，如实填报建筑垃圾和渣土的种类、数量、运输路线及处置场地等事项，并与渣土管理部门签订环境卫生责任书。</w:t>
            </w:r>
          </w:p>
          <w:p w14:paraId="0860B7FD">
            <w:pPr>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w:t>
            </w:r>
            <w:r>
              <w:rPr>
                <w:rFonts w:hint="eastAsia" w:ascii="Times New Roman" w:hAnsi="Times New Roman" w:eastAsia="宋体" w:cs="Times New Roman"/>
                <w:color w:val="auto"/>
                <w:kern w:val="2"/>
                <w:sz w:val="24"/>
                <w:szCs w:val="24"/>
                <w:lang w:val="en-US" w:eastAsia="zh-CN" w:bidi="ar"/>
              </w:rPr>
              <w:t>4</w:t>
            </w:r>
            <w:r>
              <w:rPr>
                <w:rFonts w:hint="default" w:ascii="Times New Roman" w:hAnsi="Times New Roman" w:eastAsia="宋体" w:cs="Times New Roman"/>
                <w:color w:val="auto"/>
                <w:kern w:val="2"/>
                <w:sz w:val="24"/>
                <w:szCs w:val="24"/>
                <w:lang w:val="en-US" w:eastAsia="zh-CN" w:bidi="ar"/>
              </w:rPr>
              <w:t>）施工部门应当持渣土管理部门核发的处置证明，向运输单位办理建筑垃圾、工程渣土托运手续。运输车辆在运输工程弃土、建筑垃圾时应随车携带处置证明，接受渣土管理部门的检查，运输路线应按渣土管理部门会同交通管理部门规定的线路运输。</w:t>
            </w:r>
          </w:p>
          <w:p w14:paraId="789FC4A9">
            <w:pPr>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w:t>
            </w:r>
            <w:r>
              <w:rPr>
                <w:rFonts w:hint="eastAsia" w:ascii="Times New Roman" w:hAnsi="Times New Roman" w:eastAsia="宋体" w:cs="Times New Roman"/>
                <w:color w:val="auto"/>
                <w:kern w:val="2"/>
                <w:sz w:val="24"/>
                <w:szCs w:val="24"/>
                <w:lang w:val="en-US" w:eastAsia="zh-CN" w:bidi="ar"/>
              </w:rPr>
              <w:t>5</w:t>
            </w:r>
            <w:r>
              <w:rPr>
                <w:rFonts w:hint="default" w:ascii="Times New Roman" w:hAnsi="Times New Roman" w:eastAsia="宋体" w:cs="Times New Roman"/>
                <w:color w:val="auto"/>
                <w:kern w:val="2"/>
                <w:sz w:val="24"/>
                <w:szCs w:val="24"/>
                <w:lang w:val="en-US" w:eastAsia="zh-CN" w:bidi="ar"/>
              </w:rPr>
              <w:t>）在工程完工后，应当立即将工地的剩余建筑垃圾、工程渣土处置干净，不得占用道路来堆放建筑垃圾和工程渣土。</w:t>
            </w:r>
          </w:p>
          <w:p w14:paraId="738C3EB6">
            <w:pPr>
              <w:keepNext w:val="0"/>
              <w:keepLines w:val="0"/>
              <w:pageBreakBefore w:val="0"/>
              <w:widowControl w:val="0"/>
              <w:suppressLineNumbers w:val="0"/>
              <w:kinsoku/>
              <w:wordWrap/>
              <w:topLinePunct/>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综上所述，项目建设将会对项目所在区域的大气环境、水环境、声环境产生一定程度的影响，但均属局部，短期不利影响，通过采取有效的预防和治理措施后，其影响程度将会大大降低，其影响范围也将减小，且随施工结束消失。</w:t>
            </w:r>
          </w:p>
          <w:p w14:paraId="207ABAC2">
            <w:pPr>
              <w:pStyle w:val="29"/>
              <w:keepNext w:val="0"/>
              <w:keepLines w:val="0"/>
              <w:pageBreakBefore w:val="0"/>
              <w:widowControl w:val="0"/>
              <w:suppressLineNumbers w:val="0"/>
              <w:kinsoku/>
              <w:wordWrap/>
              <w:overflowPunct w:val="0"/>
              <w:bidi w:val="0"/>
              <w:adjustRightInd/>
              <w:snapToGrid/>
              <w:spacing w:before="0" w:beforeAutospacing="0" w:after="0" w:afterAutospacing="0" w:line="360" w:lineRule="auto"/>
              <w:ind w:left="0" w:right="0"/>
              <w:jc w:val="both"/>
              <w:textAlignment w:val="baseline"/>
              <w:rPr>
                <w:rFonts w:hint="default" w:ascii="Times New Roman" w:hAnsi="Times New Roman" w:eastAsia="宋体" w:cs="Times New Roman"/>
                <w:b/>
                <w:bCs w:val="0"/>
                <w:color w:val="auto"/>
                <w:kern w:val="0"/>
                <w:sz w:val="24"/>
                <w:szCs w:val="24"/>
                <w:vertAlign w:val="baseline"/>
              </w:rPr>
            </w:pPr>
            <w:r>
              <w:rPr>
                <w:rFonts w:hint="default" w:ascii="Times New Roman" w:hAnsi="Times New Roman" w:eastAsia="宋体" w:cs="Times New Roman"/>
                <w:b/>
                <w:bCs w:val="0"/>
                <w:color w:val="auto"/>
                <w:kern w:val="0"/>
                <w:sz w:val="24"/>
                <w:szCs w:val="24"/>
                <w:vertAlign w:val="baseline"/>
                <w:lang w:val="en-US" w:eastAsia="zh-CN" w:bidi="ar"/>
              </w:rPr>
              <w:t>5</w:t>
            </w:r>
            <w:r>
              <w:rPr>
                <w:rFonts w:hint="eastAsia" w:ascii="Times New Roman" w:hAnsi="Times New Roman" w:cs="Times New Roman"/>
                <w:b/>
                <w:bCs w:val="0"/>
                <w:color w:val="auto"/>
                <w:kern w:val="0"/>
                <w:sz w:val="24"/>
                <w:szCs w:val="24"/>
                <w:vertAlign w:val="baseline"/>
                <w:lang w:val="en-US" w:eastAsia="zh-CN" w:bidi="ar"/>
              </w:rPr>
              <w:t>、</w:t>
            </w:r>
            <w:r>
              <w:rPr>
                <w:rFonts w:hint="default" w:ascii="Times New Roman" w:hAnsi="Times New Roman" w:eastAsia="宋体" w:cs="Times New Roman"/>
                <w:b/>
                <w:bCs w:val="0"/>
                <w:color w:val="auto"/>
                <w:kern w:val="0"/>
                <w:sz w:val="24"/>
                <w:szCs w:val="24"/>
                <w:vertAlign w:val="baseline"/>
                <w:lang w:val="en-US" w:eastAsia="zh-CN" w:bidi="ar"/>
              </w:rPr>
              <w:t>施工期生态环境保护措施</w:t>
            </w:r>
          </w:p>
          <w:p w14:paraId="5B121026">
            <w:pPr>
              <w:keepNext w:val="0"/>
              <w:keepLines w:val="0"/>
              <w:pageBreakBefore w:val="0"/>
              <w:widowControl/>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lang w:val="en-US" w:eastAsia="zh-CN" w:bidi="ar"/>
              </w:rPr>
              <w:t>施工期对项目区土壤生态环境的影响主要是永久性占用土地，使土地使用功能发生改变，对土壤的机械扰动造成土壤物理特征和结构的改变。</w:t>
            </w:r>
          </w:p>
          <w:p w14:paraId="7844358D">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办公生活区建设时各类管线（给排水管道和电力线路）的开挖敷设等基础设施建设的临时用地，也将对土壤环境造成影响，主要表现在地基开挖，设施修筑及地面的平整紧压等对土壤的扰动和堆积覆盖。</w:t>
            </w:r>
          </w:p>
          <w:p w14:paraId="400E9E39">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本评价要求建设方采取以下生态环境影响减缓措施。</w:t>
            </w:r>
          </w:p>
          <w:p w14:paraId="7C800546">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（1）施工前划定施工界限，严禁破坏项目区范围外的植被。</w:t>
            </w:r>
          </w:p>
          <w:p w14:paraId="557BE1B1">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（2）加强教育和管理，禁止施工人员砍伐项目区范围以外的林木，尽量减少对作业区以外的地表植被的损坏。</w:t>
            </w:r>
          </w:p>
          <w:p w14:paraId="3C71114E">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（3）施工开挖、填方，应严格按照批准的施工方案进行，避免任意取土和弃土，未经有关部门批准不得随意砍伐或改变附近区域的植被。</w:t>
            </w:r>
          </w:p>
          <w:p w14:paraId="04C56727">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b/>
                <w:bCs w:val="0"/>
                <w:color w:val="auto"/>
                <w:kern w:val="2"/>
                <w:sz w:val="24"/>
                <w:szCs w:val="24"/>
              </w:rPr>
            </w:pPr>
            <w:r>
              <w:rPr>
                <w:rFonts w:hint="default" w:ascii="Times New Roman" w:hAnsi="Times New Roman" w:eastAsia="宋体" w:cs="Times New Roman"/>
                <w:color w:val="auto"/>
                <w:kern w:val="2"/>
                <w:sz w:val="24"/>
                <w:szCs w:val="24"/>
                <w:lang w:val="en-US" w:eastAsia="zh-CN" w:bidi="ar"/>
              </w:rPr>
              <w:t>（4）施工完毕后使项目区绿化达到设计要求，改善项目区局部生态环境。</w:t>
            </w:r>
          </w:p>
          <w:p w14:paraId="0B9208B2">
            <w:pPr>
              <w:keepNext w:val="0"/>
              <w:keepLines w:val="0"/>
              <w:pageBreakBefore w:val="0"/>
              <w:widowControl w:val="0"/>
              <w:suppressLineNumbers w:val="0"/>
              <w:kinsoku/>
              <w:wordWrap/>
              <w:bidi w:val="0"/>
              <w:adjustRightInd/>
              <w:snapToGrid/>
              <w:spacing w:before="0" w:beforeAutospacing="0" w:after="0" w:afterAutospacing="0" w:line="360" w:lineRule="auto"/>
              <w:ind w:left="0" w:right="0"/>
              <w:jc w:val="both"/>
              <w:rPr>
                <w:rFonts w:hint="default" w:ascii="Times New Roman" w:hAnsi="Times New Roman" w:eastAsia="宋体" w:cs="Times New Roman"/>
                <w:b/>
                <w:bCs w:val="0"/>
                <w:color w:val="auto"/>
                <w:kern w:val="2"/>
                <w:sz w:val="24"/>
                <w:szCs w:val="24"/>
              </w:rPr>
            </w:pPr>
            <w:r>
              <w:rPr>
                <w:rFonts w:hint="default" w:ascii="Times New Roman" w:hAnsi="Times New Roman" w:eastAsia="宋体" w:cs="Times New Roman"/>
                <w:b/>
                <w:bCs w:val="0"/>
                <w:color w:val="auto"/>
                <w:kern w:val="2"/>
                <w:sz w:val="24"/>
                <w:szCs w:val="24"/>
                <w:lang w:val="en-US" w:eastAsia="zh-CN" w:bidi="ar"/>
              </w:rPr>
              <w:t>6</w:t>
            </w:r>
            <w:r>
              <w:rPr>
                <w:rFonts w:hint="eastAsia" w:cs="Times New Roman"/>
                <w:b/>
                <w:bCs w:val="0"/>
                <w:color w:val="auto"/>
                <w:kern w:val="2"/>
                <w:sz w:val="24"/>
                <w:szCs w:val="24"/>
                <w:lang w:val="en-US" w:eastAsia="zh-CN" w:bidi="ar"/>
              </w:rPr>
              <w:t>、</w:t>
            </w:r>
            <w:r>
              <w:rPr>
                <w:rFonts w:hint="default" w:ascii="Times New Roman" w:hAnsi="Times New Roman" w:eastAsia="宋体" w:cs="Times New Roman"/>
                <w:b/>
                <w:bCs w:val="0"/>
                <w:color w:val="auto"/>
                <w:kern w:val="2"/>
                <w:sz w:val="24"/>
                <w:szCs w:val="24"/>
                <w:lang w:val="en-US" w:eastAsia="zh-CN" w:bidi="ar"/>
              </w:rPr>
              <w:t>施工期的环境管理</w:t>
            </w:r>
          </w:p>
          <w:p w14:paraId="6C44BA3A">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施工承包商在进行工程承包时，应将施工期的环境污染控制列入承包内容，并在工程开工前和施工过程中制定相应的环保防治措施和工程计划，施工工地做到的</w:t>
            </w:r>
            <w:r>
              <w:rPr>
                <w:rFonts w:hint="eastAsia" w:ascii="Times New Roman" w:hAnsi="Times New Roman" w:eastAsia="宋体"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六个百分之百</w:t>
            </w:r>
            <w:r>
              <w:rPr>
                <w:rFonts w:hint="eastAsia" w:ascii="Times New Roman" w:hAnsi="Times New Roman" w:eastAsia="宋体"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w:t>
            </w:r>
          </w:p>
          <w:p w14:paraId="08B3A370">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（1）现场封闭管理百分之百。施工现场硬质围挡应连续设置，城区主要路段工地围挡高度不低于2.5m，一般路段的工地不低于1.8m，做到坚固、平稳、整洁、美观。在建工程外立面应用安全网实现全封闭围护。</w:t>
            </w:r>
          </w:p>
          <w:p w14:paraId="42729B06">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（2）场区道路硬化百分之百。主要通道、进出道路、材料加工区及办公生活区地面进行硬化处理。</w:t>
            </w:r>
          </w:p>
          <w:p w14:paraId="3363D304">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（3）物料篷布遮盖百分之百。施工现场内裸露的场地和集中堆放的土方应采取覆盖、固化或绿化等防尘措施。</w:t>
            </w:r>
          </w:p>
          <w:p w14:paraId="604FA2E3">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4）洒水清扫保洁百分之百。施工现场设专人负责卫生保洁，每天上午、下午各进行二次洒水降尘，遇到干旱和大风天气时，应增加洒水降尘次数，确保无浮土扬尘。开挖、回填等土方作业时，要辅以洒水压尘等措施。工程竣工后，施工现场的临设、围挡、垃圾等必须及时清理完毕，清理时必须采取有效的降尘措施。</w:t>
            </w:r>
          </w:p>
          <w:p w14:paraId="5EF39F29">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（5）物料密闭运输百分之百。易产生扬尘的建筑材料、渣土应采取密闭搬运、存储或采用防尘布苫盖等防尘措施。严禁熔融沥青、焚烧垃圾等有毒有害物质，禁止无牌无证车辆进入施工现场。</w:t>
            </w:r>
          </w:p>
          <w:p w14:paraId="02E928E5">
            <w:pPr>
              <w:keepNext w:val="0"/>
              <w:keepLines w:val="0"/>
              <w:pageBreakBefore w:val="0"/>
              <w:widowControl w:val="0"/>
              <w:suppressLineNumbers w:val="0"/>
              <w:kinsoku/>
              <w:wordWrap/>
              <w:bidi w:val="0"/>
              <w:adjustRightInd/>
              <w:snapToGrid/>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（6）出入车辆清洗百分之百。施工现场出入口处设置自动车辆冲洗装置和沉淀池，运输车辆底盘和车轮冲洗干净后方可驶离施工现场。</w:t>
            </w:r>
          </w:p>
          <w:p w14:paraId="2C87E563">
            <w:pPr>
              <w:keepNext w:val="0"/>
              <w:keepLines w:val="0"/>
              <w:pageBreakBefore w:val="0"/>
              <w:widowControl w:val="0"/>
              <w:kinsoku/>
              <w:wordWrap/>
              <w:overflowPunct w:val="0"/>
              <w:topLinePunct w:val="0"/>
              <w:autoSpaceDE/>
              <w:autoSpaceDN/>
              <w:bidi w:val="0"/>
              <w:adjustRightInd/>
              <w:snapToGrid/>
              <w:spacing w:line="360" w:lineRule="auto"/>
              <w:ind w:firstLine="480" w:firstLineChars="200"/>
              <w:textAlignment w:val="auto"/>
              <w:rPr>
                <w:rFonts w:eastAsiaTheme="minorEastAsia"/>
                <w:bCs/>
                <w:color w:val="auto"/>
                <w:sz w:val="24"/>
                <w:highlight w:val="none"/>
              </w:rPr>
            </w:pPr>
            <w:r>
              <w:rPr>
                <w:rFonts w:hint="default" w:ascii="Times New Roman" w:hAnsi="Times New Roman" w:eastAsia="宋体" w:cs="Times New Roman"/>
                <w:color w:val="auto"/>
                <w:kern w:val="2"/>
                <w:sz w:val="24"/>
                <w:szCs w:val="24"/>
                <w:lang w:val="en-US" w:eastAsia="zh-CN" w:bidi="ar"/>
              </w:rPr>
              <w:t>项目施工时应向当地环保行政主管部门及其他有关主管部门申报；设专人负责管理并培训施工人员，以正确的工作方法控制施工过程中产生的不利</w:t>
            </w:r>
            <w:r>
              <w:rPr>
                <w:rFonts w:hint="eastAsia" w:cs="Times New Roman"/>
                <w:color w:val="auto"/>
                <w:kern w:val="2"/>
                <w:sz w:val="24"/>
                <w:szCs w:val="24"/>
                <w:lang w:val="en-US" w:eastAsia="zh-CN" w:bidi="ar"/>
              </w:rPr>
              <w:t>生态</w:t>
            </w:r>
            <w:r>
              <w:rPr>
                <w:rFonts w:hint="default" w:ascii="Times New Roman" w:hAnsi="Times New Roman" w:eastAsia="宋体" w:cs="Times New Roman"/>
                <w:color w:val="auto"/>
                <w:kern w:val="2"/>
                <w:sz w:val="24"/>
                <w:szCs w:val="24"/>
                <w:lang w:val="en-US" w:eastAsia="zh-CN" w:bidi="ar"/>
              </w:rPr>
              <w:t>环境影响；必要时，还需对施工人员进行环境保护知识培训，以确保项目施工期各项环保控制措施的落实。</w:t>
            </w:r>
          </w:p>
        </w:tc>
      </w:tr>
      <w:tr w14:paraId="7323C4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4" w:type="dxa"/>
            <w:tcMar>
              <w:left w:w="28" w:type="dxa"/>
              <w:right w:w="28" w:type="dxa"/>
            </w:tcMar>
            <w:vAlign w:val="center"/>
          </w:tcPr>
          <w:p w14:paraId="0E17C566">
            <w:pPr>
              <w:adjustRightInd w:val="0"/>
              <w:snapToGrid w:val="0"/>
              <w:jc w:val="center"/>
              <w:rPr>
                <w:rFonts w:eastAsiaTheme="minorEastAsia"/>
                <w:bCs/>
                <w:color w:val="auto"/>
                <w:sz w:val="24"/>
                <w:highlight w:val="none"/>
              </w:rPr>
            </w:pPr>
            <w:r>
              <w:rPr>
                <w:rFonts w:hAnsiTheme="minorEastAsia" w:eastAsiaTheme="minorEastAsia"/>
                <w:bCs/>
                <w:color w:val="auto"/>
                <w:sz w:val="24"/>
                <w:highlight w:val="none"/>
              </w:rPr>
              <w:t>运营</w:t>
            </w:r>
          </w:p>
          <w:p w14:paraId="576F7B7D">
            <w:pPr>
              <w:adjustRightInd w:val="0"/>
              <w:snapToGrid w:val="0"/>
              <w:jc w:val="center"/>
              <w:rPr>
                <w:rFonts w:eastAsiaTheme="minorEastAsia"/>
                <w:bCs/>
                <w:color w:val="auto"/>
                <w:sz w:val="24"/>
                <w:highlight w:val="none"/>
              </w:rPr>
            </w:pPr>
            <w:r>
              <w:rPr>
                <w:rFonts w:hAnsiTheme="minorEastAsia" w:eastAsiaTheme="minorEastAsia"/>
                <w:bCs/>
                <w:color w:val="auto"/>
                <w:sz w:val="24"/>
                <w:highlight w:val="none"/>
              </w:rPr>
              <w:t>期环</w:t>
            </w:r>
          </w:p>
          <w:p w14:paraId="5CB04B1E">
            <w:pPr>
              <w:adjustRightInd w:val="0"/>
              <w:snapToGrid w:val="0"/>
              <w:jc w:val="center"/>
              <w:rPr>
                <w:rFonts w:eastAsiaTheme="minorEastAsia"/>
                <w:bCs/>
                <w:color w:val="auto"/>
                <w:sz w:val="24"/>
                <w:highlight w:val="none"/>
              </w:rPr>
            </w:pPr>
            <w:r>
              <w:rPr>
                <w:rFonts w:hAnsiTheme="minorEastAsia" w:eastAsiaTheme="minorEastAsia"/>
                <w:bCs/>
                <w:color w:val="auto"/>
                <w:sz w:val="24"/>
                <w:highlight w:val="none"/>
              </w:rPr>
              <w:t>境影</w:t>
            </w:r>
          </w:p>
          <w:p w14:paraId="3EA2F85D">
            <w:pPr>
              <w:adjustRightInd w:val="0"/>
              <w:snapToGrid w:val="0"/>
              <w:jc w:val="center"/>
              <w:rPr>
                <w:rFonts w:eastAsiaTheme="minorEastAsia"/>
                <w:bCs/>
                <w:color w:val="auto"/>
                <w:sz w:val="24"/>
                <w:highlight w:val="none"/>
              </w:rPr>
            </w:pPr>
            <w:r>
              <w:rPr>
                <w:rFonts w:hAnsiTheme="minorEastAsia" w:eastAsiaTheme="minorEastAsia"/>
                <w:bCs/>
                <w:color w:val="auto"/>
                <w:sz w:val="24"/>
                <w:highlight w:val="none"/>
              </w:rPr>
              <w:t>响和</w:t>
            </w:r>
          </w:p>
          <w:p w14:paraId="5332BD31">
            <w:pPr>
              <w:adjustRightInd w:val="0"/>
              <w:snapToGrid w:val="0"/>
              <w:jc w:val="center"/>
              <w:rPr>
                <w:rFonts w:eastAsiaTheme="minorEastAsia"/>
                <w:bCs/>
                <w:color w:val="auto"/>
                <w:sz w:val="24"/>
                <w:highlight w:val="none"/>
              </w:rPr>
            </w:pPr>
            <w:r>
              <w:rPr>
                <w:rFonts w:hAnsiTheme="minorEastAsia" w:eastAsiaTheme="minorEastAsia"/>
                <w:bCs/>
                <w:color w:val="auto"/>
                <w:sz w:val="24"/>
                <w:highlight w:val="none"/>
              </w:rPr>
              <w:t>保护</w:t>
            </w:r>
          </w:p>
          <w:p w14:paraId="1EECA1D1">
            <w:pPr>
              <w:adjustRightInd w:val="0"/>
              <w:snapToGrid w:val="0"/>
              <w:jc w:val="center"/>
              <w:rPr>
                <w:rFonts w:eastAsiaTheme="minorEastAsia"/>
                <w:bCs/>
                <w:color w:val="auto"/>
                <w:szCs w:val="21"/>
                <w:highlight w:val="none"/>
              </w:rPr>
            </w:pPr>
            <w:r>
              <w:rPr>
                <w:rFonts w:hAnsiTheme="minorEastAsia" w:eastAsiaTheme="minorEastAsia"/>
                <w:bCs/>
                <w:color w:val="auto"/>
                <w:sz w:val="24"/>
                <w:highlight w:val="none"/>
              </w:rPr>
              <w:t>措施</w:t>
            </w:r>
          </w:p>
        </w:tc>
        <w:tc>
          <w:tcPr>
            <w:tcW w:w="8527" w:type="dxa"/>
            <w:vAlign w:val="center"/>
          </w:tcPr>
          <w:p w14:paraId="46E5A3B3">
            <w:pPr>
              <w:keepNext w:val="0"/>
              <w:keepLines w:val="0"/>
              <w:pageBreakBefore w:val="0"/>
              <w:widowControl w:val="0"/>
              <w:kinsoku/>
              <w:wordWrap/>
              <w:topLinePunct w:val="0"/>
              <w:autoSpaceDE/>
              <w:autoSpaceDN/>
              <w:bidi w:val="0"/>
              <w:adjustRightInd/>
              <w:snapToGrid/>
              <w:spacing w:line="360" w:lineRule="auto"/>
              <w:textAlignment w:val="auto"/>
              <w:rPr>
                <w:rFonts w:eastAsiaTheme="minorEastAsia"/>
                <w:color w:val="auto"/>
                <w:sz w:val="24"/>
                <w:highlight w:val="none"/>
              </w:rPr>
            </w:pPr>
            <w:r>
              <w:rPr>
                <w:rFonts w:eastAsiaTheme="minorEastAsia"/>
                <w:b/>
                <w:color w:val="auto"/>
                <w:sz w:val="24"/>
                <w:highlight w:val="none"/>
              </w:rPr>
              <w:t>1</w:t>
            </w:r>
            <w:r>
              <w:rPr>
                <w:rFonts w:hAnsiTheme="minorEastAsia" w:eastAsiaTheme="minorEastAsia"/>
                <w:b/>
                <w:color w:val="auto"/>
                <w:sz w:val="24"/>
                <w:highlight w:val="none"/>
              </w:rPr>
              <w:t>、大气环境影响分析</w:t>
            </w:r>
          </w:p>
          <w:p w14:paraId="13BAAFAE">
            <w:pPr>
              <w:keepNext w:val="0"/>
              <w:keepLines w:val="0"/>
              <w:pageBreakBefore w:val="0"/>
              <w:widowControl w:val="0"/>
              <w:kinsoku/>
              <w:wordWrap/>
              <w:topLinePunct w:val="0"/>
              <w:autoSpaceDE/>
              <w:autoSpaceDN/>
              <w:bidi w:val="0"/>
              <w:adjustRightInd/>
              <w:snapToGrid/>
              <w:spacing w:line="360" w:lineRule="auto"/>
              <w:textAlignment w:val="auto"/>
              <w:rPr>
                <w:rFonts w:eastAsiaTheme="minorEastAsia"/>
                <w:color w:val="auto"/>
                <w:sz w:val="24"/>
                <w:highlight w:val="none"/>
              </w:rPr>
            </w:pPr>
            <w:r>
              <w:rPr>
                <w:rFonts w:eastAsiaTheme="minorEastAsia"/>
                <w:b/>
                <w:color w:val="auto"/>
                <w:sz w:val="24"/>
                <w:highlight w:val="none"/>
              </w:rPr>
              <w:t>1</w:t>
            </w:r>
            <w:r>
              <w:rPr>
                <w:rFonts w:hint="eastAsia" w:hAnsiTheme="minorEastAsia" w:eastAsiaTheme="minorEastAsia"/>
                <w:b/>
                <w:color w:val="auto"/>
                <w:sz w:val="24"/>
                <w:highlight w:val="none"/>
              </w:rPr>
              <w:t>.1 废气产生及排放情况</w:t>
            </w:r>
          </w:p>
          <w:p w14:paraId="6EEAFD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AnsiTheme="minorEastAsia"/>
                <w:color w:val="auto"/>
                <w:sz w:val="24"/>
                <w:highlight w:val="none"/>
              </w:rPr>
            </w:pPr>
            <w:r>
              <w:rPr>
                <w:rFonts w:hint="eastAsia" w:hAnsiTheme="minorEastAsia"/>
                <w:color w:val="auto"/>
                <w:sz w:val="24"/>
                <w:szCs w:val="24"/>
                <w:highlight w:val="none"/>
              </w:rPr>
              <w:t>本项目废气主要是</w:t>
            </w:r>
            <w:r>
              <w:rPr>
                <w:rFonts w:hint="eastAsia"/>
                <w:color w:val="auto"/>
                <w:sz w:val="24"/>
                <w:highlight w:val="none"/>
                <w:lang w:val="en-US" w:eastAsia="zh-CN"/>
              </w:rPr>
              <w:t>混料</w:t>
            </w:r>
            <w:r>
              <w:rPr>
                <w:rFonts w:hint="default"/>
                <w:color w:val="auto"/>
                <w:sz w:val="24"/>
                <w:highlight w:val="none"/>
                <w:lang w:val="en-US" w:eastAsia="zh-CN"/>
              </w:rPr>
              <w:t>、挤出</w:t>
            </w:r>
            <w:r>
              <w:rPr>
                <w:rFonts w:hint="eastAsia"/>
                <w:color w:val="auto"/>
                <w:sz w:val="24"/>
                <w:highlight w:val="none"/>
                <w:lang w:val="en-US" w:eastAsia="zh-CN"/>
              </w:rPr>
              <w:t>熔融、</w:t>
            </w:r>
            <w:r>
              <w:rPr>
                <w:rFonts w:hint="default"/>
                <w:color w:val="auto"/>
                <w:sz w:val="24"/>
                <w:highlight w:val="none"/>
                <w:lang w:val="en-US" w:eastAsia="zh-CN"/>
              </w:rPr>
              <w:t>吹胀、挤出成型、印刷</w:t>
            </w:r>
            <w:r>
              <w:rPr>
                <w:rFonts w:hint="eastAsia"/>
                <w:color w:val="auto"/>
                <w:sz w:val="24"/>
                <w:highlight w:val="none"/>
                <w:lang w:val="en-US" w:eastAsia="zh-CN"/>
              </w:rPr>
              <w:t>等</w:t>
            </w:r>
            <w:r>
              <w:rPr>
                <w:rFonts w:hint="eastAsia"/>
                <w:color w:val="auto"/>
                <w:sz w:val="24"/>
                <w:highlight w:val="none"/>
              </w:rPr>
              <w:t>工序产生的有机废气（以非甲烷总烃计）</w:t>
            </w:r>
            <w:r>
              <w:rPr>
                <w:rFonts w:hint="eastAsia"/>
                <w:color w:val="auto"/>
                <w:sz w:val="24"/>
                <w:highlight w:val="none"/>
                <w:lang w:val="en-US" w:eastAsia="zh-CN"/>
              </w:rPr>
              <w:t>、粉尘</w:t>
            </w:r>
            <w:r>
              <w:rPr>
                <w:rFonts w:hint="eastAsia"/>
                <w:color w:val="auto"/>
                <w:sz w:val="24"/>
                <w:highlight w:val="none"/>
              </w:rPr>
              <w:t>。</w:t>
            </w:r>
          </w:p>
          <w:p w14:paraId="7299A354">
            <w:pPr>
              <w:keepNext w:val="0"/>
              <w:keepLines w:val="0"/>
              <w:pageBreakBefore w:val="0"/>
              <w:widowControl w:val="0"/>
              <w:numPr>
                <w:ilvl w:val="0"/>
                <w:numId w:val="5"/>
              </w:numPr>
              <w:kinsoku/>
              <w:wordWrap/>
              <w:overflowPunct w:val="0"/>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lang w:val="en-US" w:eastAsia="zh-CN"/>
              </w:rPr>
              <w:t>有机废气</w:t>
            </w:r>
            <w:r>
              <w:rPr>
                <w:rFonts w:hint="eastAsia"/>
                <w:color w:val="auto"/>
                <w:sz w:val="24"/>
                <w:highlight w:val="none"/>
              </w:rPr>
              <w:t>（以非甲烷总烃计）</w:t>
            </w:r>
          </w:p>
          <w:p w14:paraId="0A6190A7">
            <w:pPr>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80" w:firstLineChars="200"/>
              <w:textAlignment w:val="auto"/>
              <w:rPr>
                <w:color w:val="auto"/>
                <w:sz w:val="24"/>
                <w:highlight w:val="none"/>
              </w:rPr>
            </w:pPr>
            <w:r>
              <w:rPr>
                <w:rFonts w:hint="eastAsia"/>
                <w:color w:val="auto"/>
                <w:sz w:val="24"/>
                <w:highlight w:val="none"/>
              </w:rPr>
              <w:t>本项目</w:t>
            </w:r>
            <w:r>
              <w:rPr>
                <w:rFonts w:hint="eastAsia" w:ascii="Times New Roman" w:hAnsi="Times New Roman" w:eastAsia="宋体" w:cs="Times New Roman"/>
                <w:color w:val="auto"/>
                <w:kern w:val="2"/>
                <w:sz w:val="24"/>
                <w:szCs w:val="24"/>
                <w:lang w:val="en-US" w:eastAsia="zh-CN" w:bidi="ar-SA"/>
              </w:rPr>
              <w:t>塑料包装袋、农用贴片滴灌带</w:t>
            </w:r>
            <w:r>
              <w:rPr>
                <w:rFonts w:hint="eastAsia"/>
                <w:color w:val="auto"/>
                <w:sz w:val="24"/>
                <w:highlight w:val="none"/>
              </w:rPr>
              <w:t>生产使用的主要原料为聚乙烯等塑料颗粒，项目使用的聚乙烯热分解温度≥310℃。项目生产控制温度</w:t>
            </w:r>
            <w:r>
              <w:rPr>
                <w:rFonts w:hint="eastAsia"/>
                <w:color w:val="auto"/>
                <w:sz w:val="24"/>
                <w:highlight w:val="none"/>
                <w:lang w:val="en-US" w:eastAsia="zh-CN"/>
              </w:rPr>
              <w:t>160-220</w:t>
            </w:r>
            <w:r>
              <w:rPr>
                <w:rFonts w:hint="eastAsia"/>
                <w:color w:val="auto"/>
                <w:sz w:val="24"/>
                <w:highlight w:val="none"/>
              </w:rPr>
              <w:t>℃，因此，在本项目生产工艺条件下各塑料粒子均未达到热分解温度，塑料粒子在熔融过程中不发生分解，不产生碳链焦化气体。但原料中有少量未聚合的单体在高温作用下挥发，形成有机废气。根据原料特性，产生的少量有机废气成分为烃类有机废气，本项目以非甲烷总烃计。</w:t>
            </w:r>
          </w:p>
          <w:p w14:paraId="0F0BF573">
            <w:pPr>
              <w:keepNext w:val="0"/>
              <w:keepLines w:val="0"/>
              <w:pageBreakBefore w:val="0"/>
              <w:widowControl w:val="0"/>
              <w:kinsoku/>
              <w:wordWrap/>
              <w:overflowPunct w:val="0"/>
              <w:topLinePunct w:val="0"/>
              <w:autoSpaceDE/>
              <w:autoSpaceDN/>
              <w:bidi w:val="0"/>
              <w:adjustRightInd/>
              <w:snapToGrid/>
              <w:spacing w:line="360" w:lineRule="auto"/>
              <w:ind w:firstLine="480" w:firstLineChars="200"/>
              <w:textAlignment w:val="auto"/>
              <w:rPr>
                <w:snapToGrid w:val="0"/>
                <w:color w:val="auto"/>
                <w:sz w:val="24"/>
                <w:highlight w:val="none"/>
              </w:rPr>
            </w:pPr>
            <w:r>
              <w:rPr>
                <w:rFonts w:hAnsi="宋体"/>
                <w:color w:val="auto"/>
                <w:sz w:val="24"/>
                <w:highlight w:val="none"/>
              </w:rPr>
              <w:t>根据</w:t>
            </w:r>
            <w:r>
              <w:rPr>
                <w:rFonts w:hint="eastAsia" w:hAnsi="宋体"/>
                <w:color w:val="auto"/>
                <w:sz w:val="24"/>
                <w:highlight w:val="none"/>
              </w:rPr>
              <w:t>生态环境部2021年6月11日发布的</w:t>
            </w:r>
            <w:r>
              <w:rPr>
                <w:rFonts w:hAnsi="宋体"/>
                <w:color w:val="auto"/>
                <w:sz w:val="24"/>
                <w:highlight w:val="none"/>
              </w:rPr>
              <w:t>《</w:t>
            </w:r>
            <w:r>
              <w:rPr>
                <w:rFonts w:hint="eastAsia" w:hAnsi="宋体"/>
                <w:color w:val="auto"/>
                <w:sz w:val="24"/>
                <w:highlight w:val="none"/>
              </w:rPr>
              <w:t>排放源统计调查产排污核算方法和系数手册</w:t>
            </w:r>
            <w:r>
              <w:rPr>
                <w:rFonts w:hAnsi="宋体"/>
                <w:color w:val="auto"/>
                <w:sz w:val="24"/>
                <w:highlight w:val="none"/>
              </w:rPr>
              <w:t>》中</w:t>
            </w:r>
            <w:r>
              <w:rPr>
                <w:rFonts w:hint="eastAsia"/>
                <w:color w:val="auto"/>
                <w:sz w:val="24"/>
                <w:highlight w:val="none"/>
              </w:rPr>
              <w:t>292塑料制品行业系数手册可知，</w:t>
            </w:r>
            <w:r>
              <w:rPr>
                <w:rFonts w:hint="eastAsia" w:ascii="Times New Roman" w:hAnsi="Times New Roman" w:eastAsia="宋体" w:cs="Times New Roman"/>
                <w:color w:val="auto"/>
                <w:kern w:val="2"/>
                <w:sz w:val="24"/>
                <w:szCs w:val="24"/>
                <w:lang w:val="en-US" w:eastAsia="zh-CN" w:bidi="ar-SA"/>
              </w:rPr>
              <w:t>塑料包装袋</w:t>
            </w:r>
            <w:r>
              <w:rPr>
                <w:rFonts w:hint="eastAsia"/>
                <w:snapToGrid w:val="0"/>
                <w:color w:val="auto"/>
                <w:sz w:val="24"/>
                <w:highlight w:val="none"/>
              </w:rPr>
              <w:t>生产过程中</w:t>
            </w:r>
            <w:r>
              <w:rPr>
                <w:snapToGrid w:val="0"/>
                <w:color w:val="auto"/>
                <w:sz w:val="24"/>
                <w:highlight w:val="none"/>
              </w:rPr>
              <w:t>挥发性有机物</w:t>
            </w:r>
            <w:r>
              <w:rPr>
                <w:rFonts w:hint="eastAsia"/>
                <w:snapToGrid w:val="0"/>
                <w:color w:val="auto"/>
                <w:sz w:val="24"/>
                <w:highlight w:val="none"/>
              </w:rPr>
              <w:t>（本项目以非甲烷总烃计）</w:t>
            </w:r>
            <w:r>
              <w:rPr>
                <w:snapToGrid w:val="0"/>
                <w:color w:val="auto"/>
                <w:sz w:val="24"/>
                <w:highlight w:val="none"/>
              </w:rPr>
              <w:t>产污系数为</w:t>
            </w:r>
            <w:r>
              <w:rPr>
                <w:rFonts w:hint="eastAsia"/>
                <w:snapToGrid w:val="0"/>
                <w:color w:val="auto"/>
                <w:sz w:val="24"/>
                <w:highlight w:val="none"/>
                <w:lang w:val="en-US" w:eastAsia="zh-CN"/>
              </w:rPr>
              <w:t>2.7</w:t>
            </w:r>
            <w:r>
              <w:rPr>
                <w:rFonts w:hint="eastAsia"/>
                <w:snapToGrid w:val="0"/>
                <w:color w:val="auto"/>
                <w:sz w:val="24"/>
                <w:highlight w:val="none"/>
              </w:rPr>
              <w:t>kg</w:t>
            </w:r>
            <w:r>
              <w:rPr>
                <w:snapToGrid w:val="0"/>
                <w:color w:val="auto"/>
                <w:sz w:val="24"/>
                <w:highlight w:val="none"/>
              </w:rPr>
              <w:t>/</w:t>
            </w:r>
            <w:r>
              <w:rPr>
                <w:rFonts w:hint="eastAsia"/>
                <w:snapToGrid w:val="0"/>
                <w:color w:val="auto"/>
                <w:sz w:val="24"/>
                <w:highlight w:val="none"/>
              </w:rPr>
              <w:t>t-产品</w:t>
            </w:r>
            <w:r>
              <w:rPr>
                <w:rFonts w:hint="eastAsia"/>
                <w:snapToGrid w:val="0"/>
                <w:color w:val="auto"/>
                <w:sz w:val="24"/>
                <w:highlight w:val="none"/>
                <w:lang w:eastAsia="zh-CN"/>
              </w:rPr>
              <w:t>、</w:t>
            </w:r>
            <w:r>
              <w:rPr>
                <w:rFonts w:hint="eastAsia" w:ascii="Times New Roman" w:hAnsi="Times New Roman" w:eastAsia="宋体" w:cs="Times New Roman"/>
                <w:color w:val="auto"/>
                <w:kern w:val="2"/>
                <w:sz w:val="24"/>
                <w:szCs w:val="24"/>
                <w:lang w:val="en-US" w:eastAsia="zh-CN" w:bidi="ar-SA"/>
              </w:rPr>
              <w:t>农用贴片滴灌带</w:t>
            </w:r>
            <w:r>
              <w:rPr>
                <w:rFonts w:hint="eastAsia"/>
                <w:snapToGrid w:val="0"/>
                <w:color w:val="auto"/>
                <w:sz w:val="24"/>
                <w:highlight w:val="none"/>
              </w:rPr>
              <w:t>生产过程中</w:t>
            </w:r>
            <w:r>
              <w:rPr>
                <w:snapToGrid w:val="0"/>
                <w:color w:val="auto"/>
                <w:sz w:val="24"/>
                <w:highlight w:val="none"/>
              </w:rPr>
              <w:t>挥发性有机物</w:t>
            </w:r>
            <w:r>
              <w:rPr>
                <w:rFonts w:hint="eastAsia"/>
                <w:snapToGrid w:val="0"/>
                <w:color w:val="auto"/>
                <w:sz w:val="24"/>
                <w:highlight w:val="none"/>
              </w:rPr>
              <w:t>（本项目以非甲烷总烃计）</w:t>
            </w:r>
            <w:r>
              <w:rPr>
                <w:snapToGrid w:val="0"/>
                <w:color w:val="auto"/>
                <w:sz w:val="24"/>
                <w:highlight w:val="none"/>
              </w:rPr>
              <w:t>产污系数为</w:t>
            </w:r>
            <w:r>
              <w:rPr>
                <w:rFonts w:hint="eastAsia"/>
                <w:snapToGrid w:val="0"/>
                <w:color w:val="auto"/>
                <w:sz w:val="24"/>
                <w:highlight w:val="none"/>
                <w:lang w:val="en-US" w:eastAsia="zh-CN"/>
              </w:rPr>
              <w:t>2.5</w:t>
            </w:r>
            <w:r>
              <w:rPr>
                <w:rFonts w:hint="eastAsia"/>
                <w:snapToGrid w:val="0"/>
                <w:color w:val="auto"/>
                <w:sz w:val="24"/>
                <w:highlight w:val="none"/>
              </w:rPr>
              <w:t>kg</w:t>
            </w:r>
            <w:r>
              <w:rPr>
                <w:snapToGrid w:val="0"/>
                <w:color w:val="auto"/>
                <w:sz w:val="24"/>
                <w:highlight w:val="none"/>
              </w:rPr>
              <w:t>/</w:t>
            </w:r>
            <w:r>
              <w:rPr>
                <w:rFonts w:hint="eastAsia"/>
                <w:snapToGrid w:val="0"/>
                <w:color w:val="auto"/>
                <w:sz w:val="24"/>
                <w:highlight w:val="none"/>
              </w:rPr>
              <w:t>t-产品</w:t>
            </w:r>
            <w:r>
              <w:rPr>
                <w:rFonts w:hint="eastAsia"/>
                <w:snapToGrid w:val="0"/>
                <w:color w:val="auto"/>
                <w:sz w:val="24"/>
                <w:highlight w:val="none"/>
                <w:lang w:val="en-US" w:eastAsia="zh-CN"/>
              </w:rPr>
              <w:t>，</w:t>
            </w:r>
            <w:r>
              <w:rPr>
                <w:rFonts w:hint="eastAsia"/>
                <w:snapToGrid w:val="0"/>
                <w:color w:val="auto"/>
                <w:sz w:val="24"/>
                <w:highlight w:val="none"/>
              </w:rPr>
              <w:t>本项目</w:t>
            </w:r>
            <w:r>
              <w:rPr>
                <w:rFonts w:hint="eastAsia"/>
                <w:snapToGrid w:val="0"/>
                <w:color w:val="auto"/>
                <w:sz w:val="24"/>
                <w:highlight w:val="none"/>
                <w:lang w:val="en-US" w:eastAsia="zh-CN"/>
              </w:rPr>
              <w:t>生产塑料包装袋</w:t>
            </w:r>
            <w:r>
              <w:rPr>
                <w:rFonts w:hint="eastAsia"/>
                <w:snapToGrid w:val="0"/>
                <w:color w:val="auto"/>
                <w:sz w:val="24"/>
                <w:highlight w:val="none"/>
              </w:rPr>
              <w:t>产品</w:t>
            </w:r>
            <w:r>
              <w:rPr>
                <w:rFonts w:hint="eastAsia"/>
                <w:snapToGrid w:val="0"/>
                <w:color w:val="auto"/>
                <w:sz w:val="24"/>
                <w:highlight w:val="none"/>
                <w:lang w:val="en-US" w:eastAsia="zh-CN"/>
              </w:rPr>
              <w:t>1000</w:t>
            </w:r>
            <w:r>
              <w:rPr>
                <w:rFonts w:hint="eastAsia"/>
                <w:snapToGrid w:val="0"/>
                <w:color w:val="auto"/>
                <w:sz w:val="24"/>
                <w:highlight w:val="none"/>
              </w:rPr>
              <w:t>t，农用贴片滴灌带产品</w:t>
            </w:r>
            <w:r>
              <w:rPr>
                <w:rFonts w:hint="eastAsia"/>
                <w:snapToGrid w:val="0"/>
                <w:color w:val="auto"/>
                <w:sz w:val="24"/>
                <w:highlight w:val="none"/>
                <w:lang w:val="en-US" w:eastAsia="zh-CN"/>
              </w:rPr>
              <w:t>1000t，</w:t>
            </w:r>
            <w:r>
              <w:rPr>
                <w:rFonts w:hint="eastAsia"/>
                <w:snapToGrid w:val="0"/>
                <w:color w:val="auto"/>
                <w:sz w:val="24"/>
                <w:highlight w:val="none"/>
              </w:rPr>
              <w:t>则</w:t>
            </w:r>
            <w:r>
              <w:rPr>
                <w:rFonts w:hint="eastAsia"/>
                <w:snapToGrid w:val="0"/>
                <w:color w:val="auto"/>
                <w:sz w:val="24"/>
                <w:highlight w:val="none"/>
                <w:lang w:val="en-US" w:eastAsia="zh-CN"/>
              </w:rPr>
              <w:t>塑料包装袋加工厂房塑料包装袋生产线</w:t>
            </w:r>
            <w:r>
              <w:rPr>
                <w:rFonts w:hint="eastAsia" w:hAnsiTheme="minorEastAsia"/>
                <w:color w:val="auto"/>
                <w:sz w:val="24"/>
                <w:highlight w:val="none"/>
              </w:rPr>
              <w:t>挤出</w:t>
            </w:r>
            <w:r>
              <w:rPr>
                <w:rFonts w:hint="eastAsia" w:hAnsiTheme="minorEastAsia"/>
                <w:color w:val="auto"/>
                <w:sz w:val="24"/>
                <w:highlight w:val="none"/>
                <w:lang w:val="en-US" w:eastAsia="zh-CN"/>
              </w:rPr>
              <w:t>熔融、吹胀</w:t>
            </w:r>
            <w:r>
              <w:rPr>
                <w:rFonts w:hint="eastAsia" w:hAnsiTheme="minorEastAsia"/>
                <w:color w:val="auto"/>
                <w:sz w:val="24"/>
                <w:highlight w:val="none"/>
              </w:rPr>
              <w:t>工序非甲烷总烃产生量为</w:t>
            </w:r>
            <w:r>
              <w:rPr>
                <w:rFonts w:hint="eastAsia"/>
                <w:snapToGrid w:val="0"/>
                <w:color w:val="auto"/>
                <w:sz w:val="24"/>
                <w:highlight w:val="none"/>
                <w:lang w:val="en-US" w:eastAsia="zh-CN"/>
              </w:rPr>
              <w:t>2.7</w:t>
            </w:r>
            <w:r>
              <w:rPr>
                <w:snapToGrid w:val="0"/>
                <w:color w:val="auto"/>
                <w:sz w:val="24"/>
                <w:highlight w:val="none"/>
              </w:rPr>
              <w:t>t/a</w:t>
            </w:r>
            <w:r>
              <w:rPr>
                <w:rFonts w:hint="eastAsia"/>
                <w:snapToGrid w:val="0"/>
                <w:color w:val="auto"/>
                <w:sz w:val="24"/>
                <w:highlight w:val="none"/>
                <w:lang w:eastAsia="zh-CN"/>
              </w:rPr>
              <w:t>，</w:t>
            </w:r>
            <w:r>
              <w:rPr>
                <w:rFonts w:hint="eastAsia"/>
                <w:snapToGrid w:val="0"/>
                <w:color w:val="auto"/>
                <w:sz w:val="24"/>
                <w:highlight w:val="none"/>
                <w:lang w:val="en-US" w:eastAsia="zh-CN"/>
              </w:rPr>
              <w:t>农用贴片滴灌带加工厂房</w:t>
            </w:r>
            <w:r>
              <w:rPr>
                <w:rFonts w:hint="eastAsia" w:ascii="Times New Roman" w:hAnsi="Times New Roman" w:eastAsia="宋体" w:cs="Times New Roman"/>
                <w:color w:val="auto"/>
                <w:kern w:val="2"/>
                <w:sz w:val="24"/>
                <w:szCs w:val="24"/>
                <w:lang w:val="en-US" w:eastAsia="zh-CN" w:bidi="ar-SA"/>
              </w:rPr>
              <w:t>农用贴片滴灌带</w:t>
            </w:r>
            <w:r>
              <w:rPr>
                <w:rFonts w:hint="eastAsia"/>
                <w:snapToGrid w:val="0"/>
                <w:color w:val="auto"/>
                <w:sz w:val="24"/>
                <w:highlight w:val="none"/>
                <w:lang w:val="en-US" w:eastAsia="zh-CN"/>
              </w:rPr>
              <w:t>生产线</w:t>
            </w:r>
            <w:r>
              <w:rPr>
                <w:rFonts w:hint="eastAsia" w:hAnsiTheme="minorEastAsia"/>
                <w:color w:val="auto"/>
                <w:sz w:val="24"/>
                <w:highlight w:val="none"/>
              </w:rPr>
              <w:t>挤出</w:t>
            </w:r>
            <w:r>
              <w:rPr>
                <w:rFonts w:hint="eastAsia" w:hAnsiTheme="minorEastAsia"/>
                <w:color w:val="auto"/>
                <w:sz w:val="24"/>
                <w:highlight w:val="none"/>
                <w:lang w:val="en-US" w:eastAsia="zh-CN"/>
              </w:rPr>
              <w:t>成型</w:t>
            </w:r>
            <w:r>
              <w:rPr>
                <w:rFonts w:hint="eastAsia" w:hAnsiTheme="minorEastAsia"/>
                <w:color w:val="auto"/>
                <w:sz w:val="24"/>
                <w:highlight w:val="none"/>
              </w:rPr>
              <w:t>工序非甲烷总烃产生量为</w:t>
            </w:r>
            <w:r>
              <w:rPr>
                <w:rFonts w:hint="eastAsia"/>
                <w:snapToGrid w:val="0"/>
                <w:color w:val="auto"/>
                <w:sz w:val="24"/>
                <w:highlight w:val="none"/>
                <w:lang w:val="en-US" w:eastAsia="zh-CN"/>
              </w:rPr>
              <w:t>2.5</w:t>
            </w:r>
            <w:r>
              <w:rPr>
                <w:snapToGrid w:val="0"/>
                <w:color w:val="auto"/>
                <w:sz w:val="24"/>
                <w:highlight w:val="none"/>
              </w:rPr>
              <w:t>t/a</w:t>
            </w:r>
            <w:r>
              <w:rPr>
                <w:rFonts w:hint="eastAsia"/>
                <w:snapToGrid w:val="0"/>
                <w:color w:val="auto"/>
                <w:sz w:val="24"/>
                <w:highlight w:val="none"/>
              </w:rPr>
              <w:t>。</w:t>
            </w:r>
          </w:p>
          <w:p w14:paraId="1F78FFC9">
            <w:pPr>
              <w:pStyle w:val="33"/>
              <w:keepNext w:val="0"/>
              <w:keepLines w:val="0"/>
              <w:pageBreakBefore w:val="0"/>
              <w:widowControl w:val="0"/>
              <w:kinsoku/>
              <w:wordWrap/>
              <w:topLinePunct w:val="0"/>
              <w:autoSpaceDE/>
              <w:autoSpaceDN/>
              <w:bidi w:val="0"/>
              <w:adjustRightInd/>
              <w:snapToGrid/>
              <w:spacing w:after="0" w:line="360" w:lineRule="auto"/>
              <w:ind w:left="0" w:leftChars="0" w:firstLine="480"/>
              <w:textAlignment w:val="auto"/>
              <w:rPr>
                <w:rFonts w:hint="eastAsia" w:hAnsi="宋体" w:eastAsia="宋体"/>
                <w:color w:val="auto"/>
                <w:sz w:val="24"/>
                <w:highlight w:val="none"/>
                <w:lang w:val="en-US" w:eastAsia="zh-CN"/>
              </w:rPr>
            </w:pPr>
            <w:r>
              <w:rPr>
                <w:rFonts w:hint="eastAsia" w:hAnsi="宋体"/>
                <w:color w:val="auto"/>
                <w:sz w:val="24"/>
                <w:highlight w:val="none"/>
              </w:rPr>
              <w:t>本项目非甲烷总烃</w:t>
            </w:r>
            <w:r>
              <w:rPr>
                <w:rFonts w:hint="eastAsia" w:hAnsi="宋体"/>
                <w:color w:val="auto"/>
                <w:sz w:val="24"/>
                <w:highlight w:val="none"/>
                <w:lang w:eastAsia="zh-CN"/>
              </w:rPr>
              <w:t>处置措施</w:t>
            </w:r>
            <w:r>
              <w:rPr>
                <w:rFonts w:hint="eastAsia" w:hAnsi="宋体"/>
                <w:color w:val="auto"/>
                <w:sz w:val="24"/>
                <w:highlight w:val="none"/>
                <w:lang w:val="en-US" w:eastAsia="zh-CN"/>
              </w:rPr>
              <w:t>为在熔融、吹胀工序和挤出定型工序上方分别</w:t>
            </w:r>
            <w:r>
              <w:rPr>
                <w:rFonts w:hint="eastAsia" w:hAnsi="宋体"/>
                <w:color w:val="auto"/>
                <w:sz w:val="24"/>
                <w:highlight w:val="none"/>
              </w:rPr>
              <w:t>设置</w:t>
            </w:r>
            <w:r>
              <w:rPr>
                <w:rFonts w:hint="eastAsia" w:hAnsi="宋体"/>
                <w:color w:val="auto"/>
                <w:sz w:val="24"/>
                <w:highlight w:val="none"/>
                <w:lang w:val="en-US" w:eastAsia="zh-CN"/>
              </w:rPr>
              <w:t>1个</w:t>
            </w:r>
            <w:r>
              <w:rPr>
                <w:rFonts w:hint="eastAsia" w:hAnsi="宋体"/>
                <w:color w:val="auto"/>
                <w:sz w:val="24"/>
                <w:highlight w:val="none"/>
              </w:rPr>
              <w:t>集气罩，</w:t>
            </w:r>
            <w:r>
              <w:rPr>
                <w:rFonts w:hint="eastAsia" w:hAnsi="宋体"/>
                <w:color w:val="auto"/>
                <w:sz w:val="24"/>
                <w:highlight w:val="none"/>
                <w:lang w:eastAsia="zh-CN"/>
              </w:rPr>
              <w:t>废气</w:t>
            </w:r>
            <w:r>
              <w:rPr>
                <w:rFonts w:hint="eastAsia" w:hAnsi="宋体"/>
                <w:color w:val="auto"/>
                <w:sz w:val="24"/>
                <w:highlight w:val="none"/>
                <w:lang w:val="en-US" w:eastAsia="zh-CN"/>
              </w:rPr>
              <w:t>由</w:t>
            </w:r>
            <w:r>
              <w:rPr>
                <w:rFonts w:hint="eastAsia" w:hAnsi="宋体"/>
                <w:color w:val="auto"/>
                <w:sz w:val="24"/>
                <w:highlight w:val="none"/>
              </w:rPr>
              <w:t>集气罩收集</w:t>
            </w:r>
            <w:r>
              <w:rPr>
                <w:rFonts w:hint="eastAsia" w:hAnsi="宋体"/>
                <w:color w:val="auto"/>
                <w:sz w:val="24"/>
                <w:highlight w:val="none"/>
                <w:lang w:val="en-US" w:eastAsia="zh-CN"/>
              </w:rPr>
              <w:t>经</w:t>
            </w:r>
            <w:r>
              <w:rPr>
                <w:rFonts w:hint="eastAsia" w:hAnsi="宋体"/>
                <w:color w:val="auto"/>
                <w:sz w:val="24"/>
                <w:highlight w:val="none"/>
              </w:rPr>
              <w:t>活性炭吸附-脱附-催化燃烧装置处理后</w:t>
            </w:r>
            <w:r>
              <w:rPr>
                <w:rFonts w:hint="eastAsia" w:hAnsi="宋体"/>
                <w:color w:val="auto"/>
                <w:sz w:val="24"/>
                <w:highlight w:val="none"/>
                <w:lang w:val="en-US" w:eastAsia="zh-CN"/>
              </w:rPr>
              <w:t>分别</w:t>
            </w:r>
            <w:r>
              <w:rPr>
                <w:rFonts w:hint="eastAsia" w:hAnsi="宋体"/>
                <w:color w:val="auto"/>
                <w:sz w:val="24"/>
                <w:highlight w:val="none"/>
              </w:rPr>
              <w:t>通过15m高排气筒DA001</w:t>
            </w:r>
            <w:r>
              <w:rPr>
                <w:rFonts w:hint="eastAsia" w:hAnsi="宋体"/>
                <w:color w:val="auto"/>
                <w:sz w:val="24"/>
                <w:highlight w:val="none"/>
                <w:lang w:eastAsia="zh-CN"/>
              </w:rPr>
              <w:t>、</w:t>
            </w:r>
            <w:r>
              <w:rPr>
                <w:rFonts w:hint="eastAsia" w:hAnsi="宋体"/>
                <w:color w:val="auto"/>
                <w:sz w:val="24"/>
                <w:highlight w:val="none"/>
                <w:lang w:val="en-US" w:eastAsia="zh-CN"/>
              </w:rPr>
              <w:t>DA002</w:t>
            </w:r>
            <w:r>
              <w:rPr>
                <w:rFonts w:hint="eastAsia" w:hAnsi="宋体"/>
                <w:color w:val="auto"/>
                <w:sz w:val="24"/>
                <w:highlight w:val="none"/>
              </w:rPr>
              <w:t>排放</w:t>
            </w:r>
            <w:r>
              <w:rPr>
                <w:rFonts w:hint="eastAsia" w:eastAsiaTheme="minorEastAsia"/>
                <w:color w:val="auto"/>
                <w:kern w:val="0"/>
                <w:sz w:val="24"/>
                <w:highlight w:val="none"/>
                <w:lang w:val="en-US" w:eastAsia="zh-CN"/>
              </w:rPr>
              <w:t>。</w:t>
            </w:r>
            <w:r>
              <w:rPr>
                <w:rFonts w:hAnsi="宋体"/>
                <w:color w:val="auto"/>
                <w:sz w:val="24"/>
                <w:highlight w:val="none"/>
              </w:rPr>
              <w:t>集气风量为</w:t>
            </w:r>
            <w:r>
              <w:rPr>
                <w:rFonts w:hint="eastAsia"/>
                <w:color w:val="auto"/>
                <w:sz w:val="24"/>
                <w:highlight w:val="none"/>
              </w:rPr>
              <w:t>1</w:t>
            </w:r>
            <w:r>
              <w:rPr>
                <w:rFonts w:hint="eastAsia"/>
                <w:color w:val="auto"/>
                <w:sz w:val="24"/>
                <w:highlight w:val="none"/>
                <w:lang w:val="en-US" w:eastAsia="zh-CN"/>
              </w:rPr>
              <w:t>0</w:t>
            </w:r>
            <w:r>
              <w:rPr>
                <w:color w:val="auto"/>
                <w:sz w:val="24"/>
                <w:highlight w:val="none"/>
              </w:rPr>
              <w:t>000m</w:t>
            </w:r>
            <w:r>
              <w:rPr>
                <w:color w:val="auto"/>
                <w:sz w:val="24"/>
                <w:highlight w:val="none"/>
                <w:vertAlign w:val="superscript"/>
              </w:rPr>
              <w:t>3</w:t>
            </w:r>
            <w:r>
              <w:rPr>
                <w:color w:val="auto"/>
                <w:sz w:val="24"/>
                <w:highlight w:val="none"/>
              </w:rPr>
              <w:t>/h</w:t>
            </w:r>
            <w:r>
              <w:rPr>
                <w:rFonts w:hint="eastAsia" w:hAnsi="宋体"/>
                <w:color w:val="auto"/>
                <w:sz w:val="24"/>
                <w:highlight w:val="none"/>
              </w:rPr>
              <w:t>，集气罩</w:t>
            </w:r>
            <w:r>
              <w:rPr>
                <w:rFonts w:hint="eastAsia"/>
                <w:color w:val="auto"/>
                <w:sz w:val="24"/>
                <w:highlight w:val="none"/>
              </w:rPr>
              <w:t>集气效率9</w:t>
            </w:r>
            <w:r>
              <w:rPr>
                <w:rFonts w:hint="eastAsia"/>
                <w:color w:val="auto"/>
                <w:sz w:val="24"/>
                <w:highlight w:val="none"/>
                <w:lang w:val="en-US" w:eastAsia="zh-CN"/>
              </w:rPr>
              <w:t>0</w:t>
            </w:r>
            <w:r>
              <w:rPr>
                <w:rFonts w:hint="eastAsia"/>
                <w:color w:val="auto"/>
                <w:sz w:val="24"/>
                <w:highlight w:val="none"/>
              </w:rPr>
              <w:t>%。</w:t>
            </w:r>
            <w:r>
              <w:rPr>
                <w:rFonts w:hint="eastAsia" w:hAnsi="宋体"/>
                <w:color w:val="auto"/>
                <w:sz w:val="24"/>
                <w:highlight w:val="none"/>
              </w:rPr>
              <w:t>参照</w:t>
            </w:r>
            <w:r>
              <w:rPr>
                <w:rFonts w:hint="eastAsia" w:hAnsi="宋体"/>
                <w:color w:val="auto"/>
                <w:sz w:val="24"/>
                <w:highlight w:val="none"/>
                <w:lang w:eastAsia="zh-CN"/>
              </w:rPr>
              <w:t>“</w:t>
            </w:r>
            <w:r>
              <w:rPr>
                <w:rFonts w:hint="eastAsia" w:hAnsi="宋体"/>
                <w:color w:val="auto"/>
                <w:sz w:val="24"/>
                <w:highlight w:val="none"/>
              </w:rPr>
              <w:t>环办综合函〔2022〕350号关于印发《主要污染物总量减排核算技术指南（2022年修订）》的通知</w:t>
            </w:r>
            <w:r>
              <w:rPr>
                <w:rFonts w:hint="eastAsia" w:hAnsi="宋体"/>
                <w:color w:val="auto"/>
                <w:sz w:val="24"/>
                <w:highlight w:val="none"/>
                <w:lang w:eastAsia="zh-CN"/>
              </w:rPr>
              <w:t>”</w:t>
            </w:r>
            <w:r>
              <w:rPr>
                <w:rFonts w:hint="eastAsia" w:hAnsi="宋体"/>
                <w:color w:val="auto"/>
                <w:sz w:val="24"/>
                <w:highlight w:val="none"/>
                <w:lang w:val="en-US" w:eastAsia="zh-CN"/>
              </w:rPr>
              <w:t>中的表2-3的VOCs废气收集率和治理设施去除率通用系数</w:t>
            </w:r>
            <w:r>
              <w:rPr>
                <w:rFonts w:hint="eastAsia" w:hAnsi="宋体"/>
                <w:color w:val="auto"/>
                <w:sz w:val="24"/>
                <w:highlight w:val="none"/>
              </w:rPr>
              <w:t>，本项目使用活性炭吸附-脱附-催化燃烧装置处理</w:t>
            </w:r>
            <w:r>
              <w:rPr>
                <w:rFonts w:hint="eastAsia" w:hAnsi="宋体"/>
                <w:color w:val="auto"/>
                <w:sz w:val="24"/>
                <w:highlight w:val="none"/>
                <w:lang w:val="en-US" w:eastAsia="zh-CN"/>
              </w:rPr>
              <w:t>效率为65%，年工作时长2400h</w:t>
            </w:r>
            <w:r>
              <w:rPr>
                <w:rFonts w:hint="eastAsia" w:hAnsi="宋体"/>
                <w:color w:val="auto"/>
                <w:sz w:val="24"/>
                <w:highlight w:val="none"/>
                <w:lang w:eastAsia="zh-CN"/>
              </w:rPr>
              <w:t>。</w:t>
            </w:r>
          </w:p>
          <w:p w14:paraId="337B9CD7">
            <w:pPr>
              <w:pStyle w:val="33"/>
              <w:keepNext w:val="0"/>
              <w:keepLines w:val="0"/>
              <w:pageBreakBefore w:val="0"/>
              <w:widowControl w:val="0"/>
              <w:kinsoku/>
              <w:wordWrap/>
              <w:topLinePunct w:val="0"/>
              <w:autoSpaceDE/>
              <w:autoSpaceDN/>
              <w:bidi w:val="0"/>
              <w:adjustRightInd/>
              <w:snapToGrid/>
              <w:spacing w:after="0" w:line="360" w:lineRule="auto"/>
              <w:ind w:left="0" w:leftChars="0" w:firstLine="480"/>
              <w:textAlignment w:val="auto"/>
              <w:rPr>
                <w:rFonts w:hAnsi="宋体"/>
                <w:color w:val="auto"/>
                <w:sz w:val="24"/>
                <w:highlight w:val="none"/>
              </w:rPr>
            </w:pPr>
            <w:r>
              <w:rPr>
                <w:rFonts w:hAnsi="宋体"/>
                <w:color w:val="auto"/>
                <w:sz w:val="24"/>
                <w:highlight w:val="none"/>
              </w:rPr>
              <w:t>未收集到的</w:t>
            </w:r>
            <w:r>
              <w:rPr>
                <w:rFonts w:hint="eastAsia" w:hAnsi="宋体"/>
                <w:color w:val="auto"/>
                <w:sz w:val="24"/>
                <w:highlight w:val="none"/>
              </w:rPr>
              <w:t>非甲烷总烃</w:t>
            </w:r>
            <w:r>
              <w:rPr>
                <w:rFonts w:hAnsi="宋体"/>
                <w:color w:val="auto"/>
                <w:sz w:val="24"/>
                <w:highlight w:val="none"/>
              </w:rPr>
              <w:t>以无组织方式在车间内散逸。</w:t>
            </w:r>
          </w:p>
          <w:p w14:paraId="13976760">
            <w:pPr>
              <w:pStyle w:val="33"/>
              <w:keepNext w:val="0"/>
              <w:keepLines w:val="0"/>
              <w:pageBreakBefore w:val="0"/>
              <w:widowControl w:val="0"/>
              <w:kinsoku/>
              <w:wordWrap/>
              <w:topLinePunct w:val="0"/>
              <w:autoSpaceDE/>
              <w:autoSpaceDN/>
              <w:bidi w:val="0"/>
              <w:adjustRightInd/>
              <w:snapToGrid/>
              <w:spacing w:after="0" w:line="360" w:lineRule="auto"/>
              <w:ind w:left="0" w:leftChars="0" w:firstLine="480"/>
              <w:textAlignment w:val="auto"/>
              <w:rPr>
                <w:color w:val="auto"/>
                <w:sz w:val="24"/>
                <w:highlight w:val="none"/>
              </w:rPr>
            </w:pPr>
            <w:r>
              <w:rPr>
                <w:rFonts w:hAnsi="宋体"/>
                <w:color w:val="auto"/>
                <w:sz w:val="24"/>
                <w:highlight w:val="none"/>
              </w:rPr>
              <w:t>项目</w:t>
            </w:r>
            <w:r>
              <w:rPr>
                <w:rFonts w:hint="eastAsia" w:hAnsi="宋体"/>
                <w:color w:val="auto"/>
                <w:sz w:val="24"/>
                <w:highlight w:val="none"/>
              </w:rPr>
              <w:t>非甲烷总烃</w:t>
            </w:r>
            <w:r>
              <w:rPr>
                <w:rFonts w:hAnsi="宋体"/>
                <w:color w:val="auto"/>
                <w:sz w:val="24"/>
                <w:highlight w:val="none"/>
              </w:rPr>
              <w:t>废气产排情况见表</w:t>
            </w:r>
            <w:r>
              <w:rPr>
                <w:rFonts w:hint="eastAsia" w:hAnsi="宋体"/>
                <w:color w:val="auto"/>
                <w:sz w:val="24"/>
                <w:highlight w:val="none"/>
                <w:lang w:val="en-US" w:eastAsia="zh-CN"/>
              </w:rPr>
              <w:t>4-1</w:t>
            </w:r>
            <w:r>
              <w:rPr>
                <w:rFonts w:hint="eastAsia" w:hAnsi="宋体"/>
                <w:color w:val="auto"/>
                <w:sz w:val="24"/>
                <w:highlight w:val="none"/>
              </w:rPr>
              <w:t>。</w:t>
            </w:r>
          </w:p>
          <w:p w14:paraId="556FA203">
            <w:pPr>
              <w:keepNext w:val="0"/>
              <w:keepLines w:val="0"/>
              <w:pageBreakBefore w:val="0"/>
              <w:widowControl w:val="0"/>
              <w:kinsoku/>
              <w:wordWrap/>
              <w:topLinePunct w:val="0"/>
              <w:autoSpaceDE/>
              <w:autoSpaceDN/>
              <w:bidi w:val="0"/>
              <w:adjustRightInd/>
              <w:snapToGrid/>
              <w:spacing w:line="360" w:lineRule="auto"/>
              <w:jc w:val="center"/>
              <w:textAlignment w:val="auto"/>
              <w:rPr>
                <w:rFonts w:hAnsi="宋体"/>
                <w:b/>
                <w:color w:val="auto"/>
                <w:szCs w:val="21"/>
                <w:highlight w:val="none"/>
              </w:rPr>
            </w:pPr>
            <w:r>
              <w:rPr>
                <w:rFonts w:hAnsi="宋体"/>
                <w:b/>
                <w:color w:val="auto"/>
                <w:szCs w:val="21"/>
                <w:highlight w:val="none"/>
              </w:rPr>
              <w:t>表</w:t>
            </w:r>
            <w:r>
              <w:rPr>
                <w:rFonts w:hint="eastAsia" w:hAnsi="宋体"/>
                <w:b/>
                <w:color w:val="auto"/>
                <w:szCs w:val="21"/>
                <w:highlight w:val="none"/>
                <w:lang w:val="en-US" w:eastAsia="zh-CN"/>
              </w:rPr>
              <w:t>4-1</w:t>
            </w:r>
            <w:r>
              <w:rPr>
                <w:b/>
                <w:bCs/>
                <w:color w:val="auto"/>
                <w:szCs w:val="21"/>
                <w:highlight w:val="none"/>
              </w:rPr>
              <w:t xml:space="preserve">        </w:t>
            </w:r>
            <w:r>
              <w:rPr>
                <w:rFonts w:hAnsi="宋体"/>
                <w:b/>
                <w:color w:val="auto"/>
                <w:szCs w:val="21"/>
                <w:highlight w:val="none"/>
              </w:rPr>
              <w:t>项目</w:t>
            </w:r>
            <w:r>
              <w:rPr>
                <w:rFonts w:hint="eastAsia" w:hAnsi="宋体"/>
                <w:b/>
                <w:color w:val="auto"/>
                <w:szCs w:val="21"/>
                <w:highlight w:val="none"/>
              </w:rPr>
              <w:t>非甲烷总烃</w:t>
            </w:r>
            <w:r>
              <w:rPr>
                <w:rFonts w:hAnsi="宋体"/>
                <w:b/>
                <w:color w:val="auto"/>
                <w:szCs w:val="21"/>
                <w:highlight w:val="none"/>
              </w:rPr>
              <w:t>产生及排放情况一览表</w:t>
            </w:r>
          </w:p>
          <w:tbl>
            <w:tblPr>
              <w:tblStyle w:val="34"/>
              <w:tblW w:w="49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190"/>
              <w:gridCol w:w="1190"/>
              <w:gridCol w:w="1297"/>
              <w:gridCol w:w="1297"/>
              <w:gridCol w:w="1299"/>
              <w:gridCol w:w="1146"/>
            </w:tblGrid>
            <w:tr w14:paraId="57D7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4" w:type="pct"/>
                  <w:vMerge w:val="restart"/>
                  <w:vAlign w:val="center"/>
                </w:tcPr>
                <w:p w14:paraId="3F6A299F">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污染物名称</w:t>
                  </w:r>
                </w:p>
              </w:tc>
              <w:tc>
                <w:tcPr>
                  <w:tcW w:w="1442" w:type="pct"/>
                  <w:gridSpan w:val="2"/>
                  <w:vAlign w:val="center"/>
                </w:tcPr>
                <w:p w14:paraId="3DD2E4D4">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产生情况</w:t>
                  </w:r>
                </w:p>
              </w:tc>
              <w:tc>
                <w:tcPr>
                  <w:tcW w:w="2359" w:type="pct"/>
                  <w:gridSpan w:val="3"/>
                  <w:vAlign w:val="center"/>
                </w:tcPr>
                <w:p w14:paraId="61078A40">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排放情况</w:t>
                  </w:r>
                </w:p>
              </w:tc>
              <w:tc>
                <w:tcPr>
                  <w:tcW w:w="694" w:type="pct"/>
                  <w:vMerge w:val="restart"/>
                  <w:vAlign w:val="center"/>
                </w:tcPr>
                <w:p w14:paraId="0A8C1805">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排放形式</w:t>
                  </w:r>
                </w:p>
              </w:tc>
            </w:tr>
            <w:tr w14:paraId="32FEA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4" w:type="pct"/>
                  <w:vMerge w:val="continue"/>
                  <w:vAlign w:val="center"/>
                </w:tcPr>
                <w:p w14:paraId="4AB55FD2">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p>
              </w:tc>
              <w:tc>
                <w:tcPr>
                  <w:tcW w:w="721" w:type="pct"/>
                  <w:vAlign w:val="center"/>
                </w:tcPr>
                <w:p w14:paraId="7DFB065C">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产生量</w:t>
                  </w:r>
                </w:p>
              </w:tc>
              <w:tc>
                <w:tcPr>
                  <w:tcW w:w="721" w:type="pct"/>
                  <w:vAlign w:val="center"/>
                </w:tcPr>
                <w:p w14:paraId="2BDEB76C">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产生速率</w:t>
                  </w:r>
                </w:p>
              </w:tc>
              <w:tc>
                <w:tcPr>
                  <w:tcW w:w="785" w:type="pct"/>
                  <w:shd w:val="clear" w:color="auto" w:fill="auto"/>
                  <w:vAlign w:val="center"/>
                </w:tcPr>
                <w:p w14:paraId="5E45D936">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排放量</w:t>
                  </w:r>
                </w:p>
              </w:tc>
              <w:tc>
                <w:tcPr>
                  <w:tcW w:w="785" w:type="pct"/>
                  <w:shd w:val="clear" w:color="auto" w:fill="auto"/>
                  <w:vAlign w:val="center"/>
                </w:tcPr>
                <w:p w14:paraId="46C94E67">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排放速率</w:t>
                  </w:r>
                </w:p>
              </w:tc>
              <w:tc>
                <w:tcPr>
                  <w:tcW w:w="787" w:type="pct"/>
                  <w:vAlign w:val="center"/>
                </w:tcPr>
                <w:p w14:paraId="7306DFC4">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排放浓度</w:t>
                  </w:r>
                </w:p>
              </w:tc>
              <w:tc>
                <w:tcPr>
                  <w:tcW w:w="694" w:type="pct"/>
                  <w:vMerge w:val="continue"/>
                  <w:vAlign w:val="center"/>
                </w:tcPr>
                <w:p w14:paraId="05274834">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p>
              </w:tc>
            </w:tr>
            <w:tr w14:paraId="6608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04" w:type="pct"/>
                  <w:vMerge w:val="restart"/>
                  <w:vAlign w:val="center"/>
                </w:tcPr>
                <w:p w14:paraId="0E67FF92">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塑料包装袋加工厂房</w:t>
                  </w:r>
                  <w:r>
                    <w:rPr>
                      <w:rFonts w:hint="default" w:ascii="Times New Roman" w:hAnsi="Times New Roman" w:eastAsia="宋体" w:cs="Times New Roman"/>
                      <w:color w:val="auto"/>
                      <w:szCs w:val="21"/>
                      <w:highlight w:val="none"/>
                    </w:rPr>
                    <w:t>非甲烷总烃</w:t>
                  </w:r>
                </w:p>
              </w:tc>
              <w:tc>
                <w:tcPr>
                  <w:tcW w:w="721" w:type="pct"/>
                  <w:shd w:val="clear" w:color="auto" w:fill="auto"/>
                  <w:vAlign w:val="center"/>
                </w:tcPr>
                <w:p w14:paraId="2CF7923A">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2.43</w:t>
                  </w:r>
                  <w:r>
                    <w:rPr>
                      <w:rFonts w:hint="default" w:ascii="Times New Roman" w:hAnsi="Times New Roman" w:eastAsia="宋体" w:cs="Times New Roman"/>
                      <w:color w:val="auto"/>
                      <w:szCs w:val="21"/>
                      <w:highlight w:val="none"/>
                    </w:rPr>
                    <w:t>t/a</w:t>
                  </w:r>
                </w:p>
              </w:tc>
              <w:tc>
                <w:tcPr>
                  <w:tcW w:w="721" w:type="pct"/>
                  <w:shd w:val="clear" w:color="auto" w:fill="auto"/>
                  <w:vAlign w:val="center"/>
                </w:tcPr>
                <w:p w14:paraId="54BF96A7">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1.012</w:t>
                  </w:r>
                  <w:r>
                    <w:rPr>
                      <w:rFonts w:hint="default" w:ascii="Times New Roman" w:hAnsi="Times New Roman" w:eastAsia="宋体" w:cs="Times New Roman"/>
                      <w:color w:val="auto"/>
                      <w:szCs w:val="21"/>
                      <w:highlight w:val="none"/>
                    </w:rPr>
                    <w:t>kg/h</w:t>
                  </w:r>
                </w:p>
              </w:tc>
              <w:tc>
                <w:tcPr>
                  <w:tcW w:w="785" w:type="pct"/>
                  <w:vAlign w:val="center"/>
                </w:tcPr>
                <w:p w14:paraId="3B060DA8">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0.85</w:t>
                  </w:r>
                  <w:r>
                    <w:rPr>
                      <w:rFonts w:hint="default" w:ascii="Times New Roman" w:hAnsi="Times New Roman" w:eastAsia="宋体" w:cs="Times New Roman"/>
                      <w:color w:val="auto"/>
                      <w:szCs w:val="21"/>
                      <w:highlight w:val="none"/>
                    </w:rPr>
                    <w:t>t/a</w:t>
                  </w:r>
                </w:p>
              </w:tc>
              <w:tc>
                <w:tcPr>
                  <w:tcW w:w="785" w:type="pct"/>
                  <w:vAlign w:val="center"/>
                </w:tcPr>
                <w:p w14:paraId="44712DAC">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0.354</w:t>
                  </w:r>
                  <w:r>
                    <w:rPr>
                      <w:rFonts w:hint="default" w:ascii="Times New Roman" w:hAnsi="Times New Roman" w:eastAsia="宋体" w:cs="Times New Roman"/>
                      <w:color w:val="auto"/>
                      <w:szCs w:val="21"/>
                      <w:highlight w:val="none"/>
                    </w:rPr>
                    <w:t>kg/h</w:t>
                  </w:r>
                </w:p>
              </w:tc>
              <w:tc>
                <w:tcPr>
                  <w:tcW w:w="787" w:type="pct"/>
                  <w:vAlign w:val="center"/>
                </w:tcPr>
                <w:p w14:paraId="7EDABC13">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35.4</w:t>
                  </w:r>
                  <w:r>
                    <w:rPr>
                      <w:rFonts w:hint="default" w:ascii="Times New Roman" w:hAnsi="Times New Roman" w:eastAsia="宋体" w:cs="Times New Roman"/>
                      <w:color w:val="auto"/>
                      <w:szCs w:val="21"/>
                      <w:highlight w:val="none"/>
                    </w:rPr>
                    <w:t>mg/m</w:t>
                  </w:r>
                  <w:r>
                    <w:rPr>
                      <w:rFonts w:hint="default" w:ascii="Times New Roman" w:hAnsi="Times New Roman" w:eastAsia="宋体" w:cs="Times New Roman"/>
                      <w:color w:val="auto"/>
                      <w:szCs w:val="21"/>
                      <w:highlight w:val="none"/>
                      <w:vertAlign w:val="superscript"/>
                    </w:rPr>
                    <w:t>3</w:t>
                  </w:r>
                </w:p>
              </w:tc>
              <w:tc>
                <w:tcPr>
                  <w:tcW w:w="694" w:type="pct"/>
                  <w:vAlign w:val="center"/>
                </w:tcPr>
                <w:p w14:paraId="649A34FE">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有组织</w:t>
                  </w:r>
                </w:p>
              </w:tc>
            </w:tr>
            <w:tr w14:paraId="19F42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04" w:type="pct"/>
                  <w:vMerge w:val="continue"/>
                  <w:vAlign w:val="center"/>
                </w:tcPr>
                <w:p w14:paraId="413D81DD">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p>
              </w:tc>
              <w:tc>
                <w:tcPr>
                  <w:tcW w:w="721" w:type="pct"/>
                  <w:vAlign w:val="center"/>
                </w:tcPr>
                <w:p w14:paraId="648B70CD">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yellow"/>
                      <w:lang w:val="en-US" w:eastAsia="zh-CN"/>
                    </w:rPr>
                  </w:pPr>
                  <w:r>
                    <w:rPr>
                      <w:rFonts w:hint="eastAsia" w:cs="Times New Roman"/>
                      <w:color w:val="auto"/>
                      <w:szCs w:val="21"/>
                      <w:highlight w:val="none"/>
                      <w:lang w:val="en-US" w:eastAsia="zh-CN"/>
                    </w:rPr>
                    <w:t>0.27t/a</w:t>
                  </w:r>
                </w:p>
              </w:tc>
              <w:tc>
                <w:tcPr>
                  <w:tcW w:w="721" w:type="pct"/>
                  <w:shd w:val="clear" w:color="auto" w:fill="auto"/>
                  <w:vAlign w:val="center"/>
                </w:tcPr>
                <w:p w14:paraId="5B477641">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0.112</w:t>
                  </w:r>
                  <w:r>
                    <w:rPr>
                      <w:rFonts w:hint="default" w:ascii="Times New Roman" w:hAnsi="Times New Roman" w:eastAsia="宋体" w:cs="Times New Roman"/>
                      <w:color w:val="auto"/>
                      <w:szCs w:val="21"/>
                      <w:highlight w:val="none"/>
                    </w:rPr>
                    <w:t>kg/h</w:t>
                  </w:r>
                </w:p>
              </w:tc>
              <w:tc>
                <w:tcPr>
                  <w:tcW w:w="785" w:type="pct"/>
                  <w:shd w:val="clear" w:color="auto" w:fill="auto"/>
                  <w:vAlign w:val="center"/>
                </w:tcPr>
                <w:p w14:paraId="73FDF4F8">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yellow"/>
                      <w:lang w:val="en-US" w:eastAsia="zh-CN" w:bidi="ar-SA"/>
                    </w:rPr>
                  </w:pPr>
                  <w:r>
                    <w:rPr>
                      <w:rFonts w:hint="eastAsia" w:cs="Times New Roman"/>
                      <w:color w:val="auto"/>
                      <w:szCs w:val="21"/>
                      <w:highlight w:val="none"/>
                      <w:lang w:val="en-US" w:eastAsia="zh-CN"/>
                    </w:rPr>
                    <w:t>0.27t/a</w:t>
                  </w:r>
                </w:p>
              </w:tc>
              <w:tc>
                <w:tcPr>
                  <w:tcW w:w="785" w:type="pct"/>
                  <w:shd w:val="clear" w:color="auto" w:fill="auto"/>
                  <w:vAlign w:val="center"/>
                </w:tcPr>
                <w:p w14:paraId="08BE125F">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0.112</w:t>
                  </w:r>
                  <w:r>
                    <w:rPr>
                      <w:rFonts w:hint="default" w:ascii="Times New Roman" w:hAnsi="Times New Roman" w:eastAsia="宋体" w:cs="Times New Roman"/>
                      <w:color w:val="auto"/>
                      <w:szCs w:val="21"/>
                      <w:highlight w:val="none"/>
                    </w:rPr>
                    <w:t>kg/h</w:t>
                  </w:r>
                </w:p>
              </w:tc>
              <w:tc>
                <w:tcPr>
                  <w:tcW w:w="787" w:type="pct"/>
                  <w:vAlign w:val="center"/>
                </w:tcPr>
                <w:p w14:paraId="09E8A946">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w:t>
                  </w:r>
                </w:p>
              </w:tc>
              <w:tc>
                <w:tcPr>
                  <w:tcW w:w="694" w:type="pct"/>
                  <w:vAlign w:val="center"/>
                </w:tcPr>
                <w:p w14:paraId="04EE7C7B">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无组织</w:t>
                  </w:r>
                </w:p>
              </w:tc>
            </w:tr>
            <w:tr w14:paraId="0615D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04" w:type="pct"/>
                  <w:vMerge w:val="restart"/>
                  <w:vAlign w:val="center"/>
                </w:tcPr>
                <w:p w14:paraId="0008FA0A">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农用贴片滴灌带加工厂房</w:t>
                  </w:r>
                  <w:r>
                    <w:rPr>
                      <w:rFonts w:hint="default" w:ascii="Times New Roman" w:hAnsi="Times New Roman" w:eastAsia="宋体" w:cs="Times New Roman"/>
                      <w:color w:val="auto"/>
                      <w:szCs w:val="21"/>
                      <w:highlight w:val="none"/>
                    </w:rPr>
                    <w:t>非甲烷总烃</w:t>
                  </w:r>
                </w:p>
              </w:tc>
              <w:tc>
                <w:tcPr>
                  <w:tcW w:w="721" w:type="pct"/>
                  <w:shd w:val="clear" w:color="auto" w:fill="auto"/>
                  <w:vAlign w:val="center"/>
                </w:tcPr>
                <w:p w14:paraId="37C1CADE">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2.25</w:t>
                  </w:r>
                  <w:r>
                    <w:rPr>
                      <w:rFonts w:hint="default" w:ascii="Times New Roman" w:hAnsi="Times New Roman" w:eastAsia="宋体" w:cs="Times New Roman"/>
                      <w:color w:val="auto"/>
                      <w:szCs w:val="21"/>
                      <w:highlight w:val="none"/>
                    </w:rPr>
                    <w:t>t/a</w:t>
                  </w:r>
                </w:p>
              </w:tc>
              <w:tc>
                <w:tcPr>
                  <w:tcW w:w="721" w:type="pct"/>
                  <w:shd w:val="clear" w:color="auto" w:fill="auto"/>
                  <w:vAlign w:val="center"/>
                </w:tcPr>
                <w:p w14:paraId="0C1DC3FA">
                  <w:pPr>
                    <w:pStyle w:val="33"/>
                    <w:spacing w:after="0"/>
                    <w:ind w:left="-42" w:leftChars="-20" w:right="-42" w:rightChars="-2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0.938</w:t>
                  </w:r>
                  <w:r>
                    <w:rPr>
                      <w:rFonts w:hint="default" w:ascii="Times New Roman" w:hAnsi="Times New Roman" w:eastAsia="宋体" w:cs="Times New Roman"/>
                      <w:color w:val="auto"/>
                      <w:szCs w:val="21"/>
                      <w:highlight w:val="none"/>
                    </w:rPr>
                    <w:t>kg/h</w:t>
                  </w:r>
                </w:p>
              </w:tc>
              <w:tc>
                <w:tcPr>
                  <w:tcW w:w="785" w:type="pct"/>
                  <w:shd w:val="clear" w:color="auto" w:fill="auto"/>
                  <w:vAlign w:val="center"/>
                </w:tcPr>
                <w:p w14:paraId="763C0D7E">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0.79</w:t>
                  </w:r>
                  <w:r>
                    <w:rPr>
                      <w:rFonts w:hint="default" w:ascii="Times New Roman" w:hAnsi="Times New Roman" w:eastAsia="宋体" w:cs="Times New Roman"/>
                      <w:color w:val="auto"/>
                      <w:szCs w:val="21"/>
                      <w:highlight w:val="none"/>
                    </w:rPr>
                    <w:t>t/a</w:t>
                  </w:r>
                </w:p>
              </w:tc>
              <w:tc>
                <w:tcPr>
                  <w:tcW w:w="785" w:type="pct"/>
                  <w:shd w:val="clear" w:color="auto" w:fill="auto"/>
                  <w:vAlign w:val="center"/>
                </w:tcPr>
                <w:p w14:paraId="7055BEC3">
                  <w:pPr>
                    <w:pStyle w:val="33"/>
                    <w:spacing w:after="0"/>
                    <w:ind w:left="-42" w:leftChars="-20" w:right="-42" w:rightChars="-2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0.329</w:t>
                  </w:r>
                  <w:r>
                    <w:rPr>
                      <w:rFonts w:hint="default" w:ascii="Times New Roman" w:hAnsi="Times New Roman" w:eastAsia="宋体" w:cs="Times New Roman"/>
                      <w:color w:val="auto"/>
                      <w:szCs w:val="21"/>
                      <w:highlight w:val="none"/>
                    </w:rPr>
                    <w:t>kg/h</w:t>
                  </w:r>
                </w:p>
              </w:tc>
              <w:tc>
                <w:tcPr>
                  <w:tcW w:w="787" w:type="pct"/>
                  <w:shd w:val="clear" w:color="auto" w:fill="auto"/>
                  <w:vAlign w:val="center"/>
                </w:tcPr>
                <w:p w14:paraId="11DD37AF">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32.9</w:t>
                  </w:r>
                  <w:r>
                    <w:rPr>
                      <w:rFonts w:hint="default" w:ascii="Times New Roman" w:hAnsi="Times New Roman" w:eastAsia="宋体" w:cs="Times New Roman"/>
                      <w:color w:val="auto"/>
                      <w:szCs w:val="21"/>
                      <w:highlight w:val="none"/>
                    </w:rPr>
                    <w:t>mg/m</w:t>
                  </w:r>
                  <w:r>
                    <w:rPr>
                      <w:rFonts w:hint="default" w:ascii="Times New Roman" w:hAnsi="Times New Roman" w:eastAsia="宋体" w:cs="Times New Roman"/>
                      <w:color w:val="auto"/>
                      <w:szCs w:val="21"/>
                      <w:highlight w:val="none"/>
                      <w:vertAlign w:val="superscript"/>
                    </w:rPr>
                    <w:t>3</w:t>
                  </w:r>
                </w:p>
              </w:tc>
              <w:tc>
                <w:tcPr>
                  <w:tcW w:w="694" w:type="pct"/>
                  <w:vAlign w:val="center"/>
                </w:tcPr>
                <w:p w14:paraId="0805A94D">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有组织</w:t>
                  </w:r>
                </w:p>
              </w:tc>
            </w:tr>
            <w:tr w14:paraId="698F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04" w:type="pct"/>
                  <w:vMerge w:val="continue"/>
                  <w:vAlign w:val="center"/>
                </w:tcPr>
                <w:p w14:paraId="6759C4F4">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p>
              </w:tc>
              <w:tc>
                <w:tcPr>
                  <w:tcW w:w="721" w:type="pct"/>
                  <w:shd w:val="clear" w:color="auto" w:fill="auto"/>
                  <w:vAlign w:val="center"/>
                </w:tcPr>
                <w:p w14:paraId="52A9C01A">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yellow"/>
                      <w:lang w:val="en-US" w:eastAsia="zh-CN" w:bidi="ar-SA"/>
                    </w:rPr>
                  </w:pPr>
                  <w:r>
                    <w:rPr>
                      <w:rFonts w:hint="eastAsia" w:cs="Times New Roman"/>
                      <w:color w:val="auto"/>
                      <w:szCs w:val="21"/>
                      <w:highlight w:val="none"/>
                      <w:lang w:val="en-US" w:eastAsia="zh-CN"/>
                    </w:rPr>
                    <w:t>0.25t/a</w:t>
                  </w:r>
                </w:p>
              </w:tc>
              <w:tc>
                <w:tcPr>
                  <w:tcW w:w="721" w:type="pct"/>
                  <w:shd w:val="clear" w:color="auto" w:fill="auto"/>
                  <w:vAlign w:val="center"/>
                </w:tcPr>
                <w:p w14:paraId="298166C1">
                  <w:pPr>
                    <w:pStyle w:val="33"/>
                    <w:spacing w:after="0"/>
                    <w:ind w:left="-42" w:leftChars="-20" w:right="-42" w:rightChars="-2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0.104</w:t>
                  </w:r>
                  <w:r>
                    <w:rPr>
                      <w:rFonts w:hint="default" w:ascii="Times New Roman" w:hAnsi="Times New Roman" w:eastAsia="宋体" w:cs="Times New Roman"/>
                      <w:color w:val="auto"/>
                      <w:szCs w:val="21"/>
                      <w:highlight w:val="none"/>
                    </w:rPr>
                    <w:t>kg/h</w:t>
                  </w:r>
                </w:p>
              </w:tc>
              <w:tc>
                <w:tcPr>
                  <w:tcW w:w="1297" w:type="dxa"/>
                  <w:shd w:val="clear" w:color="auto" w:fill="auto"/>
                  <w:vAlign w:val="center"/>
                </w:tcPr>
                <w:p w14:paraId="29639039">
                  <w:pPr>
                    <w:pStyle w:val="33"/>
                    <w:spacing w:after="0"/>
                    <w:ind w:left="-42" w:leftChars="-20" w:right="-42" w:rightChars="-20" w:firstLine="0" w:firstLineChars="0"/>
                    <w:jc w:val="center"/>
                    <w:rPr>
                      <w:rFonts w:hint="default" w:ascii="Times New Roman" w:hAnsi="Times New Roman" w:eastAsia="宋体" w:cs="Times New Roman"/>
                      <w:b/>
                      <w:bCs/>
                      <w:color w:val="auto"/>
                      <w:kern w:val="2"/>
                      <w:sz w:val="21"/>
                      <w:szCs w:val="21"/>
                      <w:highlight w:val="yellow"/>
                      <w:lang w:val="en-US" w:eastAsia="zh-CN" w:bidi="ar-SA"/>
                    </w:rPr>
                  </w:pPr>
                  <w:r>
                    <w:rPr>
                      <w:rFonts w:hint="eastAsia" w:cs="Times New Roman"/>
                      <w:color w:val="auto"/>
                      <w:szCs w:val="21"/>
                      <w:highlight w:val="none"/>
                      <w:lang w:val="en-US" w:eastAsia="zh-CN"/>
                    </w:rPr>
                    <w:t>0.25t/a</w:t>
                  </w:r>
                </w:p>
              </w:tc>
              <w:tc>
                <w:tcPr>
                  <w:tcW w:w="1297" w:type="dxa"/>
                  <w:shd w:val="clear" w:color="auto" w:fill="auto"/>
                  <w:vAlign w:val="center"/>
                </w:tcPr>
                <w:p w14:paraId="32F4B355">
                  <w:pPr>
                    <w:pStyle w:val="33"/>
                    <w:spacing w:after="0"/>
                    <w:ind w:left="-42" w:leftChars="-20" w:right="-42" w:rightChars="-20" w:firstLine="0" w:firstLine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cs="Times New Roman"/>
                      <w:color w:val="auto"/>
                      <w:szCs w:val="21"/>
                      <w:highlight w:val="none"/>
                      <w:lang w:val="en-US" w:eastAsia="zh-CN"/>
                    </w:rPr>
                    <w:t>0.104</w:t>
                  </w:r>
                  <w:r>
                    <w:rPr>
                      <w:rFonts w:hint="default" w:ascii="Times New Roman" w:hAnsi="Times New Roman" w:eastAsia="宋体" w:cs="Times New Roman"/>
                      <w:color w:val="auto"/>
                      <w:szCs w:val="21"/>
                      <w:highlight w:val="none"/>
                    </w:rPr>
                    <w:t>kg/h</w:t>
                  </w:r>
                </w:p>
              </w:tc>
              <w:tc>
                <w:tcPr>
                  <w:tcW w:w="787" w:type="pct"/>
                  <w:shd w:val="clear" w:color="auto" w:fill="auto"/>
                  <w:vAlign w:val="center"/>
                </w:tcPr>
                <w:p w14:paraId="7CC64139">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w:t>
                  </w:r>
                </w:p>
              </w:tc>
              <w:tc>
                <w:tcPr>
                  <w:tcW w:w="694" w:type="pct"/>
                  <w:vAlign w:val="center"/>
                </w:tcPr>
                <w:p w14:paraId="3BA35239">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无组织</w:t>
                  </w:r>
                </w:p>
              </w:tc>
            </w:tr>
          </w:tbl>
          <w:p w14:paraId="7A3ADD86">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bCs/>
                <w:color w:val="auto"/>
                <w:sz w:val="24"/>
                <w:highlight w:val="none"/>
                <w:lang w:val="en-US" w:eastAsia="zh-CN"/>
              </w:rPr>
            </w:pPr>
            <w:r>
              <w:rPr>
                <w:rFonts w:hint="eastAsia"/>
                <w:bCs/>
                <w:color w:val="auto"/>
                <w:sz w:val="24"/>
                <w:highlight w:val="none"/>
                <w:lang w:val="en-US" w:eastAsia="zh-CN"/>
              </w:rPr>
              <w:t>（2）粉尘</w:t>
            </w:r>
          </w:p>
          <w:p w14:paraId="1F5991A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bCs/>
                <w:color w:val="auto"/>
                <w:sz w:val="24"/>
                <w:szCs w:val="24"/>
                <w:highlight w:val="none"/>
              </w:rPr>
              <w:t>本项目</w:t>
            </w:r>
            <w:r>
              <w:rPr>
                <w:rFonts w:hint="eastAsia" w:ascii="Times New Roman" w:hAnsi="Times New Roman" w:eastAsia="宋体" w:cs="Times New Roman"/>
                <w:color w:val="auto"/>
                <w:kern w:val="2"/>
                <w:sz w:val="24"/>
                <w:szCs w:val="24"/>
                <w:lang w:val="en-US" w:eastAsia="zh-CN" w:bidi="ar-SA"/>
              </w:rPr>
              <w:t>塑料包装袋、农用贴片滴灌带</w:t>
            </w:r>
            <w:r>
              <w:rPr>
                <w:rFonts w:hint="eastAsia"/>
                <w:color w:val="auto"/>
                <w:sz w:val="24"/>
                <w:highlight w:val="none"/>
              </w:rPr>
              <w:t>生产使用的主要原料为聚乙烯等塑料颗粒</w:t>
            </w:r>
            <w:r>
              <w:rPr>
                <w:rFonts w:hint="default" w:ascii="Times New Roman" w:hAnsi="Times New Roman" w:eastAsia="宋体" w:cs="Times New Roman"/>
                <w:bCs/>
                <w:color w:val="auto"/>
                <w:sz w:val="24"/>
                <w:szCs w:val="24"/>
                <w:highlight w:val="none"/>
                <w:lang w:eastAsia="zh-CN"/>
              </w:rPr>
              <w:t>，</w:t>
            </w:r>
            <w:r>
              <w:rPr>
                <w:rFonts w:hint="default" w:ascii="Times New Roman" w:hAnsi="Times New Roman" w:eastAsia="宋体" w:cs="Times New Roman"/>
                <w:bCs/>
                <w:color w:val="auto"/>
                <w:sz w:val="24"/>
                <w:szCs w:val="24"/>
                <w:highlight w:val="none"/>
                <w:lang w:val="en-US" w:eastAsia="zh-CN"/>
              </w:rPr>
              <w:t>在混料过程中产生一定量的粉尘。</w:t>
            </w:r>
            <w:r>
              <w:rPr>
                <w:rFonts w:hint="default" w:ascii="Times New Roman" w:hAnsi="Times New Roman" w:eastAsia="宋体" w:cs="Times New Roman"/>
                <w:color w:val="auto"/>
                <w:sz w:val="24"/>
                <w:szCs w:val="24"/>
                <w:highlight w:val="none"/>
              </w:rPr>
              <w:t>生态环境部2021年6月11日发布的《排放源统计调查产排污核算方法和系数手册》中292</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塑料制品行业系数手册可知</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kern w:val="0"/>
                <w:sz w:val="24"/>
                <w:szCs w:val="24"/>
                <w:lang w:val="en-US" w:eastAsia="zh-CN" w:bidi="ar"/>
              </w:rPr>
              <w:t>配料-混合-挤出工艺中，颗粒物</w:t>
            </w:r>
            <w:r>
              <w:rPr>
                <w:rFonts w:hint="default" w:ascii="Times New Roman" w:hAnsi="Times New Roman" w:eastAsia="宋体" w:cs="Times New Roman"/>
                <w:snapToGrid w:val="0"/>
                <w:color w:val="auto"/>
                <w:sz w:val="24"/>
                <w:szCs w:val="24"/>
                <w:highlight w:val="none"/>
              </w:rPr>
              <w:t>产污系数为</w:t>
            </w:r>
            <w:r>
              <w:rPr>
                <w:rFonts w:hint="eastAsia" w:cs="Times New Roman"/>
                <w:snapToGrid w:val="0"/>
                <w:color w:val="auto"/>
                <w:sz w:val="24"/>
                <w:szCs w:val="24"/>
                <w:highlight w:val="none"/>
                <w:lang w:val="en-US" w:eastAsia="zh-CN"/>
              </w:rPr>
              <w:t>6</w:t>
            </w:r>
            <w:r>
              <w:rPr>
                <w:rFonts w:hint="default" w:ascii="Times New Roman" w:hAnsi="Times New Roman" w:eastAsia="宋体" w:cs="Times New Roman"/>
                <w:snapToGrid w:val="0"/>
                <w:color w:val="auto"/>
                <w:sz w:val="24"/>
                <w:szCs w:val="24"/>
                <w:highlight w:val="none"/>
              </w:rPr>
              <w:t>kg/t-产品</w:t>
            </w:r>
            <w:r>
              <w:rPr>
                <w:rFonts w:hint="eastAsia" w:ascii="Times New Roman" w:hAnsi="Times New Roman" w:eastAsia="宋体" w:cs="Times New Roman"/>
                <w:snapToGrid w:val="0"/>
                <w:color w:val="auto"/>
                <w:sz w:val="24"/>
                <w:szCs w:val="24"/>
                <w:highlight w:val="none"/>
                <w:lang w:eastAsia="zh-CN"/>
              </w:rPr>
              <w:t>，</w:t>
            </w:r>
            <w:r>
              <w:rPr>
                <w:rFonts w:hint="eastAsia"/>
                <w:snapToGrid w:val="0"/>
                <w:color w:val="auto"/>
                <w:sz w:val="24"/>
                <w:highlight w:val="none"/>
              </w:rPr>
              <w:t>本项目</w:t>
            </w:r>
            <w:r>
              <w:rPr>
                <w:rFonts w:hint="eastAsia"/>
                <w:snapToGrid w:val="0"/>
                <w:color w:val="auto"/>
                <w:sz w:val="24"/>
                <w:highlight w:val="none"/>
                <w:lang w:val="en-US" w:eastAsia="zh-CN"/>
              </w:rPr>
              <w:t>生产塑料包装袋</w:t>
            </w:r>
            <w:r>
              <w:rPr>
                <w:rFonts w:hint="eastAsia"/>
                <w:snapToGrid w:val="0"/>
                <w:color w:val="auto"/>
                <w:sz w:val="24"/>
                <w:highlight w:val="none"/>
              </w:rPr>
              <w:t>产品</w:t>
            </w:r>
            <w:r>
              <w:rPr>
                <w:rFonts w:hint="eastAsia"/>
                <w:snapToGrid w:val="0"/>
                <w:color w:val="auto"/>
                <w:sz w:val="24"/>
                <w:highlight w:val="none"/>
                <w:lang w:val="en-US" w:eastAsia="zh-CN"/>
              </w:rPr>
              <w:t>1000</w:t>
            </w:r>
            <w:r>
              <w:rPr>
                <w:rFonts w:hint="eastAsia"/>
                <w:snapToGrid w:val="0"/>
                <w:color w:val="auto"/>
                <w:sz w:val="24"/>
                <w:highlight w:val="none"/>
              </w:rPr>
              <w:t>t，农用贴片滴灌带产品</w:t>
            </w:r>
            <w:r>
              <w:rPr>
                <w:rFonts w:hint="eastAsia"/>
                <w:snapToGrid w:val="0"/>
                <w:color w:val="auto"/>
                <w:sz w:val="24"/>
                <w:highlight w:val="none"/>
                <w:lang w:val="en-US" w:eastAsia="zh-CN"/>
              </w:rPr>
              <w:t>1000t，</w:t>
            </w:r>
            <w:r>
              <w:rPr>
                <w:rFonts w:hint="eastAsia"/>
                <w:snapToGrid w:val="0"/>
                <w:color w:val="auto"/>
                <w:sz w:val="24"/>
                <w:highlight w:val="none"/>
              </w:rPr>
              <w:t>则</w:t>
            </w:r>
            <w:r>
              <w:rPr>
                <w:rFonts w:hint="eastAsia"/>
                <w:snapToGrid w:val="0"/>
                <w:color w:val="auto"/>
                <w:sz w:val="24"/>
                <w:highlight w:val="none"/>
                <w:lang w:val="en-US" w:eastAsia="zh-CN"/>
              </w:rPr>
              <w:t>塑料包装袋加工厂房塑料包装袋生产线</w:t>
            </w:r>
            <w:r>
              <w:rPr>
                <w:rFonts w:hint="eastAsia" w:hAnsiTheme="minorEastAsia"/>
                <w:color w:val="auto"/>
                <w:sz w:val="24"/>
                <w:highlight w:val="none"/>
                <w:lang w:val="en-US" w:eastAsia="zh-CN"/>
              </w:rPr>
              <w:t>混合工序粉尘</w:t>
            </w:r>
            <w:r>
              <w:rPr>
                <w:rFonts w:hint="eastAsia" w:hAnsiTheme="minorEastAsia"/>
                <w:color w:val="auto"/>
                <w:sz w:val="24"/>
                <w:highlight w:val="none"/>
              </w:rPr>
              <w:t>产生量为</w:t>
            </w:r>
            <w:r>
              <w:rPr>
                <w:rFonts w:hint="eastAsia"/>
                <w:snapToGrid w:val="0"/>
                <w:color w:val="auto"/>
                <w:sz w:val="24"/>
                <w:highlight w:val="none"/>
                <w:lang w:val="en-US" w:eastAsia="zh-CN"/>
              </w:rPr>
              <w:t>6</w:t>
            </w:r>
            <w:r>
              <w:rPr>
                <w:snapToGrid w:val="0"/>
                <w:color w:val="auto"/>
                <w:sz w:val="24"/>
                <w:highlight w:val="none"/>
              </w:rPr>
              <w:t>t/a</w:t>
            </w:r>
            <w:r>
              <w:rPr>
                <w:rFonts w:hint="eastAsia"/>
                <w:snapToGrid w:val="0"/>
                <w:color w:val="auto"/>
                <w:sz w:val="24"/>
                <w:highlight w:val="none"/>
                <w:lang w:eastAsia="zh-CN"/>
              </w:rPr>
              <w:t>，</w:t>
            </w:r>
            <w:r>
              <w:rPr>
                <w:rFonts w:hint="eastAsia"/>
                <w:snapToGrid w:val="0"/>
                <w:color w:val="auto"/>
                <w:sz w:val="24"/>
                <w:highlight w:val="none"/>
                <w:lang w:val="en-US" w:eastAsia="zh-CN"/>
              </w:rPr>
              <w:t>农用贴片滴灌带加工厂房</w:t>
            </w:r>
            <w:r>
              <w:rPr>
                <w:rFonts w:hint="eastAsia" w:ascii="Times New Roman" w:hAnsi="Times New Roman" w:eastAsia="宋体" w:cs="Times New Roman"/>
                <w:color w:val="auto"/>
                <w:kern w:val="2"/>
                <w:sz w:val="24"/>
                <w:szCs w:val="24"/>
                <w:lang w:val="en-US" w:eastAsia="zh-CN" w:bidi="ar-SA"/>
              </w:rPr>
              <w:t>农用贴片滴灌带</w:t>
            </w:r>
            <w:r>
              <w:rPr>
                <w:rFonts w:hint="eastAsia"/>
                <w:snapToGrid w:val="0"/>
                <w:color w:val="auto"/>
                <w:sz w:val="24"/>
                <w:highlight w:val="none"/>
                <w:lang w:val="en-US" w:eastAsia="zh-CN"/>
              </w:rPr>
              <w:t>生产线</w:t>
            </w:r>
            <w:r>
              <w:rPr>
                <w:rFonts w:hint="eastAsia" w:hAnsiTheme="minorEastAsia"/>
                <w:color w:val="auto"/>
                <w:sz w:val="24"/>
                <w:highlight w:val="none"/>
                <w:lang w:val="en-US" w:eastAsia="zh-CN"/>
              </w:rPr>
              <w:t>混合工序粉尘</w:t>
            </w:r>
            <w:r>
              <w:rPr>
                <w:rFonts w:hint="eastAsia" w:hAnsiTheme="minorEastAsia"/>
                <w:color w:val="auto"/>
                <w:sz w:val="24"/>
                <w:highlight w:val="none"/>
              </w:rPr>
              <w:t>产生量为</w:t>
            </w:r>
            <w:r>
              <w:rPr>
                <w:rFonts w:hint="eastAsia"/>
                <w:snapToGrid w:val="0"/>
                <w:color w:val="auto"/>
                <w:sz w:val="24"/>
                <w:highlight w:val="none"/>
                <w:lang w:val="en-US" w:eastAsia="zh-CN"/>
              </w:rPr>
              <w:t>6</w:t>
            </w:r>
            <w:r>
              <w:rPr>
                <w:snapToGrid w:val="0"/>
                <w:color w:val="auto"/>
                <w:sz w:val="24"/>
                <w:highlight w:val="none"/>
              </w:rPr>
              <w:t>t/a</w:t>
            </w:r>
            <w:r>
              <w:rPr>
                <w:rFonts w:hint="eastAsia" w:ascii="Times New Roman" w:hAnsi="Times New Roman" w:eastAsia="宋体" w:cs="Times New Roman"/>
                <w:snapToGrid w:val="0"/>
                <w:color w:val="auto"/>
                <w:sz w:val="24"/>
                <w:szCs w:val="24"/>
                <w:highlight w:val="none"/>
                <w:lang w:val="en-US" w:eastAsia="zh-CN"/>
              </w:rPr>
              <w:t>。</w:t>
            </w:r>
          </w:p>
          <w:p w14:paraId="42322A9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hAnsi="宋体"/>
                <w:color w:val="auto"/>
                <w:sz w:val="24"/>
                <w:highlight w:val="none"/>
                <w:lang w:eastAsia="zh-CN"/>
              </w:rPr>
            </w:pPr>
            <w:r>
              <w:rPr>
                <w:rFonts w:hint="eastAsia" w:cs="Times New Roman"/>
                <w:snapToGrid w:val="0"/>
                <w:color w:val="auto"/>
                <w:sz w:val="24"/>
                <w:szCs w:val="24"/>
                <w:highlight w:val="none"/>
                <w:lang w:val="en-US" w:eastAsia="zh-CN"/>
              </w:rPr>
              <w:t>本项目拟采用布袋除尘措施来降低粉尘影响，项目在混料</w:t>
            </w:r>
            <w:r>
              <w:rPr>
                <w:rFonts w:hint="eastAsia" w:hAnsi="宋体"/>
                <w:color w:val="auto"/>
                <w:sz w:val="24"/>
                <w:highlight w:val="none"/>
                <w:lang w:val="en-US" w:eastAsia="zh-CN"/>
              </w:rPr>
              <w:t>设备</w:t>
            </w:r>
            <w:r>
              <w:rPr>
                <w:rFonts w:hint="eastAsia" w:hAnsi="宋体"/>
                <w:color w:val="auto"/>
                <w:sz w:val="24"/>
                <w:highlight w:val="none"/>
              </w:rPr>
              <w:t>上方</w:t>
            </w:r>
            <w:r>
              <w:rPr>
                <w:rFonts w:hint="eastAsia" w:hAnsi="宋体"/>
                <w:color w:val="auto"/>
                <w:sz w:val="24"/>
                <w:highlight w:val="none"/>
                <w:lang w:val="en-US" w:eastAsia="zh-CN"/>
              </w:rPr>
              <w:t>分别</w:t>
            </w:r>
            <w:r>
              <w:rPr>
                <w:rFonts w:hint="eastAsia" w:hAnsi="宋体"/>
                <w:color w:val="auto"/>
                <w:sz w:val="24"/>
                <w:highlight w:val="none"/>
              </w:rPr>
              <w:t>设置集气罩，</w:t>
            </w:r>
            <w:r>
              <w:rPr>
                <w:rFonts w:hint="eastAsia" w:hAnsi="宋体"/>
                <w:color w:val="auto"/>
                <w:sz w:val="24"/>
                <w:highlight w:val="none"/>
                <w:lang w:eastAsia="zh-CN"/>
              </w:rPr>
              <w:t>废气</w:t>
            </w:r>
            <w:r>
              <w:rPr>
                <w:rFonts w:hint="eastAsia" w:hAnsi="宋体"/>
                <w:color w:val="auto"/>
                <w:sz w:val="24"/>
                <w:highlight w:val="none"/>
                <w:lang w:val="en-US" w:eastAsia="zh-CN"/>
              </w:rPr>
              <w:t>由</w:t>
            </w:r>
            <w:r>
              <w:rPr>
                <w:rFonts w:hint="eastAsia" w:hAnsi="宋体"/>
                <w:color w:val="auto"/>
                <w:sz w:val="24"/>
                <w:highlight w:val="none"/>
              </w:rPr>
              <w:t>集气罩收集</w:t>
            </w:r>
            <w:r>
              <w:rPr>
                <w:rFonts w:hint="eastAsia" w:hAnsi="宋体"/>
                <w:color w:val="auto"/>
                <w:sz w:val="24"/>
                <w:highlight w:val="none"/>
                <w:lang w:val="en-US" w:eastAsia="zh-CN"/>
              </w:rPr>
              <w:t>经布袋除尘器处理后分别</w:t>
            </w:r>
            <w:r>
              <w:rPr>
                <w:rFonts w:hint="eastAsia" w:hAnsi="宋体"/>
                <w:color w:val="auto"/>
                <w:sz w:val="24"/>
                <w:highlight w:val="none"/>
              </w:rPr>
              <w:t>通过15m高排气筒DA001</w:t>
            </w:r>
            <w:r>
              <w:rPr>
                <w:rFonts w:hint="eastAsia" w:hAnsi="宋体"/>
                <w:color w:val="auto"/>
                <w:sz w:val="24"/>
                <w:highlight w:val="none"/>
                <w:lang w:eastAsia="zh-CN"/>
              </w:rPr>
              <w:t>、</w:t>
            </w:r>
            <w:r>
              <w:rPr>
                <w:rFonts w:hint="eastAsia" w:hAnsi="宋体"/>
                <w:color w:val="auto"/>
                <w:sz w:val="24"/>
                <w:highlight w:val="none"/>
                <w:lang w:val="en-US" w:eastAsia="zh-CN"/>
              </w:rPr>
              <w:t>DA002</w:t>
            </w:r>
            <w:r>
              <w:rPr>
                <w:rFonts w:hint="eastAsia" w:hAnsi="宋体"/>
                <w:color w:val="auto"/>
                <w:sz w:val="24"/>
                <w:highlight w:val="none"/>
              </w:rPr>
              <w:t>排放</w:t>
            </w:r>
            <w:r>
              <w:rPr>
                <w:rFonts w:hint="eastAsia" w:hAnsi="宋体"/>
                <w:color w:val="auto"/>
                <w:sz w:val="24"/>
                <w:highlight w:val="none"/>
                <w:lang w:val="en-US" w:eastAsia="zh-CN"/>
              </w:rPr>
              <w:t>，</w:t>
            </w:r>
            <w:r>
              <w:rPr>
                <w:rFonts w:hAnsi="宋体"/>
                <w:color w:val="auto"/>
                <w:sz w:val="24"/>
                <w:highlight w:val="none"/>
              </w:rPr>
              <w:t>集气风量为</w:t>
            </w:r>
            <w:r>
              <w:rPr>
                <w:rFonts w:hint="eastAsia"/>
                <w:color w:val="auto"/>
                <w:sz w:val="24"/>
                <w:highlight w:val="none"/>
              </w:rPr>
              <w:t>1</w:t>
            </w:r>
            <w:r>
              <w:rPr>
                <w:rFonts w:hint="eastAsia"/>
                <w:color w:val="auto"/>
                <w:sz w:val="24"/>
                <w:highlight w:val="none"/>
                <w:lang w:val="en-US" w:eastAsia="zh-CN"/>
              </w:rPr>
              <w:t>0</w:t>
            </w:r>
            <w:r>
              <w:rPr>
                <w:color w:val="auto"/>
                <w:sz w:val="24"/>
                <w:highlight w:val="none"/>
              </w:rPr>
              <w:t>000m</w:t>
            </w:r>
            <w:r>
              <w:rPr>
                <w:color w:val="auto"/>
                <w:sz w:val="24"/>
                <w:highlight w:val="none"/>
                <w:vertAlign w:val="superscript"/>
              </w:rPr>
              <w:t>3</w:t>
            </w:r>
            <w:r>
              <w:rPr>
                <w:color w:val="auto"/>
                <w:sz w:val="24"/>
                <w:highlight w:val="none"/>
              </w:rPr>
              <w:t>/h</w:t>
            </w:r>
            <w:r>
              <w:rPr>
                <w:rFonts w:hint="eastAsia"/>
                <w:color w:val="auto"/>
                <w:sz w:val="24"/>
                <w:highlight w:val="none"/>
                <w:lang w:eastAsia="zh-CN"/>
              </w:rPr>
              <w:t>，</w:t>
            </w:r>
            <w:r>
              <w:rPr>
                <w:rFonts w:hint="eastAsia" w:hAnsi="宋体"/>
                <w:color w:val="auto"/>
                <w:sz w:val="24"/>
                <w:highlight w:val="none"/>
                <w:lang w:val="en-US" w:eastAsia="zh-CN"/>
              </w:rPr>
              <w:t>集气罩收集效率为90%，</w:t>
            </w:r>
            <w:r>
              <w:rPr>
                <w:rFonts w:hint="eastAsia" w:hAnsi="宋体"/>
                <w:color w:val="auto"/>
                <w:sz w:val="24"/>
                <w:highlight w:val="none"/>
              </w:rPr>
              <w:t>参照《排放源统计调查产排污核算方法和系数手册》（2021）中2922塑料板、管、型材制造行业系数表，</w:t>
            </w:r>
            <w:r>
              <w:rPr>
                <w:rFonts w:hint="eastAsia" w:hAnsi="宋体"/>
                <w:color w:val="auto"/>
                <w:sz w:val="24"/>
                <w:highlight w:val="none"/>
                <w:lang w:val="en-US" w:eastAsia="zh-CN"/>
              </w:rPr>
              <w:t>布袋除尘</w:t>
            </w:r>
            <w:r>
              <w:rPr>
                <w:rFonts w:hint="eastAsia" w:hAnsi="宋体"/>
                <w:color w:val="auto"/>
                <w:sz w:val="24"/>
                <w:highlight w:val="none"/>
              </w:rPr>
              <w:t>处理效率为</w:t>
            </w:r>
            <w:r>
              <w:rPr>
                <w:rFonts w:hint="eastAsia" w:hAnsi="宋体"/>
                <w:color w:val="auto"/>
                <w:sz w:val="24"/>
                <w:highlight w:val="none"/>
                <w:lang w:val="en-US" w:eastAsia="zh-CN"/>
              </w:rPr>
              <w:t>99</w:t>
            </w:r>
            <w:r>
              <w:rPr>
                <w:rFonts w:hint="eastAsia" w:hAnsi="宋体"/>
                <w:color w:val="auto"/>
                <w:sz w:val="24"/>
                <w:highlight w:val="none"/>
              </w:rPr>
              <w:t>%</w:t>
            </w:r>
            <w:r>
              <w:rPr>
                <w:rFonts w:hint="eastAsia" w:hAnsi="宋体"/>
                <w:color w:val="auto"/>
                <w:sz w:val="24"/>
                <w:highlight w:val="none"/>
                <w:lang w:eastAsia="zh-CN"/>
              </w:rPr>
              <w:t>，年工作时长</w:t>
            </w:r>
            <w:r>
              <w:rPr>
                <w:rFonts w:hint="eastAsia" w:hAnsi="宋体"/>
                <w:color w:val="auto"/>
                <w:sz w:val="24"/>
                <w:highlight w:val="none"/>
                <w:lang w:val="en-US" w:eastAsia="zh-CN"/>
              </w:rPr>
              <w:t>24</w:t>
            </w:r>
            <w:r>
              <w:rPr>
                <w:rFonts w:hint="eastAsia" w:hAnsi="宋体"/>
                <w:color w:val="auto"/>
                <w:sz w:val="24"/>
                <w:highlight w:val="none"/>
                <w:lang w:eastAsia="zh-CN"/>
              </w:rPr>
              <w:t>00h。</w:t>
            </w:r>
          </w:p>
          <w:p w14:paraId="6538815C">
            <w:pPr>
              <w:pStyle w:val="33"/>
              <w:keepNext w:val="0"/>
              <w:keepLines w:val="0"/>
              <w:pageBreakBefore w:val="0"/>
              <w:widowControl w:val="0"/>
              <w:kinsoku/>
              <w:wordWrap/>
              <w:topLinePunct w:val="0"/>
              <w:autoSpaceDE/>
              <w:autoSpaceDN/>
              <w:bidi w:val="0"/>
              <w:adjustRightInd/>
              <w:snapToGrid/>
              <w:spacing w:after="0" w:line="360" w:lineRule="auto"/>
              <w:ind w:left="0" w:leftChars="0" w:firstLine="480"/>
              <w:textAlignment w:val="auto"/>
              <w:rPr>
                <w:rFonts w:hAnsi="宋体"/>
                <w:color w:val="auto"/>
                <w:sz w:val="24"/>
                <w:highlight w:val="none"/>
              </w:rPr>
            </w:pPr>
            <w:r>
              <w:rPr>
                <w:rFonts w:hAnsi="宋体"/>
                <w:color w:val="auto"/>
                <w:sz w:val="24"/>
                <w:highlight w:val="none"/>
              </w:rPr>
              <w:t>未收集到的</w:t>
            </w:r>
            <w:r>
              <w:rPr>
                <w:rFonts w:hint="eastAsia" w:hAnsi="宋体"/>
                <w:color w:val="auto"/>
                <w:sz w:val="24"/>
                <w:highlight w:val="none"/>
                <w:lang w:val="en-US" w:eastAsia="zh-CN"/>
              </w:rPr>
              <w:t>粉尘</w:t>
            </w:r>
            <w:r>
              <w:rPr>
                <w:rFonts w:hAnsi="宋体"/>
                <w:color w:val="auto"/>
                <w:sz w:val="24"/>
                <w:highlight w:val="none"/>
              </w:rPr>
              <w:t>以无组织方式在车间内散逸。</w:t>
            </w:r>
          </w:p>
          <w:p w14:paraId="21E95014">
            <w:pPr>
              <w:pStyle w:val="33"/>
              <w:keepNext w:val="0"/>
              <w:keepLines w:val="0"/>
              <w:pageBreakBefore w:val="0"/>
              <w:widowControl w:val="0"/>
              <w:kinsoku/>
              <w:wordWrap/>
              <w:topLinePunct w:val="0"/>
              <w:autoSpaceDE/>
              <w:autoSpaceDN/>
              <w:bidi w:val="0"/>
              <w:adjustRightInd/>
              <w:snapToGrid/>
              <w:spacing w:after="0" w:line="360" w:lineRule="auto"/>
              <w:ind w:left="0" w:leftChars="0" w:firstLine="480"/>
              <w:textAlignment w:val="auto"/>
              <w:rPr>
                <w:color w:val="auto"/>
                <w:sz w:val="24"/>
                <w:highlight w:val="none"/>
              </w:rPr>
            </w:pPr>
            <w:r>
              <w:rPr>
                <w:rFonts w:hint="eastAsia" w:hAnsi="宋体"/>
                <w:color w:val="auto"/>
                <w:sz w:val="24"/>
                <w:highlight w:val="none"/>
                <w:lang w:val="en-US" w:eastAsia="zh-CN"/>
              </w:rPr>
              <w:t>粉尘</w:t>
            </w:r>
            <w:r>
              <w:rPr>
                <w:rFonts w:hAnsi="宋体"/>
                <w:color w:val="auto"/>
                <w:sz w:val="24"/>
                <w:highlight w:val="none"/>
              </w:rPr>
              <w:t>产排情况见表</w:t>
            </w:r>
            <w:r>
              <w:rPr>
                <w:rFonts w:hint="eastAsia" w:hAnsi="宋体"/>
                <w:color w:val="auto"/>
                <w:sz w:val="24"/>
                <w:highlight w:val="none"/>
                <w:lang w:val="en-US" w:eastAsia="zh-CN"/>
              </w:rPr>
              <w:t>4-2</w:t>
            </w:r>
            <w:r>
              <w:rPr>
                <w:rFonts w:hint="eastAsia" w:hAnsi="宋体"/>
                <w:color w:val="auto"/>
                <w:sz w:val="24"/>
                <w:highlight w:val="none"/>
              </w:rPr>
              <w:t>。</w:t>
            </w:r>
          </w:p>
          <w:p w14:paraId="183D5B23">
            <w:pPr>
              <w:keepNext w:val="0"/>
              <w:keepLines w:val="0"/>
              <w:pageBreakBefore w:val="0"/>
              <w:widowControl w:val="0"/>
              <w:kinsoku/>
              <w:wordWrap/>
              <w:topLinePunct w:val="0"/>
              <w:autoSpaceDE/>
              <w:autoSpaceDN/>
              <w:bidi w:val="0"/>
              <w:adjustRightInd/>
              <w:snapToGrid/>
              <w:spacing w:line="360" w:lineRule="auto"/>
              <w:jc w:val="center"/>
              <w:textAlignment w:val="auto"/>
              <w:rPr>
                <w:rFonts w:hAnsi="宋体"/>
                <w:b/>
                <w:color w:val="auto"/>
                <w:szCs w:val="21"/>
                <w:highlight w:val="none"/>
              </w:rPr>
            </w:pPr>
            <w:r>
              <w:rPr>
                <w:rFonts w:hAnsi="宋体"/>
                <w:b/>
                <w:color w:val="auto"/>
                <w:szCs w:val="21"/>
                <w:highlight w:val="none"/>
              </w:rPr>
              <w:t>表</w:t>
            </w:r>
            <w:r>
              <w:rPr>
                <w:rFonts w:hint="eastAsia" w:hAnsi="宋体"/>
                <w:b/>
                <w:color w:val="auto"/>
                <w:szCs w:val="21"/>
                <w:highlight w:val="none"/>
                <w:lang w:val="en-US" w:eastAsia="zh-CN"/>
              </w:rPr>
              <w:t>4-2</w:t>
            </w:r>
            <w:r>
              <w:rPr>
                <w:b/>
                <w:bCs/>
                <w:color w:val="auto"/>
                <w:szCs w:val="21"/>
                <w:highlight w:val="none"/>
              </w:rPr>
              <w:t xml:space="preserve">        </w:t>
            </w:r>
            <w:r>
              <w:rPr>
                <w:rFonts w:hAnsi="宋体"/>
                <w:b/>
                <w:color w:val="auto"/>
                <w:szCs w:val="21"/>
                <w:highlight w:val="none"/>
              </w:rPr>
              <w:t>项目</w:t>
            </w:r>
            <w:r>
              <w:rPr>
                <w:rFonts w:hint="eastAsia" w:hAnsi="宋体"/>
                <w:b/>
                <w:color w:val="auto"/>
                <w:szCs w:val="21"/>
                <w:highlight w:val="none"/>
                <w:lang w:val="en-US" w:eastAsia="zh-CN"/>
              </w:rPr>
              <w:t>粉尘</w:t>
            </w:r>
            <w:r>
              <w:rPr>
                <w:rFonts w:hAnsi="宋体"/>
                <w:b/>
                <w:color w:val="auto"/>
                <w:szCs w:val="21"/>
                <w:highlight w:val="none"/>
              </w:rPr>
              <w:t>产生及排放情况一览表</w:t>
            </w:r>
          </w:p>
          <w:tbl>
            <w:tblPr>
              <w:tblStyle w:val="34"/>
              <w:tblW w:w="49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190"/>
              <w:gridCol w:w="1190"/>
              <w:gridCol w:w="1297"/>
              <w:gridCol w:w="1297"/>
              <w:gridCol w:w="1299"/>
              <w:gridCol w:w="1146"/>
            </w:tblGrid>
            <w:tr w14:paraId="26B3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4" w:type="pct"/>
                  <w:vMerge w:val="restart"/>
                  <w:vAlign w:val="center"/>
                </w:tcPr>
                <w:p w14:paraId="70D23670">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污染物名称</w:t>
                  </w:r>
                </w:p>
              </w:tc>
              <w:tc>
                <w:tcPr>
                  <w:tcW w:w="1442" w:type="pct"/>
                  <w:gridSpan w:val="2"/>
                  <w:vAlign w:val="center"/>
                </w:tcPr>
                <w:p w14:paraId="7EFC51AA">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产生情况</w:t>
                  </w:r>
                </w:p>
              </w:tc>
              <w:tc>
                <w:tcPr>
                  <w:tcW w:w="2359" w:type="pct"/>
                  <w:gridSpan w:val="3"/>
                  <w:vAlign w:val="center"/>
                </w:tcPr>
                <w:p w14:paraId="30FEFD36">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排放情况</w:t>
                  </w:r>
                </w:p>
              </w:tc>
              <w:tc>
                <w:tcPr>
                  <w:tcW w:w="694" w:type="pct"/>
                  <w:vMerge w:val="restart"/>
                  <w:vAlign w:val="center"/>
                </w:tcPr>
                <w:p w14:paraId="073EB024">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排放形式</w:t>
                  </w:r>
                </w:p>
              </w:tc>
            </w:tr>
            <w:tr w14:paraId="5249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4" w:type="pct"/>
                  <w:vMerge w:val="continue"/>
                  <w:vAlign w:val="center"/>
                </w:tcPr>
                <w:p w14:paraId="3F1484D4">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p>
              </w:tc>
              <w:tc>
                <w:tcPr>
                  <w:tcW w:w="721" w:type="pct"/>
                  <w:vAlign w:val="center"/>
                </w:tcPr>
                <w:p w14:paraId="31CB7FAA">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产生量</w:t>
                  </w:r>
                </w:p>
              </w:tc>
              <w:tc>
                <w:tcPr>
                  <w:tcW w:w="721" w:type="pct"/>
                  <w:vAlign w:val="center"/>
                </w:tcPr>
                <w:p w14:paraId="5BA9B031">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产生速率</w:t>
                  </w:r>
                </w:p>
              </w:tc>
              <w:tc>
                <w:tcPr>
                  <w:tcW w:w="785" w:type="pct"/>
                  <w:shd w:val="clear" w:color="auto" w:fill="auto"/>
                  <w:vAlign w:val="center"/>
                </w:tcPr>
                <w:p w14:paraId="6364A5E1">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排放量</w:t>
                  </w:r>
                </w:p>
              </w:tc>
              <w:tc>
                <w:tcPr>
                  <w:tcW w:w="785" w:type="pct"/>
                  <w:shd w:val="clear" w:color="auto" w:fill="auto"/>
                  <w:vAlign w:val="center"/>
                </w:tcPr>
                <w:p w14:paraId="6E4FC34C">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排放速率</w:t>
                  </w:r>
                </w:p>
              </w:tc>
              <w:tc>
                <w:tcPr>
                  <w:tcW w:w="787" w:type="pct"/>
                  <w:vAlign w:val="center"/>
                </w:tcPr>
                <w:p w14:paraId="5C18B025">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排放浓度</w:t>
                  </w:r>
                </w:p>
              </w:tc>
              <w:tc>
                <w:tcPr>
                  <w:tcW w:w="694" w:type="pct"/>
                  <w:vMerge w:val="continue"/>
                  <w:vAlign w:val="center"/>
                </w:tcPr>
                <w:p w14:paraId="01BBACE9">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p>
              </w:tc>
            </w:tr>
            <w:tr w14:paraId="44C6E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04" w:type="pct"/>
                  <w:vMerge w:val="restart"/>
                  <w:vAlign w:val="center"/>
                </w:tcPr>
                <w:p w14:paraId="55202269">
                  <w:pPr>
                    <w:pStyle w:val="33"/>
                    <w:spacing w:after="0"/>
                    <w:ind w:left="-42" w:leftChars="-20" w:right="-42" w:rightChars="-20" w:firstLine="0" w:firstLineChars="0"/>
                    <w:jc w:val="center"/>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val="en-US" w:eastAsia="zh-CN"/>
                    </w:rPr>
                    <w:t>塑料包装袋加工厂房</w:t>
                  </w:r>
                  <w:r>
                    <w:rPr>
                      <w:rFonts w:hint="eastAsia" w:ascii="Times New Roman" w:hAnsi="Times New Roman" w:eastAsia="宋体" w:cs="Times New Roman"/>
                      <w:color w:val="auto"/>
                      <w:szCs w:val="21"/>
                      <w:highlight w:val="none"/>
                      <w:lang w:val="en-US" w:eastAsia="zh-CN"/>
                    </w:rPr>
                    <w:t>粉尘</w:t>
                  </w:r>
                </w:p>
              </w:tc>
              <w:tc>
                <w:tcPr>
                  <w:tcW w:w="721" w:type="pct"/>
                  <w:shd w:val="clear" w:color="auto" w:fill="auto"/>
                  <w:vAlign w:val="center"/>
                </w:tcPr>
                <w:p w14:paraId="70063C31">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5.4</w:t>
                  </w:r>
                  <w:r>
                    <w:rPr>
                      <w:rFonts w:hint="default" w:ascii="Times New Roman" w:hAnsi="Times New Roman" w:eastAsia="宋体" w:cs="Times New Roman"/>
                      <w:color w:val="auto"/>
                      <w:szCs w:val="21"/>
                      <w:highlight w:val="none"/>
                    </w:rPr>
                    <w:t>t/a</w:t>
                  </w:r>
                </w:p>
              </w:tc>
              <w:tc>
                <w:tcPr>
                  <w:tcW w:w="721" w:type="pct"/>
                  <w:shd w:val="clear" w:color="auto" w:fill="auto"/>
                  <w:vAlign w:val="center"/>
                </w:tcPr>
                <w:p w14:paraId="60B27C43">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2.25</w:t>
                  </w:r>
                  <w:r>
                    <w:rPr>
                      <w:rFonts w:hint="default" w:ascii="Times New Roman" w:hAnsi="Times New Roman" w:eastAsia="宋体" w:cs="Times New Roman"/>
                      <w:color w:val="auto"/>
                      <w:szCs w:val="21"/>
                      <w:highlight w:val="none"/>
                    </w:rPr>
                    <w:t>kg/h</w:t>
                  </w:r>
                </w:p>
              </w:tc>
              <w:tc>
                <w:tcPr>
                  <w:tcW w:w="785" w:type="pct"/>
                  <w:vAlign w:val="center"/>
                </w:tcPr>
                <w:p w14:paraId="1DB098EF">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0.054</w:t>
                  </w:r>
                  <w:r>
                    <w:rPr>
                      <w:rFonts w:hint="default" w:ascii="Times New Roman" w:hAnsi="Times New Roman" w:eastAsia="宋体" w:cs="Times New Roman"/>
                      <w:color w:val="auto"/>
                      <w:szCs w:val="21"/>
                      <w:highlight w:val="none"/>
                    </w:rPr>
                    <w:t>t/a</w:t>
                  </w:r>
                </w:p>
              </w:tc>
              <w:tc>
                <w:tcPr>
                  <w:tcW w:w="785" w:type="pct"/>
                  <w:vAlign w:val="center"/>
                </w:tcPr>
                <w:p w14:paraId="3CBE2958">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0.022</w:t>
                  </w:r>
                  <w:r>
                    <w:rPr>
                      <w:rFonts w:hint="default" w:ascii="Times New Roman" w:hAnsi="Times New Roman" w:eastAsia="宋体" w:cs="Times New Roman"/>
                      <w:color w:val="auto"/>
                      <w:szCs w:val="21"/>
                      <w:highlight w:val="none"/>
                    </w:rPr>
                    <w:t>kg/h</w:t>
                  </w:r>
                </w:p>
              </w:tc>
              <w:tc>
                <w:tcPr>
                  <w:tcW w:w="787" w:type="pct"/>
                  <w:vAlign w:val="center"/>
                </w:tcPr>
                <w:p w14:paraId="5498E127">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2.2</w:t>
                  </w:r>
                  <w:r>
                    <w:rPr>
                      <w:rFonts w:hint="default" w:ascii="Times New Roman" w:hAnsi="Times New Roman" w:eastAsia="宋体" w:cs="Times New Roman"/>
                      <w:color w:val="auto"/>
                      <w:szCs w:val="21"/>
                      <w:highlight w:val="none"/>
                    </w:rPr>
                    <w:t>mg/m</w:t>
                  </w:r>
                  <w:r>
                    <w:rPr>
                      <w:rFonts w:hint="default" w:ascii="Times New Roman" w:hAnsi="Times New Roman" w:eastAsia="宋体" w:cs="Times New Roman"/>
                      <w:color w:val="auto"/>
                      <w:szCs w:val="21"/>
                      <w:highlight w:val="none"/>
                      <w:vertAlign w:val="superscript"/>
                    </w:rPr>
                    <w:t>3</w:t>
                  </w:r>
                </w:p>
              </w:tc>
              <w:tc>
                <w:tcPr>
                  <w:tcW w:w="694" w:type="pct"/>
                  <w:vAlign w:val="center"/>
                </w:tcPr>
                <w:p w14:paraId="554C40D2">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有组织</w:t>
                  </w:r>
                </w:p>
              </w:tc>
            </w:tr>
            <w:tr w14:paraId="21D0C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04" w:type="pct"/>
                  <w:vMerge w:val="continue"/>
                  <w:vAlign w:val="center"/>
                </w:tcPr>
                <w:p w14:paraId="08A016FC">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p>
              </w:tc>
              <w:tc>
                <w:tcPr>
                  <w:tcW w:w="721" w:type="pct"/>
                  <w:vAlign w:val="center"/>
                </w:tcPr>
                <w:p w14:paraId="58821288">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yellow"/>
                      <w:lang w:val="en-US" w:eastAsia="zh-CN"/>
                    </w:rPr>
                  </w:pPr>
                  <w:r>
                    <w:rPr>
                      <w:rFonts w:hint="eastAsia" w:cs="Times New Roman"/>
                      <w:color w:val="auto"/>
                      <w:szCs w:val="21"/>
                      <w:highlight w:val="none"/>
                      <w:lang w:val="en-US" w:eastAsia="zh-CN"/>
                    </w:rPr>
                    <w:t>0.6t/a</w:t>
                  </w:r>
                </w:p>
              </w:tc>
              <w:tc>
                <w:tcPr>
                  <w:tcW w:w="721" w:type="pct"/>
                  <w:shd w:val="clear" w:color="auto" w:fill="auto"/>
                  <w:vAlign w:val="center"/>
                </w:tcPr>
                <w:p w14:paraId="57C83837">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0.25</w:t>
                  </w:r>
                  <w:r>
                    <w:rPr>
                      <w:rFonts w:hint="default" w:ascii="Times New Roman" w:hAnsi="Times New Roman" w:eastAsia="宋体" w:cs="Times New Roman"/>
                      <w:color w:val="auto"/>
                      <w:szCs w:val="21"/>
                      <w:highlight w:val="none"/>
                    </w:rPr>
                    <w:t>kg/h</w:t>
                  </w:r>
                </w:p>
              </w:tc>
              <w:tc>
                <w:tcPr>
                  <w:tcW w:w="785" w:type="pct"/>
                  <w:shd w:val="clear" w:color="auto" w:fill="auto"/>
                  <w:vAlign w:val="center"/>
                </w:tcPr>
                <w:p w14:paraId="22CC4E47">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yellow"/>
                      <w:lang w:val="en-US" w:eastAsia="zh-CN" w:bidi="ar-SA"/>
                    </w:rPr>
                  </w:pPr>
                  <w:r>
                    <w:rPr>
                      <w:rFonts w:hint="eastAsia" w:cs="Times New Roman"/>
                      <w:color w:val="auto"/>
                      <w:szCs w:val="21"/>
                      <w:highlight w:val="none"/>
                      <w:lang w:val="en-US" w:eastAsia="zh-CN"/>
                    </w:rPr>
                    <w:t>0.6t/a</w:t>
                  </w:r>
                </w:p>
              </w:tc>
              <w:tc>
                <w:tcPr>
                  <w:tcW w:w="785" w:type="pct"/>
                  <w:shd w:val="clear" w:color="auto" w:fill="auto"/>
                  <w:vAlign w:val="center"/>
                </w:tcPr>
                <w:p w14:paraId="55654069">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0.25</w:t>
                  </w:r>
                  <w:r>
                    <w:rPr>
                      <w:rFonts w:hint="default" w:ascii="Times New Roman" w:hAnsi="Times New Roman" w:eastAsia="宋体" w:cs="Times New Roman"/>
                      <w:color w:val="auto"/>
                      <w:szCs w:val="21"/>
                      <w:highlight w:val="none"/>
                    </w:rPr>
                    <w:t>kg/h</w:t>
                  </w:r>
                </w:p>
              </w:tc>
              <w:tc>
                <w:tcPr>
                  <w:tcW w:w="787" w:type="pct"/>
                  <w:vAlign w:val="center"/>
                </w:tcPr>
                <w:p w14:paraId="3F8E500B">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w:t>
                  </w:r>
                </w:p>
              </w:tc>
              <w:tc>
                <w:tcPr>
                  <w:tcW w:w="694" w:type="pct"/>
                  <w:vAlign w:val="center"/>
                </w:tcPr>
                <w:p w14:paraId="3DBB0A35">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无组织</w:t>
                  </w:r>
                </w:p>
              </w:tc>
            </w:tr>
            <w:tr w14:paraId="4B6D7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04" w:type="pct"/>
                  <w:vMerge w:val="restart"/>
                  <w:vAlign w:val="center"/>
                </w:tcPr>
                <w:p w14:paraId="798BAF7F">
                  <w:pPr>
                    <w:pStyle w:val="33"/>
                    <w:spacing w:after="0"/>
                    <w:ind w:left="-42" w:leftChars="-20" w:right="-42" w:rightChars="-20" w:firstLine="0" w:firstLineChars="0"/>
                    <w:jc w:val="center"/>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val="en-US" w:eastAsia="zh-CN"/>
                    </w:rPr>
                    <w:t>农用贴片滴灌带加工厂房粉碎</w:t>
                  </w:r>
                </w:p>
              </w:tc>
              <w:tc>
                <w:tcPr>
                  <w:tcW w:w="721" w:type="pct"/>
                  <w:shd w:val="clear" w:color="auto" w:fill="auto"/>
                  <w:vAlign w:val="center"/>
                </w:tcPr>
                <w:p w14:paraId="77D1DD07">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5.4</w:t>
                  </w:r>
                  <w:r>
                    <w:rPr>
                      <w:rFonts w:hint="default" w:ascii="Times New Roman" w:hAnsi="Times New Roman" w:eastAsia="宋体" w:cs="Times New Roman"/>
                      <w:color w:val="auto"/>
                      <w:szCs w:val="21"/>
                      <w:highlight w:val="none"/>
                    </w:rPr>
                    <w:t>t/a</w:t>
                  </w:r>
                </w:p>
              </w:tc>
              <w:tc>
                <w:tcPr>
                  <w:tcW w:w="721" w:type="pct"/>
                  <w:shd w:val="clear" w:color="auto" w:fill="auto"/>
                  <w:vAlign w:val="center"/>
                </w:tcPr>
                <w:p w14:paraId="1A23D2F7">
                  <w:pPr>
                    <w:pStyle w:val="33"/>
                    <w:spacing w:after="0"/>
                    <w:ind w:left="-42" w:leftChars="-20" w:right="-42" w:rightChars="-2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2.25</w:t>
                  </w:r>
                  <w:r>
                    <w:rPr>
                      <w:rFonts w:hint="default" w:ascii="Times New Roman" w:hAnsi="Times New Roman" w:eastAsia="宋体" w:cs="Times New Roman"/>
                      <w:color w:val="auto"/>
                      <w:szCs w:val="21"/>
                      <w:highlight w:val="none"/>
                    </w:rPr>
                    <w:t>kg/h</w:t>
                  </w:r>
                </w:p>
              </w:tc>
              <w:tc>
                <w:tcPr>
                  <w:tcW w:w="785" w:type="pct"/>
                  <w:shd w:val="clear" w:color="auto" w:fill="auto"/>
                  <w:vAlign w:val="center"/>
                </w:tcPr>
                <w:p w14:paraId="64EE9C82">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0.054</w:t>
                  </w:r>
                  <w:r>
                    <w:rPr>
                      <w:rFonts w:hint="default" w:ascii="Times New Roman" w:hAnsi="Times New Roman" w:eastAsia="宋体" w:cs="Times New Roman"/>
                      <w:color w:val="auto"/>
                      <w:szCs w:val="21"/>
                      <w:highlight w:val="none"/>
                    </w:rPr>
                    <w:t>t/a</w:t>
                  </w:r>
                </w:p>
              </w:tc>
              <w:tc>
                <w:tcPr>
                  <w:tcW w:w="785" w:type="pct"/>
                  <w:shd w:val="clear" w:color="auto" w:fill="auto"/>
                  <w:vAlign w:val="center"/>
                </w:tcPr>
                <w:p w14:paraId="1FD15C97">
                  <w:pPr>
                    <w:pStyle w:val="33"/>
                    <w:spacing w:after="0"/>
                    <w:ind w:left="-42" w:leftChars="-20" w:right="-42" w:rightChars="-2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0.022</w:t>
                  </w:r>
                  <w:r>
                    <w:rPr>
                      <w:rFonts w:hint="default" w:ascii="Times New Roman" w:hAnsi="Times New Roman" w:eastAsia="宋体" w:cs="Times New Roman"/>
                      <w:color w:val="auto"/>
                      <w:szCs w:val="21"/>
                      <w:highlight w:val="none"/>
                    </w:rPr>
                    <w:t>kg/h</w:t>
                  </w:r>
                </w:p>
              </w:tc>
              <w:tc>
                <w:tcPr>
                  <w:tcW w:w="787" w:type="pct"/>
                  <w:shd w:val="clear" w:color="auto" w:fill="auto"/>
                  <w:vAlign w:val="center"/>
                </w:tcPr>
                <w:p w14:paraId="4C579725">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2.2</w:t>
                  </w:r>
                  <w:r>
                    <w:rPr>
                      <w:rFonts w:hint="default" w:ascii="Times New Roman" w:hAnsi="Times New Roman" w:eastAsia="宋体" w:cs="Times New Roman"/>
                      <w:color w:val="auto"/>
                      <w:szCs w:val="21"/>
                      <w:highlight w:val="none"/>
                    </w:rPr>
                    <w:t>mg/m</w:t>
                  </w:r>
                  <w:r>
                    <w:rPr>
                      <w:rFonts w:hint="default" w:ascii="Times New Roman" w:hAnsi="Times New Roman" w:eastAsia="宋体" w:cs="Times New Roman"/>
                      <w:color w:val="auto"/>
                      <w:szCs w:val="21"/>
                      <w:highlight w:val="none"/>
                      <w:vertAlign w:val="superscript"/>
                    </w:rPr>
                    <w:t>3</w:t>
                  </w:r>
                </w:p>
              </w:tc>
              <w:tc>
                <w:tcPr>
                  <w:tcW w:w="694" w:type="pct"/>
                  <w:vAlign w:val="center"/>
                </w:tcPr>
                <w:p w14:paraId="6738A270">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有组织</w:t>
                  </w:r>
                </w:p>
              </w:tc>
            </w:tr>
            <w:tr w14:paraId="7FA5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04" w:type="pct"/>
                  <w:vMerge w:val="continue"/>
                  <w:vAlign w:val="center"/>
                </w:tcPr>
                <w:p w14:paraId="22FECFB2">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p>
              </w:tc>
              <w:tc>
                <w:tcPr>
                  <w:tcW w:w="721" w:type="pct"/>
                  <w:shd w:val="clear" w:color="auto" w:fill="auto"/>
                  <w:vAlign w:val="center"/>
                </w:tcPr>
                <w:p w14:paraId="5C253B49">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yellow"/>
                      <w:lang w:val="en-US" w:eastAsia="zh-CN" w:bidi="ar-SA"/>
                    </w:rPr>
                  </w:pPr>
                  <w:r>
                    <w:rPr>
                      <w:rFonts w:hint="eastAsia" w:cs="Times New Roman"/>
                      <w:color w:val="auto"/>
                      <w:szCs w:val="21"/>
                      <w:highlight w:val="none"/>
                      <w:lang w:val="en-US" w:eastAsia="zh-CN"/>
                    </w:rPr>
                    <w:t>0.6t/a</w:t>
                  </w:r>
                </w:p>
              </w:tc>
              <w:tc>
                <w:tcPr>
                  <w:tcW w:w="721" w:type="pct"/>
                  <w:shd w:val="clear" w:color="auto" w:fill="auto"/>
                  <w:vAlign w:val="center"/>
                </w:tcPr>
                <w:p w14:paraId="0A284FAD">
                  <w:pPr>
                    <w:pStyle w:val="33"/>
                    <w:spacing w:after="0"/>
                    <w:ind w:left="-42" w:leftChars="-20" w:right="-42" w:rightChars="-2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0.25</w:t>
                  </w:r>
                  <w:r>
                    <w:rPr>
                      <w:rFonts w:hint="default" w:ascii="Times New Roman" w:hAnsi="Times New Roman" w:eastAsia="宋体" w:cs="Times New Roman"/>
                      <w:color w:val="auto"/>
                      <w:szCs w:val="21"/>
                      <w:highlight w:val="none"/>
                    </w:rPr>
                    <w:t>kg/h</w:t>
                  </w:r>
                </w:p>
              </w:tc>
              <w:tc>
                <w:tcPr>
                  <w:tcW w:w="785" w:type="pct"/>
                  <w:shd w:val="clear" w:color="auto" w:fill="auto"/>
                  <w:vAlign w:val="center"/>
                </w:tcPr>
                <w:p w14:paraId="0234D125">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yellow"/>
                      <w:lang w:val="en-US" w:eastAsia="zh-CN" w:bidi="ar-SA"/>
                    </w:rPr>
                  </w:pPr>
                  <w:r>
                    <w:rPr>
                      <w:rFonts w:hint="eastAsia" w:cs="Times New Roman"/>
                      <w:color w:val="auto"/>
                      <w:szCs w:val="21"/>
                      <w:highlight w:val="none"/>
                      <w:lang w:val="en-US" w:eastAsia="zh-CN"/>
                    </w:rPr>
                    <w:t>0.6t/a</w:t>
                  </w:r>
                </w:p>
              </w:tc>
              <w:tc>
                <w:tcPr>
                  <w:tcW w:w="785" w:type="pct"/>
                  <w:shd w:val="clear" w:color="auto" w:fill="auto"/>
                  <w:vAlign w:val="center"/>
                </w:tcPr>
                <w:p w14:paraId="004BDFC3">
                  <w:pPr>
                    <w:pStyle w:val="33"/>
                    <w:spacing w:after="0"/>
                    <w:ind w:left="-42" w:leftChars="-20" w:right="-42" w:rightChars="-2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0.25</w:t>
                  </w:r>
                  <w:r>
                    <w:rPr>
                      <w:rFonts w:hint="default" w:ascii="Times New Roman" w:hAnsi="Times New Roman" w:eastAsia="宋体" w:cs="Times New Roman"/>
                      <w:color w:val="auto"/>
                      <w:szCs w:val="21"/>
                      <w:highlight w:val="none"/>
                    </w:rPr>
                    <w:t>kg/h</w:t>
                  </w:r>
                </w:p>
              </w:tc>
              <w:tc>
                <w:tcPr>
                  <w:tcW w:w="787" w:type="pct"/>
                  <w:shd w:val="clear" w:color="auto" w:fill="auto"/>
                  <w:vAlign w:val="center"/>
                </w:tcPr>
                <w:p w14:paraId="781A1C29">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w:t>
                  </w:r>
                </w:p>
              </w:tc>
              <w:tc>
                <w:tcPr>
                  <w:tcW w:w="694" w:type="pct"/>
                  <w:vAlign w:val="center"/>
                </w:tcPr>
                <w:p w14:paraId="75D71D7C">
                  <w:pPr>
                    <w:pStyle w:val="33"/>
                    <w:spacing w:after="0"/>
                    <w:ind w:left="-42" w:leftChars="-20" w:right="-42" w:rightChars="-2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无组织</w:t>
                  </w:r>
                </w:p>
              </w:tc>
            </w:tr>
          </w:tbl>
          <w:p w14:paraId="7A9852B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Times New Roman"/>
                <w:color w:val="auto"/>
                <w:sz w:val="24"/>
                <w:highlight w:val="none"/>
                <w:lang w:val="en-US" w:eastAsia="zh-CN"/>
              </w:rPr>
            </w:pPr>
            <w:r>
              <w:rPr>
                <w:rFonts w:hint="default" w:ascii="Times New Roman" w:hAnsi="宋体" w:eastAsia="宋体" w:cs="Times New Roman"/>
                <w:color w:val="auto"/>
                <w:sz w:val="24"/>
                <w:highlight w:val="none"/>
                <w:lang w:val="en-US" w:eastAsia="zh-CN"/>
              </w:rPr>
              <w:t>（</w:t>
            </w:r>
            <w:r>
              <w:rPr>
                <w:rFonts w:hint="eastAsia" w:hAnsi="宋体" w:cs="Times New Roman"/>
                <w:color w:val="auto"/>
                <w:sz w:val="24"/>
                <w:highlight w:val="none"/>
                <w:lang w:val="en-US" w:eastAsia="zh-CN"/>
              </w:rPr>
              <w:t>3</w:t>
            </w:r>
            <w:r>
              <w:rPr>
                <w:rFonts w:hint="default" w:ascii="Times New Roman" w:hAnsi="宋体" w:eastAsia="宋体" w:cs="Times New Roman"/>
                <w:color w:val="auto"/>
                <w:sz w:val="24"/>
                <w:highlight w:val="none"/>
                <w:lang w:val="en-US" w:eastAsia="zh-CN"/>
              </w:rPr>
              <w:t>）印刷废气</w:t>
            </w:r>
          </w:p>
          <w:p w14:paraId="4F29797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Times New Roman"/>
                <w:color w:val="auto"/>
                <w:sz w:val="24"/>
                <w:highlight w:val="none"/>
                <w:lang w:val="en-US" w:eastAsia="zh-CN"/>
              </w:rPr>
            </w:pPr>
            <w:r>
              <w:rPr>
                <w:rFonts w:hint="default" w:ascii="Times New Roman" w:hAnsi="宋体" w:eastAsia="宋体" w:cs="Times New Roman"/>
                <w:color w:val="auto"/>
                <w:sz w:val="24"/>
                <w:highlight w:val="none"/>
                <w:lang w:val="en-US" w:eastAsia="zh-CN"/>
              </w:rPr>
              <w:t>印刷工序产生的有机废气参考“关于印发</w:t>
            </w:r>
            <w:r>
              <w:rPr>
                <w:rFonts w:hint="eastAsia" w:hAnsi="宋体" w:cs="Times New Roman"/>
                <w:color w:val="auto"/>
                <w:sz w:val="24"/>
                <w:highlight w:val="none"/>
                <w:lang w:val="en-US" w:eastAsia="zh-CN"/>
              </w:rPr>
              <w:t>（</w:t>
            </w:r>
            <w:r>
              <w:rPr>
                <w:rFonts w:hint="default" w:ascii="Times New Roman" w:hAnsi="宋体" w:eastAsia="宋体" w:cs="Times New Roman"/>
                <w:color w:val="auto"/>
                <w:sz w:val="24"/>
                <w:highlight w:val="none"/>
                <w:lang w:val="en-US" w:eastAsia="zh-CN"/>
              </w:rPr>
              <w:t>主要污染物总量减排核算技术指南</w:t>
            </w:r>
            <w:r>
              <w:rPr>
                <w:rFonts w:hint="eastAsia" w:hAnsi="宋体" w:cs="Times New Roman"/>
                <w:color w:val="auto"/>
                <w:sz w:val="24"/>
                <w:highlight w:val="none"/>
                <w:lang w:val="en-US" w:eastAsia="zh-CN"/>
              </w:rPr>
              <w:t>（</w:t>
            </w:r>
            <w:r>
              <w:rPr>
                <w:rFonts w:hint="default" w:ascii="Times New Roman" w:hAnsi="宋体" w:eastAsia="宋体" w:cs="Times New Roman"/>
                <w:color w:val="auto"/>
                <w:sz w:val="24"/>
                <w:highlight w:val="none"/>
                <w:lang w:val="en-US" w:eastAsia="zh-CN"/>
              </w:rPr>
              <w:t>2022年</w:t>
            </w:r>
            <w:r>
              <w:rPr>
                <w:rFonts w:hint="eastAsia" w:hAnsi="宋体" w:cs="Times New Roman"/>
                <w:color w:val="auto"/>
                <w:sz w:val="24"/>
                <w:highlight w:val="none"/>
                <w:lang w:val="en-US" w:eastAsia="zh-CN"/>
              </w:rPr>
              <w:t>修订）</w:t>
            </w:r>
            <w:r>
              <w:rPr>
                <w:rFonts w:hint="default" w:ascii="Times New Roman" w:hAnsi="宋体" w:eastAsia="宋体" w:cs="Times New Roman"/>
                <w:color w:val="auto"/>
                <w:sz w:val="24"/>
                <w:highlight w:val="none"/>
                <w:lang w:val="en-US" w:eastAsia="zh-CN"/>
              </w:rPr>
              <w:t>的通知”中“表2-2印刷和记录媒介复制业</w:t>
            </w:r>
            <w:r>
              <w:rPr>
                <w:rFonts w:hint="eastAsia" w:hAnsi="宋体" w:cs="Times New Roman"/>
                <w:color w:val="auto"/>
                <w:sz w:val="24"/>
                <w:highlight w:val="none"/>
                <w:lang w:val="en-US" w:eastAsia="zh-CN"/>
              </w:rPr>
              <w:t>（</w:t>
            </w:r>
            <w:r>
              <w:rPr>
                <w:rFonts w:hint="default" w:ascii="Times New Roman" w:hAnsi="宋体" w:eastAsia="宋体" w:cs="Times New Roman"/>
                <w:color w:val="auto"/>
                <w:sz w:val="24"/>
                <w:highlight w:val="none"/>
                <w:lang w:val="en-US" w:eastAsia="zh-CN"/>
              </w:rPr>
              <w:t>23</w:t>
            </w:r>
            <w:r>
              <w:rPr>
                <w:rFonts w:hint="eastAsia" w:hAnsi="宋体" w:cs="Times New Roman"/>
                <w:color w:val="auto"/>
                <w:sz w:val="24"/>
                <w:highlight w:val="none"/>
                <w:lang w:val="en-US" w:eastAsia="zh-CN"/>
              </w:rPr>
              <w:t>）</w:t>
            </w:r>
            <w:r>
              <w:rPr>
                <w:rFonts w:hint="default" w:ascii="Times New Roman" w:hAnsi="宋体" w:eastAsia="宋体" w:cs="Times New Roman"/>
                <w:color w:val="auto"/>
                <w:sz w:val="24"/>
                <w:highlight w:val="none"/>
                <w:lang w:val="en-US" w:eastAsia="zh-CN"/>
              </w:rPr>
              <w:t>产污系数表-印刷品</w:t>
            </w:r>
            <w:r>
              <w:rPr>
                <w:rFonts w:hint="eastAsia" w:hAnsi="宋体" w:cs="Times New Roman"/>
                <w:color w:val="auto"/>
                <w:sz w:val="24"/>
                <w:highlight w:val="none"/>
                <w:lang w:val="en-US" w:eastAsia="zh-CN"/>
              </w:rPr>
              <w:t>（</w:t>
            </w:r>
            <w:r>
              <w:rPr>
                <w:rFonts w:hint="default" w:ascii="Times New Roman" w:hAnsi="宋体" w:eastAsia="宋体" w:cs="Times New Roman"/>
                <w:color w:val="auto"/>
                <w:sz w:val="24"/>
                <w:highlight w:val="none"/>
                <w:lang w:val="en-US" w:eastAsia="zh-CN"/>
              </w:rPr>
              <w:t>承印物为塑料</w:t>
            </w:r>
            <w:r>
              <w:rPr>
                <w:rFonts w:hint="eastAsia" w:hAnsi="宋体" w:cs="Times New Roman"/>
                <w:color w:val="auto"/>
                <w:sz w:val="24"/>
                <w:highlight w:val="none"/>
                <w:lang w:val="en-US" w:eastAsia="zh-CN"/>
              </w:rPr>
              <w:t>）</w:t>
            </w:r>
            <w:r>
              <w:rPr>
                <w:rFonts w:hint="default" w:ascii="Times New Roman" w:hAnsi="宋体" w:eastAsia="宋体" w:cs="Times New Roman"/>
                <w:color w:val="auto"/>
                <w:sz w:val="24"/>
                <w:highlight w:val="none"/>
                <w:lang w:val="en-US" w:eastAsia="zh-CN"/>
              </w:rPr>
              <w:t>”，其产污系数为650千克/吨-原料</w:t>
            </w:r>
            <w:r>
              <w:rPr>
                <w:rFonts w:hint="eastAsia" w:hAnsi="宋体" w:cs="Times New Roman"/>
                <w:color w:val="auto"/>
                <w:sz w:val="24"/>
                <w:highlight w:val="none"/>
                <w:lang w:val="en-US" w:eastAsia="zh-CN"/>
              </w:rPr>
              <w:t>。</w:t>
            </w:r>
          </w:p>
          <w:p w14:paraId="6874645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Times New Roman"/>
                <w:color w:val="auto"/>
                <w:sz w:val="24"/>
                <w:highlight w:val="none"/>
                <w:lang w:val="en-US" w:eastAsia="zh-CN"/>
              </w:rPr>
            </w:pPr>
            <w:r>
              <w:rPr>
                <w:rFonts w:hint="default" w:ascii="Times New Roman" w:hAnsi="宋体" w:eastAsia="宋体" w:cs="Times New Roman"/>
                <w:color w:val="auto"/>
                <w:sz w:val="24"/>
                <w:highlight w:val="none"/>
                <w:lang w:val="en-US" w:eastAsia="zh-CN"/>
              </w:rPr>
              <w:t>本项目油墨年使用量为0.06t/a，则有机废气产生量为0.0</w:t>
            </w:r>
            <w:r>
              <w:rPr>
                <w:rFonts w:hint="eastAsia" w:hAnsi="宋体" w:cs="Times New Roman"/>
                <w:color w:val="auto"/>
                <w:sz w:val="24"/>
                <w:highlight w:val="none"/>
                <w:lang w:val="en-US" w:eastAsia="zh-CN"/>
              </w:rPr>
              <w:t>39</w:t>
            </w:r>
            <w:r>
              <w:rPr>
                <w:rFonts w:hint="default" w:ascii="Times New Roman" w:hAnsi="宋体" w:eastAsia="宋体" w:cs="Times New Roman"/>
                <w:color w:val="auto"/>
                <w:sz w:val="24"/>
                <w:highlight w:val="none"/>
                <w:lang w:val="en-US" w:eastAsia="zh-CN"/>
              </w:rPr>
              <w:t>t/a，产生速率0.0</w:t>
            </w:r>
            <w:r>
              <w:rPr>
                <w:rFonts w:hint="eastAsia" w:hAnsi="宋体" w:cs="Times New Roman"/>
                <w:color w:val="auto"/>
                <w:sz w:val="24"/>
                <w:highlight w:val="none"/>
                <w:lang w:val="en-US" w:eastAsia="zh-CN"/>
              </w:rPr>
              <w:t>16</w:t>
            </w:r>
            <w:r>
              <w:rPr>
                <w:rFonts w:hint="default" w:ascii="Times New Roman" w:hAnsi="宋体" w:eastAsia="宋体" w:cs="Times New Roman"/>
                <w:color w:val="auto"/>
                <w:sz w:val="24"/>
                <w:highlight w:val="none"/>
                <w:lang w:val="en-US" w:eastAsia="zh-CN"/>
              </w:rPr>
              <w:t>kg/h。产生量较小，无组织挥发性有机废气厂界排放满足《大气污染物综合排放标准》（GB16297-1996）表2最高允许排放浓度（4.0mg/m</w:t>
            </w:r>
            <w:r>
              <w:rPr>
                <w:rFonts w:hint="default" w:ascii="Times New Roman" w:hAnsi="宋体" w:eastAsia="宋体" w:cs="Times New Roman"/>
                <w:color w:val="auto"/>
                <w:sz w:val="24"/>
                <w:highlight w:val="none"/>
                <w:vertAlign w:val="superscript"/>
                <w:lang w:val="en-US" w:eastAsia="zh-CN"/>
              </w:rPr>
              <w:t>3</w:t>
            </w:r>
            <w:r>
              <w:rPr>
                <w:rFonts w:hint="default" w:ascii="Times New Roman" w:hAnsi="宋体" w:eastAsia="宋体" w:cs="Times New Roman"/>
                <w:color w:val="auto"/>
                <w:sz w:val="24"/>
                <w:highlight w:val="none"/>
                <w:lang w:val="en-US" w:eastAsia="zh-CN"/>
              </w:rPr>
              <w:t>），厂内无组织挥发性有机废气满足《挥发性有机物无组织排放控制标准》（GB37822-2019）中特别排放限值（监控点处1h平均浓度：6mg/m</w:t>
            </w:r>
            <w:r>
              <w:rPr>
                <w:rFonts w:hint="default" w:ascii="Times New Roman" w:hAnsi="宋体" w:eastAsia="宋体" w:cs="Times New Roman"/>
                <w:color w:val="auto"/>
                <w:sz w:val="24"/>
                <w:highlight w:val="none"/>
                <w:vertAlign w:val="superscript"/>
                <w:lang w:val="en-US" w:eastAsia="zh-CN"/>
              </w:rPr>
              <w:t>3</w:t>
            </w:r>
            <w:r>
              <w:rPr>
                <w:rFonts w:hint="default" w:ascii="Times New Roman" w:hAnsi="宋体" w:eastAsia="宋体" w:cs="Times New Roman"/>
                <w:color w:val="auto"/>
                <w:sz w:val="24"/>
                <w:highlight w:val="none"/>
                <w:lang w:val="en-US" w:eastAsia="zh-CN"/>
              </w:rPr>
              <w:t>；监控点任意一次浓度值20mg/m</w:t>
            </w:r>
            <w:r>
              <w:rPr>
                <w:rFonts w:hint="default" w:ascii="Times New Roman" w:hAnsi="宋体" w:eastAsia="宋体" w:cs="Times New Roman"/>
                <w:color w:val="auto"/>
                <w:sz w:val="24"/>
                <w:highlight w:val="none"/>
                <w:vertAlign w:val="superscript"/>
                <w:lang w:val="en-US" w:eastAsia="zh-CN"/>
              </w:rPr>
              <w:t>3</w:t>
            </w:r>
            <w:r>
              <w:rPr>
                <w:rFonts w:hint="default" w:ascii="Times New Roman" w:hAnsi="宋体" w:eastAsia="宋体" w:cs="Times New Roman"/>
                <w:color w:val="auto"/>
                <w:sz w:val="24"/>
                <w:highlight w:val="none"/>
                <w:lang w:val="en-US" w:eastAsia="zh-CN"/>
              </w:rPr>
              <w:t>），对周边大气环境影响较小。</w:t>
            </w:r>
          </w:p>
          <w:p w14:paraId="61668759">
            <w:pPr>
              <w:spacing w:line="360" w:lineRule="auto"/>
              <w:rPr>
                <w:rFonts w:eastAsiaTheme="minorEastAsia"/>
                <w:color w:val="auto"/>
                <w:sz w:val="24"/>
                <w:highlight w:val="none"/>
              </w:rPr>
            </w:pPr>
            <w:r>
              <w:rPr>
                <w:rFonts w:eastAsiaTheme="minorEastAsia"/>
                <w:b/>
                <w:color w:val="auto"/>
                <w:sz w:val="24"/>
                <w:highlight w:val="none"/>
              </w:rPr>
              <w:t xml:space="preserve">1.2 </w:t>
            </w:r>
            <w:r>
              <w:rPr>
                <w:rFonts w:hAnsiTheme="minorEastAsia" w:eastAsiaTheme="minorEastAsia"/>
                <w:b/>
                <w:color w:val="auto"/>
                <w:sz w:val="24"/>
                <w:highlight w:val="none"/>
              </w:rPr>
              <w:t>废气产生及排放情况</w:t>
            </w:r>
          </w:p>
          <w:p w14:paraId="613FBD64">
            <w:pPr>
              <w:adjustRightInd w:val="0"/>
              <w:snapToGrid w:val="0"/>
              <w:spacing w:line="360" w:lineRule="auto"/>
              <w:ind w:firstLine="480" w:firstLineChars="200"/>
              <w:rPr>
                <w:rFonts w:eastAsiaTheme="minorEastAsia"/>
                <w:color w:val="auto"/>
                <w:sz w:val="24"/>
                <w:highlight w:val="none"/>
              </w:rPr>
            </w:pPr>
            <w:r>
              <w:rPr>
                <w:bCs/>
                <w:color w:val="auto"/>
                <w:sz w:val="24"/>
                <w:highlight w:val="none"/>
              </w:rPr>
              <w:t>项目</w:t>
            </w:r>
            <w:r>
              <w:rPr>
                <w:rFonts w:hint="eastAsia"/>
                <w:bCs/>
                <w:color w:val="auto"/>
                <w:sz w:val="24"/>
                <w:highlight w:val="none"/>
              </w:rPr>
              <w:t>废气污染物一览表见表</w:t>
            </w:r>
            <w:r>
              <w:rPr>
                <w:rFonts w:hint="eastAsia"/>
                <w:bCs/>
                <w:color w:val="auto"/>
                <w:sz w:val="24"/>
                <w:highlight w:val="none"/>
                <w:lang w:val="en-US" w:eastAsia="zh-CN"/>
              </w:rPr>
              <w:t>4-3</w:t>
            </w:r>
            <w:r>
              <w:rPr>
                <w:rFonts w:hint="eastAsia"/>
                <w:bCs/>
                <w:color w:val="auto"/>
                <w:sz w:val="24"/>
                <w:highlight w:val="none"/>
              </w:rPr>
              <w:t>，</w:t>
            </w:r>
            <w:r>
              <w:rPr>
                <w:rFonts w:hAnsiTheme="minorEastAsia" w:eastAsiaTheme="minorEastAsia"/>
                <w:color w:val="auto"/>
                <w:sz w:val="24"/>
                <w:highlight w:val="none"/>
              </w:rPr>
              <w:t>排放口基本情况见表</w:t>
            </w:r>
            <w:r>
              <w:rPr>
                <w:rFonts w:hint="eastAsia" w:eastAsiaTheme="minorEastAsia"/>
                <w:color w:val="auto"/>
                <w:sz w:val="24"/>
                <w:highlight w:val="none"/>
                <w:lang w:val="en-US" w:eastAsia="zh-CN"/>
              </w:rPr>
              <w:t>4-4</w:t>
            </w:r>
            <w:r>
              <w:rPr>
                <w:rFonts w:hAnsiTheme="minorEastAsia" w:eastAsiaTheme="minorEastAsia"/>
                <w:color w:val="auto"/>
                <w:sz w:val="24"/>
                <w:highlight w:val="none"/>
              </w:rPr>
              <w:t>、表</w:t>
            </w:r>
            <w:r>
              <w:rPr>
                <w:rFonts w:hint="eastAsia" w:eastAsiaTheme="minorEastAsia"/>
                <w:color w:val="auto"/>
                <w:sz w:val="24"/>
                <w:highlight w:val="none"/>
                <w:lang w:val="en-US" w:eastAsia="zh-CN"/>
              </w:rPr>
              <w:t>4-5</w:t>
            </w:r>
            <w:r>
              <w:rPr>
                <w:rFonts w:hAnsiTheme="minorEastAsia" w:eastAsiaTheme="minorEastAsia"/>
                <w:color w:val="auto"/>
                <w:sz w:val="24"/>
                <w:highlight w:val="none"/>
              </w:rPr>
              <w:t>。</w:t>
            </w:r>
          </w:p>
          <w:p w14:paraId="0689DFB5">
            <w:pPr>
              <w:spacing w:line="360" w:lineRule="auto"/>
              <w:jc w:val="center"/>
              <w:rPr>
                <w:rFonts w:eastAsiaTheme="minorEastAsia"/>
                <w:b/>
                <w:color w:val="auto"/>
                <w:szCs w:val="21"/>
                <w:highlight w:val="none"/>
              </w:rPr>
            </w:pPr>
            <w:r>
              <w:rPr>
                <w:rFonts w:hAnsiTheme="minorEastAsia" w:eastAsiaTheme="minorEastAsia"/>
                <w:b/>
                <w:color w:val="auto"/>
                <w:szCs w:val="21"/>
                <w:highlight w:val="none"/>
              </w:rPr>
              <w:t>表</w:t>
            </w:r>
            <w:r>
              <w:rPr>
                <w:rFonts w:hint="eastAsia" w:hAnsiTheme="minorEastAsia" w:eastAsiaTheme="minorEastAsia"/>
                <w:b/>
                <w:color w:val="auto"/>
                <w:szCs w:val="21"/>
                <w:highlight w:val="none"/>
                <w:lang w:val="en-US" w:eastAsia="zh-CN"/>
              </w:rPr>
              <w:t>4-3</w:t>
            </w:r>
            <w:r>
              <w:rPr>
                <w:b/>
                <w:bCs/>
                <w:color w:val="auto"/>
                <w:szCs w:val="21"/>
                <w:highlight w:val="none"/>
              </w:rPr>
              <w:t xml:space="preserve">    </w:t>
            </w:r>
            <w:r>
              <w:rPr>
                <w:rFonts w:hint="eastAsia"/>
                <w:b/>
                <w:bCs/>
                <w:color w:val="auto"/>
                <w:szCs w:val="21"/>
                <w:highlight w:val="none"/>
                <w:lang w:val="en-US" w:eastAsia="zh-CN"/>
              </w:rPr>
              <w:t>项目废气产排情况一览表</w:t>
            </w:r>
          </w:p>
          <w:tbl>
            <w:tblPr>
              <w:tblStyle w:val="34"/>
              <w:tblW w:w="4993"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5"/>
              <w:gridCol w:w="967"/>
              <w:gridCol w:w="810"/>
              <w:gridCol w:w="743"/>
              <w:gridCol w:w="615"/>
              <w:gridCol w:w="1095"/>
              <w:gridCol w:w="480"/>
              <w:gridCol w:w="765"/>
              <w:gridCol w:w="877"/>
              <w:gridCol w:w="743"/>
              <w:gridCol w:w="781"/>
            </w:tblGrid>
            <w:tr w14:paraId="37FFF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 w:type="pct"/>
                  <w:noWrap w:val="0"/>
                  <w:vAlign w:val="center"/>
                </w:tcPr>
                <w:p w14:paraId="0853DC20">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污染源</w:t>
                  </w:r>
                </w:p>
              </w:tc>
              <w:tc>
                <w:tcPr>
                  <w:tcW w:w="583" w:type="pct"/>
                  <w:noWrap w:val="0"/>
                  <w:vAlign w:val="center"/>
                </w:tcPr>
                <w:p w14:paraId="764E2707">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工序</w:t>
                  </w:r>
                </w:p>
              </w:tc>
              <w:tc>
                <w:tcPr>
                  <w:tcW w:w="488" w:type="pct"/>
                  <w:noWrap w:val="0"/>
                  <w:vAlign w:val="center"/>
                </w:tcPr>
                <w:p w14:paraId="64045D73">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污染物</w:t>
                  </w:r>
                </w:p>
              </w:tc>
              <w:tc>
                <w:tcPr>
                  <w:tcW w:w="448" w:type="pct"/>
                  <w:noWrap w:val="0"/>
                  <w:vAlign w:val="center"/>
                </w:tcPr>
                <w:p w14:paraId="22794FF9">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产生量t/a</w:t>
                  </w:r>
                </w:p>
              </w:tc>
              <w:tc>
                <w:tcPr>
                  <w:tcW w:w="370" w:type="pct"/>
                  <w:noWrap w:val="0"/>
                  <w:vAlign w:val="center"/>
                </w:tcPr>
                <w:p w14:paraId="7047C9F3">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收集效率%</w:t>
                  </w:r>
                </w:p>
              </w:tc>
              <w:tc>
                <w:tcPr>
                  <w:tcW w:w="660" w:type="pct"/>
                  <w:noWrap w:val="0"/>
                  <w:vAlign w:val="center"/>
                </w:tcPr>
                <w:p w14:paraId="0A5161D8">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末端治理技术</w:t>
                  </w:r>
                </w:p>
              </w:tc>
              <w:tc>
                <w:tcPr>
                  <w:tcW w:w="289" w:type="pct"/>
                  <w:noWrap w:val="0"/>
                  <w:vAlign w:val="center"/>
                </w:tcPr>
                <w:p w14:paraId="10798274">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效率%</w:t>
                  </w:r>
                </w:p>
              </w:tc>
              <w:tc>
                <w:tcPr>
                  <w:tcW w:w="461" w:type="pct"/>
                  <w:noWrap w:val="0"/>
                  <w:vAlign w:val="center"/>
                </w:tcPr>
                <w:p w14:paraId="1EDC1A65">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排放量t/a</w:t>
                  </w:r>
                </w:p>
              </w:tc>
              <w:tc>
                <w:tcPr>
                  <w:tcW w:w="528" w:type="pct"/>
                  <w:noWrap w:val="0"/>
                  <w:vAlign w:val="center"/>
                </w:tcPr>
                <w:p w14:paraId="72A12BC9">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排放速率kg/h</w:t>
                  </w:r>
                </w:p>
              </w:tc>
              <w:tc>
                <w:tcPr>
                  <w:tcW w:w="448" w:type="pct"/>
                  <w:noWrap w:val="0"/>
                  <w:vAlign w:val="center"/>
                </w:tcPr>
                <w:p w14:paraId="4E826028">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风机风量m</w:t>
                  </w:r>
                  <w:r>
                    <w:rPr>
                      <w:rFonts w:hint="default" w:ascii="Times New Roman" w:hAnsi="Times New Roman" w:cs="Times New Roman"/>
                      <w:b w:val="0"/>
                      <w:bCs w:val="0"/>
                      <w:vertAlign w:val="superscript"/>
                      <w:lang w:val="en-US" w:eastAsia="zh-CN"/>
                    </w:rPr>
                    <w:t>3</w:t>
                  </w:r>
                  <w:r>
                    <w:rPr>
                      <w:rFonts w:hint="default" w:ascii="Times New Roman" w:hAnsi="Times New Roman" w:cs="Times New Roman"/>
                      <w:b w:val="0"/>
                      <w:bCs w:val="0"/>
                      <w:lang w:val="en-US" w:eastAsia="zh-CN"/>
                    </w:rPr>
                    <w:t>/h</w:t>
                  </w:r>
                </w:p>
              </w:tc>
              <w:tc>
                <w:tcPr>
                  <w:tcW w:w="470" w:type="pct"/>
                  <w:noWrap w:val="0"/>
                  <w:vAlign w:val="center"/>
                </w:tcPr>
                <w:p w14:paraId="7FB69F87">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排放浓度mg/m</w:t>
                  </w:r>
                  <w:r>
                    <w:rPr>
                      <w:rFonts w:hint="default" w:ascii="Times New Roman" w:hAnsi="Times New Roman" w:cs="Times New Roman"/>
                      <w:b w:val="0"/>
                      <w:bCs w:val="0"/>
                      <w:vertAlign w:val="superscript"/>
                      <w:lang w:val="en-US" w:eastAsia="zh-CN"/>
                    </w:rPr>
                    <w:t>3</w:t>
                  </w:r>
                </w:p>
              </w:tc>
            </w:tr>
            <w:tr w14:paraId="2B894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50" w:type="pct"/>
                  <w:vMerge w:val="restart"/>
                  <w:noWrap w:val="0"/>
                  <w:vAlign w:val="center"/>
                </w:tcPr>
                <w:p w14:paraId="6C9ED3E8">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有组织</w:t>
                  </w:r>
                </w:p>
              </w:tc>
              <w:tc>
                <w:tcPr>
                  <w:tcW w:w="583" w:type="pct"/>
                  <w:noWrap w:val="0"/>
                  <w:vAlign w:val="center"/>
                </w:tcPr>
                <w:p w14:paraId="108707F8">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挤出熔融、吹胀</w:t>
                  </w:r>
                </w:p>
              </w:tc>
              <w:tc>
                <w:tcPr>
                  <w:tcW w:w="488" w:type="pct"/>
                  <w:vMerge w:val="restart"/>
                  <w:noWrap w:val="0"/>
                  <w:vAlign w:val="center"/>
                </w:tcPr>
                <w:p w14:paraId="1FB6966D">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非甲烷总烃</w:t>
                  </w:r>
                </w:p>
              </w:tc>
              <w:tc>
                <w:tcPr>
                  <w:tcW w:w="448" w:type="pct"/>
                  <w:noWrap w:val="0"/>
                  <w:vAlign w:val="center"/>
                </w:tcPr>
                <w:p w14:paraId="66BCBFFC">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2.43</w:t>
                  </w:r>
                </w:p>
              </w:tc>
              <w:tc>
                <w:tcPr>
                  <w:tcW w:w="370" w:type="pct"/>
                  <w:noWrap w:val="0"/>
                  <w:vAlign w:val="center"/>
                </w:tcPr>
                <w:p w14:paraId="7C50015F">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9</w:t>
                  </w:r>
                  <w:r>
                    <w:rPr>
                      <w:rFonts w:hint="eastAsia" w:cs="Times New Roman"/>
                      <w:b w:val="0"/>
                      <w:bCs w:val="0"/>
                      <w:color w:val="auto"/>
                      <w:lang w:val="en-US" w:eastAsia="zh-CN"/>
                    </w:rPr>
                    <w:t>0</w:t>
                  </w:r>
                </w:p>
              </w:tc>
              <w:tc>
                <w:tcPr>
                  <w:tcW w:w="660" w:type="pct"/>
                  <w:vMerge w:val="restart"/>
                  <w:noWrap w:val="0"/>
                  <w:vAlign w:val="center"/>
                </w:tcPr>
                <w:p w14:paraId="4B8A6136">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活性炭吸附-脱附-催化燃烧</w:t>
                  </w:r>
                </w:p>
              </w:tc>
              <w:tc>
                <w:tcPr>
                  <w:tcW w:w="289" w:type="pct"/>
                  <w:noWrap w:val="0"/>
                  <w:vAlign w:val="center"/>
                </w:tcPr>
                <w:p w14:paraId="763D6466">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6</w:t>
                  </w:r>
                  <w:r>
                    <w:rPr>
                      <w:rFonts w:hint="default" w:ascii="Times New Roman" w:hAnsi="Times New Roman" w:cs="Times New Roman"/>
                      <w:b w:val="0"/>
                      <w:bCs w:val="0"/>
                      <w:color w:val="auto"/>
                      <w:lang w:val="en-US" w:eastAsia="zh-CN"/>
                    </w:rPr>
                    <w:t>5</w:t>
                  </w:r>
                </w:p>
              </w:tc>
              <w:tc>
                <w:tcPr>
                  <w:tcW w:w="461" w:type="pct"/>
                  <w:noWrap w:val="0"/>
                  <w:vAlign w:val="center"/>
                </w:tcPr>
                <w:p w14:paraId="0D61C987">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0.85</w:t>
                  </w:r>
                </w:p>
              </w:tc>
              <w:tc>
                <w:tcPr>
                  <w:tcW w:w="528" w:type="pct"/>
                  <w:noWrap w:val="0"/>
                  <w:vAlign w:val="center"/>
                </w:tcPr>
                <w:p w14:paraId="5C482AAE">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0.354</w:t>
                  </w:r>
                </w:p>
              </w:tc>
              <w:tc>
                <w:tcPr>
                  <w:tcW w:w="448" w:type="pct"/>
                  <w:vMerge w:val="restart"/>
                  <w:noWrap w:val="0"/>
                  <w:vAlign w:val="center"/>
                </w:tcPr>
                <w:p w14:paraId="228F48CD">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10000</w:t>
                  </w:r>
                </w:p>
              </w:tc>
              <w:tc>
                <w:tcPr>
                  <w:tcW w:w="470" w:type="pct"/>
                  <w:noWrap w:val="0"/>
                  <w:vAlign w:val="center"/>
                </w:tcPr>
                <w:p w14:paraId="573EE881">
                  <w:pPr>
                    <w:pStyle w:val="240"/>
                    <w:rPr>
                      <w:rFonts w:hint="default" w:ascii="Times New Roman" w:hAnsi="Times New Roman" w:cs="Times New Roman"/>
                      <w:b w:val="0"/>
                      <w:bCs w:val="0"/>
                      <w:lang w:val="en-US" w:eastAsia="zh-CN"/>
                    </w:rPr>
                  </w:pPr>
                  <w:r>
                    <w:rPr>
                      <w:rFonts w:hint="eastAsia" w:cs="Times New Roman"/>
                      <w:b w:val="0"/>
                      <w:bCs w:val="0"/>
                      <w:lang w:val="en-US" w:eastAsia="zh-CN"/>
                    </w:rPr>
                    <w:t>35.4</w:t>
                  </w:r>
                </w:p>
              </w:tc>
            </w:tr>
            <w:tr w14:paraId="33E28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50" w:type="pct"/>
                  <w:vMerge w:val="continue"/>
                  <w:noWrap w:val="0"/>
                  <w:vAlign w:val="center"/>
                </w:tcPr>
                <w:p w14:paraId="465499CF">
                  <w:pPr>
                    <w:pStyle w:val="240"/>
                    <w:rPr>
                      <w:rFonts w:hint="default" w:ascii="Times New Roman" w:hAnsi="Times New Roman" w:cs="Times New Roman"/>
                      <w:b w:val="0"/>
                      <w:bCs w:val="0"/>
                      <w:lang w:val="en-US" w:eastAsia="zh-CN"/>
                    </w:rPr>
                  </w:pPr>
                </w:p>
              </w:tc>
              <w:tc>
                <w:tcPr>
                  <w:tcW w:w="583" w:type="pct"/>
                  <w:noWrap w:val="0"/>
                  <w:vAlign w:val="center"/>
                </w:tcPr>
                <w:p w14:paraId="77227F9F">
                  <w:pPr>
                    <w:pStyle w:val="240"/>
                    <w:rPr>
                      <w:rFonts w:hint="default" w:ascii="Times New Roman" w:hAnsi="Times New Roman" w:cs="Times New Roman"/>
                      <w:b w:val="0"/>
                      <w:bCs w:val="0"/>
                      <w:lang w:val="en-US" w:eastAsia="zh-CN"/>
                    </w:rPr>
                  </w:pPr>
                  <w:r>
                    <w:rPr>
                      <w:rFonts w:hint="eastAsia" w:cs="Times New Roman"/>
                      <w:b w:val="0"/>
                      <w:bCs w:val="0"/>
                      <w:lang w:val="en-US" w:eastAsia="zh-CN"/>
                    </w:rPr>
                    <w:t>挤出成型</w:t>
                  </w:r>
                </w:p>
              </w:tc>
              <w:tc>
                <w:tcPr>
                  <w:tcW w:w="488" w:type="pct"/>
                  <w:vMerge w:val="continue"/>
                  <w:noWrap w:val="0"/>
                  <w:vAlign w:val="center"/>
                </w:tcPr>
                <w:p w14:paraId="18522E44">
                  <w:pPr>
                    <w:pStyle w:val="240"/>
                    <w:rPr>
                      <w:rFonts w:hint="default" w:ascii="Times New Roman" w:hAnsi="Times New Roman" w:cs="Times New Roman"/>
                      <w:b w:val="0"/>
                      <w:bCs w:val="0"/>
                      <w:color w:val="auto"/>
                      <w:lang w:val="en-US" w:eastAsia="zh-CN"/>
                    </w:rPr>
                  </w:pPr>
                </w:p>
              </w:tc>
              <w:tc>
                <w:tcPr>
                  <w:tcW w:w="448" w:type="pct"/>
                  <w:noWrap w:val="0"/>
                  <w:vAlign w:val="center"/>
                </w:tcPr>
                <w:p w14:paraId="2CB1F7C4">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2.25</w:t>
                  </w:r>
                </w:p>
              </w:tc>
              <w:tc>
                <w:tcPr>
                  <w:tcW w:w="370" w:type="pct"/>
                  <w:noWrap w:val="0"/>
                  <w:vAlign w:val="center"/>
                </w:tcPr>
                <w:p w14:paraId="6B4A9B7E">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9</w:t>
                  </w:r>
                  <w:r>
                    <w:rPr>
                      <w:rFonts w:hint="eastAsia" w:cs="Times New Roman"/>
                      <w:b w:val="0"/>
                      <w:bCs w:val="0"/>
                      <w:color w:val="auto"/>
                      <w:lang w:val="en-US" w:eastAsia="zh-CN"/>
                    </w:rPr>
                    <w:t>0</w:t>
                  </w:r>
                </w:p>
              </w:tc>
              <w:tc>
                <w:tcPr>
                  <w:tcW w:w="660" w:type="pct"/>
                  <w:vMerge w:val="continue"/>
                  <w:noWrap w:val="0"/>
                  <w:vAlign w:val="center"/>
                </w:tcPr>
                <w:p w14:paraId="58C8BD99">
                  <w:pPr>
                    <w:pStyle w:val="240"/>
                    <w:rPr>
                      <w:rFonts w:hint="default" w:ascii="Times New Roman" w:hAnsi="Times New Roman" w:cs="Times New Roman"/>
                      <w:b w:val="0"/>
                      <w:bCs w:val="0"/>
                      <w:color w:val="auto"/>
                      <w:lang w:val="en-US" w:eastAsia="zh-CN"/>
                    </w:rPr>
                  </w:pPr>
                </w:p>
              </w:tc>
              <w:tc>
                <w:tcPr>
                  <w:tcW w:w="289" w:type="pct"/>
                  <w:noWrap w:val="0"/>
                  <w:vAlign w:val="center"/>
                </w:tcPr>
                <w:p w14:paraId="143D0C14">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6</w:t>
                  </w:r>
                  <w:r>
                    <w:rPr>
                      <w:rFonts w:hint="default" w:ascii="Times New Roman" w:hAnsi="Times New Roman" w:cs="Times New Roman"/>
                      <w:b w:val="0"/>
                      <w:bCs w:val="0"/>
                      <w:color w:val="auto"/>
                      <w:lang w:val="en-US" w:eastAsia="zh-CN"/>
                    </w:rPr>
                    <w:t>5</w:t>
                  </w:r>
                </w:p>
              </w:tc>
              <w:tc>
                <w:tcPr>
                  <w:tcW w:w="461" w:type="pct"/>
                  <w:noWrap w:val="0"/>
                  <w:vAlign w:val="center"/>
                </w:tcPr>
                <w:p w14:paraId="32C0CC11">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0.79</w:t>
                  </w:r>
                </w:p>
              </w:tc>
              <w:tc>
                <w:tcPr>
                  <w:tcW w:w="528" w:type="pct"/>
                  <w:noWrap w:val="0"/>
                  <w:vAlign w:val="center"/>
                </w:tcPr>
                <w:p w14:paraId="55F1E558">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0.329</w:t>
                  </w:r>
                </w:p>
              </w:tc>
              <w:tc>
                <w:tcPr>
                  <w:tcW w:w="448" w:type="pct"/>
                  <w:vMerge w:val="continue"/>
                  <w:noWrap w:val="0"/>
                  <w:vAlign w:val="center"/>
                </w:tcPr>
                <w:p w14:paraId="25439A30">
                  <w:pPr>
                    <w:pStyle w:val="240"/>
                    <w:rPr>
                      <w:rFonts w:hint="default" w:ascii="Times New Roman" w:hAnsi="Times New Roman" w:cs="Times New Roman"/>
                      <w:b w:val="0"/>
                      <w:bCs w:val="0"/>
                      <w:lang w:val="en-US" w:eastAsia="zh-CN"/>
                    </w:rPr>
                  </w:pPr>
                </w:p>
              </w:tc>
              <w:tc>
                <w:tcPr>
                  <w:tcW w:w="470" w:type="pct"/>
                  <w:noWrap w:val="0"/>
                  <w:vAlign w:val="center"/>
                </w:tcPr>
                <w:p w14:paraId="479E7775">
                  <w:pPr>
                    <w:pStyle w:val="240"/>
                    <w:rPr>
                      <w:rFonts w:hint="default" w:ascii="Times New Roman" w:hAnsi="Times New Roman" w:cs="Times New Roman"/>
                      <w:b w:val="0"/>
                      <w:bCs w:val="0"/>
                      <w:lang w:val="en-US" w:eastAsia="zh-CN"/>
                    </w:rPr>
                  </w:pPr>
                  <w:r>
                    <w:rPr>
                      <w:rFonts w:hint="eastAsia" w:cs="Times New Roman"/>
                      <w:b w:val="0"/>
                      <w:bCs w:val="0"/>
                      <w:lang w:val="en-US" w:eastAsia="zh-CN"/>
                    </w:rPr>
                    <w:t>32.9</w:t>
                  </w:r>
                </w:p>
              </w:tc>
            </w:tr>
            <w:tr w14:paraId="4952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50" w:type="pct"/>
                  <w:vMerge w:val="continue"/>
                  <w:noWrap w:val="0"/>
                  <w:vAlign w:val="center"/>
                </w:tcPr>
                <w:p w14:paraId="6BCEA172">
                  <w:pPr>
                    <w:pStyle w:val="240"/>
                    <w:rPr>
                      <w:rFonts w:hint="default" w:ascii="Times New Roman" w:hAnsi="Times New Roman" w:cs="Times New Roman"/>
                      <w:b w:val="0"/>
                      <w:bCs w:val="0"/>
                      <w:lang w:val="en-US" w:eastAsia="zh-CN"/>
                    </w:rPr>
                  </w:pPr>
                </w:p>
              </w:tc>
              <w:tc>
                <w:tcPr>
                  <w:tcW w:w="583" w:type="pct"/>
                  <w:noWrap w:val="0"/>
                  <w:vAlign w:val="center"/>
                </w:tcPr>
                <w:p w14:paraId="110094A8">
                  <w:pPr>
                    <w:pStyle w:val="240"/>
                    <w:rPr>
                      <w:rFonts w:hint="default" w:ascii="Times New Roman" w:hAnsi="Times New Roman" w:cs="Times New Roman"/>
                      <w:b w:val="0"/>
                      <w:bCs w:val="0"/>
                      <w:lang w:val="en-US" w:eastAsia="zh-CN"/>
                    </w:rPr>
                  </w:pPr>
                  <w:r>
                    <w:rPr>
                      <w:rFonts w:hint="eastAsia" w:cs="Times New Roman"/>
                      <w:b w:val="0"/>
                      <w:bCs w:val="0"/>
                      <w:lang w:val="en-US" w:eastAsia="zh-CN"/>
                    </w:rPr>
                    <w:t>塑料包装袋加工厂房混料</w:t>
                  </w:r>
                </w:p>
              </w:tc>
              <w:tc>
                <w:tcPr>
                  <w:tcW w:w="488" w:type="pct"/>
                  <w:vMerge w:val="restart"/>
                  <w:noWrap w:val="0"/>
                  <w:vAlign w:val="center"/>
                </w:tcPr>
                <w:p w14:paraId="2A881784">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颗粒物</w:t>
                  </w:r>
                </w:p>
              </w:tc>
              <w:tc>
                <w:tcPr>
                  <w:tcW w:w="448" w:type="pct"/>
                  <w:noWrap w:val="0"/>
                  <w:vAlign w:val="center"/>
                </w:tcPr>
                <w:p w14:paraId="09C01573">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5.4</w:t>
                  </w:r>
                </w:p>
              </w:tc>
              <w:tc>
                <w:tcPr>
                  <w:tcW w:w="370" w:type="pct"/>
                  <w:noWrap w:val="0"/>
                  <w:vAlign w:val="center"/>
                </w:tcPr>
                <w:p w14:paraId="7695094E">
                  <w:pPr>
                    <w:pStyle w:val="240"/>
                    <w:rPr>
                      <w:rFonts w:hint="default" w:ascii="Times New Roman" w:hAnsi="Times New Roman" w:eastAsia="宋体" w:cs="Times New Roman"/>
                      <w:b w:val="0"/>
                      <w:bCs w:val="0"/>
                      <w:color w:val="auto"/>
                      <w:lang w:val="en-US" w:eastAsia="zh-CN"/>
                    </w:rPr>
                  </w:pPr>
                  <w:r>
                    <w:rPr>
                      <w:rFonts w:hint="default" w:ascii="Times New Roman" w:hAnsi="Times New Roman" w:cs="Times New Roman"/>
                      <w:b w:val="0"/>
                      <w:bCs w:val="0"/>
                      <w:color w:val="auto"/>
                      <w:lang w:val="en-US" w:eastAsia="zh-CN"/>
                    </w:rPr>
                    <w:t>9</w:t>
                  </w:r>
                  <w:r>
                    <w:rPr>
                      <w:rFonts w:hint="eastAsia" w:cs="Times New Roman"/>
                      <w:b w:val="0"/>
                      <w:bCs w:val="0"/>
                      <w:color w:val="auto"/>
                      <w:lang w:val="en-US" w:eastAsia="zh-CN"/>
                    </w:rPr>
                    <w:t>0</w:t>
                  </w:r>
                </w:p>
              </w:tc>
              <w:tc>
                <w:tcPr>
                  <w:tcW w:w="660" w:type="pct"/>
                  <w:vMerge w:val="restart"/>
                  <w:noWrap w:val="0"/>
                  <w:vAlign w:val="center"/>
                </w:tcPr>
                <w:p w14:paraId="3DA37528">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布袋除尘器</w:t>
                  </w:r>
                </w:p>
              </w:tc>
              <w:tc>
                <w:tcPr>
                  <w:tcW w:w="289" w:type="pct"/>
                  <w:noWrap w:val="0"/>
                  <w:vAlign w:val="center"/>
                </w:tcPr>
                <w:p w14:paraId="642C18FB">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99</w:t>
                  </w:r>
                </w:p>
              </w:tc>
              <w:tc>
                <w:tcPr>
                  <w:tcW w:w="461" w:type="pct"/>
                  <w:noWrap w:val="0"/>
                  <w:vAlign w:val="center"/>
                </w:tcPr>
                <w:p w14:paraId="6D56310B">
                  <w:pPr>
                    <w:pStyle w:val="33"/>
                    <w:spacing w:after="0"/>
                    <w:ind w:left="-42" w:leftChars="-20" w:right="-42" w:rightChars="-20" w:firstLine="0" w:firstLineChars="0"/>
                    <w:jc w:val="center"/>
                    <w:rPr>
                      <w:rFonts w:hint="default" w:ascii="Times New Roman" w:hAnsi="Times New Roman" w:cs="Times New Roman"/>
                      <w:b w:val="0"/>
                      <w:bCs w:val="0"/>
                      <w:color w:val="auto"/>
                      <w:lang w:val="en-US" w:eastAsia="zh-CN"/>
                    </w:rPr>
                  </w:pPr>
                  <w:r>
                    <w:rPr>
                      <w:rFonts w:hint="eastAsia" w:cs="Times New Roman"/>
                      <w:color w:val="auto"/>
                      <w:szCs w:val="21"/>
                      <w:highlight w:val="none"/>
                      <w:lang w:val="en-US" w:eastAsia="zh-CN"/>
                    </w:rPr>
                    <w:t>0.054</w:t>
                  </w:r>
                </w:p>
              </w:tc>
              <w:tc>
                <w:tcPr>
                  <w:tcW w:w="528" w:type="pct"/>
                  <w:noWrap w:val="0"/>
                  <w:vAlign w:val="center"/>
                </w:tcPr>
                <w:p w14:paraId="264651F8">
                  <w:pPr>
                    <w:pStyle w:val="33"/>
                    <w:spacing w:after="0"/>
                    <w:ind w:left="-42" w:leftChars="-20" w:right="-42" w:rightChars="-20" w:firstLine="0" w:firstLineChars="0"/>
                    <w:jc w:val="center"/>
                    <w:rPr>
                      <w:rFonts w:hint="default" w:ascii="Times New Roman" w:hAnsi="Times New Roman" w:cs="Times New Roman"/>
                      <w:b w:val="0"/>
                      <w:bCs w:val="0"/>
                      <w:color w:val="auto"/>
                      <w:lang w:val="en-US" w:eastAsia="zh-CN"/>
                    </w:rPr>
                  </w:pPr>
                  <w:r>
                    <w:rPr>
                      <w:rFonts w:hint="eastAsia" w:cs="Times New Roman"/>
                      <w:color w:val="auto"/>
                      <w:szCs w:val="21"/>
                      <w:highlight w:val="none"/>
                      <w:lang w:val="en-US" w:eastAsia="zh-CN"/>
                    </w:rPr>
                    <w:t>0.022</w:t>
                  </w:r>
                </w:p>
              </w:tc>
              <w:tc>
                <w:tcPr>
                  <w:tcW w:w="448" w:type="pct"/>
                  <w:vMerge w:val="continue"/>
                  <w:noWrap w:val="0"/>
                  <w:vAlign w:val="center"/>
                </w:tcPr>
                <w:p w14:paraId="43F08656">
                  <w:pPr>
                    <w:pStyle w:val="240"/>
                    <w:rPr>
                      <w:rFonts w:hint="default" w:ascii="Times New Roman" w:hAnsi="Times New Roman" w:cs="Times New Roman"/>
                      <w:b w:val="0"/>
                      <w:bCs w:val="0"/>
                      <w:color w:val="0000FF"/>
                      <w:lang w:val="en-US" w:eastAsia="zh-CN"/>
                    </w:rPr>
                  </w:pPr>
                </w:p>
              </w:tc>
              <w:tc>
                <w:tcPr>
                  <w:tcW w:w="470" w:type="pct"/>
                  <w:noWrap w:val="0"/>
                  <w:vAlign w:val="center"/>
                </w:tcPr>
                <w:p w14:paraId="71C2824E">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2.2</w:t>
                  </w:r>
                </w:p>
              </w:tc>
            </w:tr>
            <w:tr w14:paraId="21EB4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50" w:type="pct"/>
                  <w:vMerge w:val="continue"/>
                  <w:noWrap w:val="0"/>
                  <w:vAlign w:val="center"/>
                </w:tcPr>
                <w:p w14:paraId="338C2E26">
                  <w:pPr>
                    <w:pStyle w:val="240"/>
                    <w:rPr>
                      <w:rFonts w:hint="default" w:ascii="Times New Roman" w:hAnsi="Times New Roman" w:cs="Times New Roman"/>
                      <w:b w:val="0"/>
                      <w:bCs w:val="0"/>
                      <w:lang w:val="en-US" w:eastAsia="zh-CN"/>
                    </w:rPr>
                  </w:pPr>
                </w:p>
              </w:tc>
              <w:tc>
                <w:tcPr>
                  <w:tcW w:w="583" w:type="pct"/>
                  <w:noWrap w:val="0"/>
                  <w:vAlign w:val="center"/>
                </w:tcPr>
                <w:p w14:paraId="5829ECC2">
                  <w:pPr>
                    <w:pStyle w:val="240"/>
                    <w:rPr>
                      <w:rFonts w:hint="default" w:ascii="Times New Roman" w:hAnsi="Times New Roman" w:cs="Times New Roman"/>
                      <w:b w:val="0"/>
                      <w:bCs w:val="0"/>
                      <w:lang w:val="en-US" w:eastAsia="zh-CN"/>
                    </w:rPr>
                  </w:pPr>
                  <w:r>
                    <w:rPr>
                      <w:rFonts w:hint="eastAsia" w:cs="Times New Roman"/>
                      <w:b w:val="0"/>
                      <w:bCs w:val="0"/>
                      <w:lang w:val="en-US" w:eastAsia="zh-CN"/>
                    </w:rPr>
                    <w:t>农用贴片滴灌带加工厂房混料</w:t>
                  </w:r>
                </w:p>
              </w:tc>
              <w:tc>
                <w:tcPr>
                  <w:tcW w:w="488" w:type="pct"/>
                  <w:vMerge w:val="continue"/>
                  <w:noWrap w:val="0"/>
                  <w:vAlign w:val="center"/>
                </w:tcPr>
                <w:p w14:paraId="44C93C3E">
                  <w:pPr>
                    <w:pStyle w:val="240"/>
                    <w:rPr>
                      <w:rFonts w:hint="default" w:ascii="Times New Roman" w:hAnsi="Times New Roman" w:cs="Times New Roman"/>
                      <w:b w:val="0"/>
                      <w:bCs w:val="0"/>
                      <w:color w:val="auto"/>
                      <w:lang w:val="en-US" w:eastAsia="zh-CN"/>
                    </w:rPr>
                  </w:pPr>
                </w:p>
              </w:tc>
              <w:tc>
                <w:tcPr>
                  <w:tcW w:w="448" w:type="pct"/>
                  <w:noWrap w:val="0"/>
                  <w:vAlign w:val="center"/>
                </w:tcPr>
                <w:p w14:paraId="522D4CEB">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5.4</w:t>
                  </w:r>
                </w:p>
              </w:tc>
              <w:tc>
                <w:tcPr>
                  <w:tcW w:w="370" w:type="pct"/>
                  <w:noWrap w:val="0"/>
                  <w:vAlign w:val="center"/>
                </w:tcPr>
                <w:p w14:paraId="3BC8AA77">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8</w:t>
                  </w:r>
                  <w:r>
                    <w:rPr>
                      <w:rFonts w:hint="eastAsia" w:cs="Times New Roman"/>
                      <w:b w:val="0"/>
                      <w:bCs w:val="0"/>
                      <w:color w:val="auto"/>
                      <w:lang w:val="en-US" w:eastAsia="zh-CN"/>
                    </w:rPr>
                    <w:t>0</w:t>
                  </w:r>
                </w:p>
              </w:tc>
              <w:tc>
                <w:tcPr>
                  <w:tcW w:w="660" w:type="pct"/>
                  <w:vMerge w:val="continue"/>
                  <w:noWrap w:val="0"/>
                  <w:vAlign w:val="center"/>
                </w:tcPr>
                <w:p w14:paraId="78653609">
                  <w:pPr>
                    <w:pStyle w:val="240"/>
                    <w:rPr>
                      <w:rFonts w:hint="default" w:ascii="Times New Roman" w:hAnsi="Times New Roman" w:cs="Times New Roman"/>
                      <w:b w:val="0"/>
                      <w:bCs w:val="0"/>
                      <w:color w:val="auto"/>
                      <w:lang w:val="en-US" w:eastAsia="zh-CN"/>
                    </w:rPr>
                  </w:pPr>
                </w:p>
              </w:tc>
              <w:tc>
                <w:tcPr>
                  <w:tcW w:w="289" w:type="pct"/>
                  <w:noWrap w:val="0"/>
                  <w:vAlign w:val="center"/>
                </w:tcPr>
                <w:p w14:paraId="475E3236">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99</w:t>
                  </w:r>
                </w:p>
              </w:tc>
              <w:tc>
                <w:tcPr>
                  <w:tcW w:w="461" w:type="pct"/>
                  <w:shd w:val="clear" w:color="auto" w:fill="auto"/>
                  <w:noWrap w:val="0"/>
                  <w:vAlign w:val="center"/>
                </w:tcPr>
                <w:p w14:paraId="230E3C72">
                  <w:pPr>
                    <w:pStyle w:val="33"/>
                    <w:spacing w:after="0"/>
                    <w:ind w:left="-42" w:leftChars="-20" w:right="-42" w:rightChars="-20" w:firstLine="0" w:firstLineChars="0"/>
                    <w:jc w:val="center"/>
                    <w:rPr>
                      <w:rFonts w:hint="default" w:ascii="Times New Roman" w:hAnsi="Times New Roman" w:eastAsia="宋体" w:cs="Times New Roman"/>
                      <w:b w:val="0"/>
                      <w:bCs w:val="0"/>
                      <w:color w:val="auto"/>
                      <w:kern w:val="2"/>
                      <w:sz w:val="21"/>
                      <w:szCs w:val="24"/>
                      <w:lang w:val="en-US" w:eastAsia="zh-CN" w:bidi="ar-SA"/>
                    </w:rPr>
                  </w:pPr>
                  <w:r>
                    <w:rPr>
                      <w:rFonts w:hint="eastAsia" w:cs="Times New Roman"/>
                      <w:color w:val="auto"/>
                      <w:szCs w:val="21"/>
                      <w:highlight w:val="none"/>
                      <w:lang w:val="en-US" w:eastAsia="zh-CN"/>
                    </w:rPr>
                    <w:t>0.054</w:t>
                  </w:r>
                </w:p>
              </w:tc>
              <w:tc>
                <w:tcPr>
                  <w:tcW w:w="528" w:type="pct"/>
                  <w:shd w:val="clear" w:color="auto" w:fill="auto"/>
                  <w:noWrap w:val="0"/>
                  <w:vAlign w:val="center"/>
                </w:tcPr>
                <w:p w14:paraId="50951D60">
                  <w:pPr>
                    <w:pStyle w:val="33"/>
                    <w:spacing w:after="0"/>
                    <w:ind w:left="-42" w:leftChars="-20" w:right="-42" w:rightChars="-20" w:firstLine="0" w:firstLineChars="0"/>
                    <w:jc w:val="center"/>
                    <w:rPr>
                      <w:rFonts w:hint="default" w:ascii="Times New Roman" w:hAnsi="Times New Roman" w:eastAsia="宋体" w:cs="Times New Roman"/>
                      <w:b w:val="0"/>
                      <w:bCs w:val="0"/>
                      <w:color w:val="auto"/>
                      <w:kern w:val="2"/>
                      <w:sz w:val="21"/>
                      <w:szCs w:val="24"/>
                      <w:lang w:val="en-US" w:eastAsia="zh-CN" w:bidi="ar-SA"/>
                    </w:rPr>
                  </w:pPr>
                  <w:r>
                    <w:rPr>
                      <w:rFonts w:hint="eastAsia" w:cs="Times New Roman"/>
                      <w:color w:val="auto"/>
                      <w:szCs w:val="21"/>
                      <w:highlight w:val="none"/>
                      <w:lang w:val="en-US" w:eastAsia="zh-CN"/>
                    </w:rPr>
                    <w:t>0.022</w:t>
                  </w:r>
                </w:p>
              </w:tc>
              <w:tc>
                <w:tcPr>
                  <w:tcW w:w="448" w:type="pct"/>
                  <w:vMerge w:val="continue"/>
                  <w:noWrap w:val="0"/>
                  <w:vAlign w:val="center"/>
                </w:tcPr>
                <w:p w14:paraId="34D0713C">
                  <w:pPr>
                    <w:pStyle w:val="240"/>
                    <w:rPr>
                      <w:rFonts w:hint="default" w:ascii="Times New Roman" w:hAnsi="Times New Roman" w:cs="Times New Roman"/>
                      <w:b w:val="0"/>
                      <w:bCs w:val="0"/>
                    </w:rPr>
                  </w:pPr>
                </w:p>
              </w:tc>
              <w:tc>
                <w:tcPr>
                  <w:tcW w:w="470" w:type="pct"/>
                  <w:noWrap w:val="0"/>
                  <w:vAlign w:val="center"/>
                </w:tcPr>
                <w:p w14:paraId="74F140EC">
                  <w:pPr>
                    <w:pStyle w:val="240"/>
                    <w:rPr>
                      <w:rFonts w:hint="default" w:ascii="Times New Roman" w:hAnsi="Times New Roman" w:cs="Times New Roman"/>
                      <w:b w:val="0"/>
                      <w:bCs w:val="0"/>
                      <w:lang w:val="en-US" w:eastAsia="zh-CN"/>
                    </w:rPr>
                  </w:pPr>
                  <w:r>
                    <w:rPr>
                      <w:rFonts w:hint="eastAsia" w:cs="Times New Roman"/>
                      <w:b w:val="0"/>
                      <w:bCs w:val="0"/>
                      <w:color w:val="auto"/>
                      <w:lang w:val="en-US" w:eastAsia="zh-CN"/>
                    </w:rPr>
                    <w:t>2.2</w:t>
                  </w:r>
                </w:p>
              </w:tc>
            </w:tr>
            <w:tr w14:paraId="2FBC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 w:type="pct"/>
                  <w:vMerge w:val="restart"/>
                  <w:noWrap w:val="0"/>
                  <w:vAlign w:val="center"/>
                </w:tcPr>
                <w:p w14:paraId="2D0930B4">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无组织</w:t>
                  </w:r>
                </w:p>
              </w:tc>
              <w:tc>
                <w:tcPr>
                  <w:tcW w:w="583" w:type="pct"/>
                  <w:shd w:val="clear" w:color="auto" w:fill="auto"/>
                  <w:noWrap w:val="0"/>
                  <w:vAlign w:val="center"/>
                </w:tcPr>
                <w:p w14:paraId="5EE83668">
                  <w:pPr>
                    <w:pStyle w:val="240"/>
                    <w:rPr>
                      <w:rFonts w:hint="default" w:ascii="Times New Roman" w:hAnsi="Times New Roman" w:eastAsia="宋体" w:cs="Times New Roman"/>
                      <w:b w:val="0"/>
                      <w:bCs w:val="0"/>
                      <w:kern w:val="2"/>
                      <w:sz w:val="21"/>
                      <w:szCs w:val="24"/>
                      <w:lang w:val="en-US" w:eastAsia="zh-CN" w:bidi="ar-SA"/>
                    </w:rPr>
                  </w:pPr>
                  <w:r>
                    <w:rPr>
                      <w:rFonts w:hint="default" w:ascii="Times New Roman" w:hAnsi="Times New Roman" w:cs="Times New Roman"/>
                      <w:b w:val="0"/>
                      <w:bCs w:val="0"/>
                      <w:lang w:val="en-US" w:eastAsia="zh-CN"/>
                    </w:rPr>
                    <w:t>挤出熔融、吹胀</w:t>
                  </w:r>
                </w:p>
              </w:tc>
              <w:tc>
                <w:tcPr>
                  <w:tcW w:w="488" w:type="pct"/>
                  <w:vMerge w:val="restart"/>
                  <w:noWrap w:val="0"/>
                  <w:vAlign w:val="center"/>
                </w:tcPr>
                <w:p w14:paraId="73BFDC9A">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非甲烷总烃</w:t>
                  </w:r>
                </w:p>
              </w:tc>
              <w:tc>
                <w:tcPr>
                  <w:tcW w:w="448" w:type="pct"/>
                  <w:noWrap w:val="0"/>
                  <w:vAlign w:val="center"/>
                </w:tcPr>
                <w:p w14:paraId="18B2BD24">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0.</w:t>
                  </w:r>
                  <w:r>
                    <w:rPr>
                      <w:rFonts w:hint="eastAsia" w:cs="Times New Roman"/>
                      <w:b w:val="0"/>
                      <w:bCs w:val="0"/>
                      <w:color w:val="auto"/>
                      <w:lang w:val="en-US" w:eastAsia="zh-CN"/>
                    </w:rPr>
                    <w:t>27</w:t>
                  </w:r>
                </w:p>
              </w:tc>
              <w:tc>
                <w:tcPr>
                  <w:tcW w:w="370" w:type="pct"/>
                  <w:noWrap w:val="0"/>
                  <w:vAlign w:val="center"/>
                </w:tcPr>
                <w:p w14:paraId="173A5B55">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w:t>
                  </w:r>
                </w:p>
              </w:tc>
              <w:tc>
                <w:tcPr>
                  <w:tcW w:w="660" w:type="pct"/>
                  <w:vMerge w:val="restart"/>
                  <w:noWrap w:val="0"/>
                  <w:vAlign w:val="center"/>
                </w:tcPr>
                <w:p w14:paraId="2350B1E2">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封闭式车间</w:t>
                  </w:r>
                </w:p>
              </w:tc>
              <w:tc>
                <w:tcPr>
                  <w:tcW w:w="289" w:type="pct"/>
                  <w:noWrap w:val="0"/>
                  <w:vAlign w:val="center"/>
                </w:tcPr>
                <w:p w14:paraId="0B8129E1">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w:t>
                  </w:r>
                </w:p>
              </w:tc>
              <w:tc>
                <w:tcPr>
                  <w:tcW w:w="461" w:type="pct"/>
                  <w:shd w:val="clear" w:color="auto" w:fill="auto"/>
                  <w:noWrap w:val="0"/>
                  <w:vAlign w:val="center"/>
                </w:tcPr>
                <w:p w14:paraId="58042FBC">
                  <w:pPr>
                    <w:pStyle w:val="240"/>
                    <w:rPr>
                      <w:rFonts w:hint="default" w:ascii="Times New Roman" w:hAnsi="Times New Roman" w:eastAsia="宋体" w:cs="Times New Roman"/>
                      <w:b w:val="0"/>
                      <w:bCs w:val="0"/>
                      <w:color w:val="auto"/>
                      <w:kern w:val="2"/>
                      <w:sz w:val="21"/>
                      <w:szCs w:val="24"/>
                      <w:lang w:val="en-US" w:eastAsia="zh-CN" w:bidi="ar-SA"/>
                    </w:rPr>
                  </w:pPr>
                  <w:r>
                    <w:rPr>
                      <w:rFonts w:hint="default" w:ascii="Times New Roman" w:hAnsi="Times New Roman" w:cs="Times New Roman"/>
                      <w:b w:val="0"/>
                      <w:bCs w:val="0"/>
                      <w:color w:val="auto"/>
                      <w:lang w:val="en-US" w:eastAsia="zh-CN"/>
                    </w:rPr>
                    <w:t>0.</w:t>
                  </w:r>
                  <w:r>
                    <w:rPr>
                      <w:rFonts w:hint="eastAsia" w:cs="Times New Roman"/>
                      <w:b w:val="0"/>
                      <w:bCs w:val="0"/>
                      <w:color w:val="auto"/>
                      <w:lang w:val="en-US" w:eastAsia="zh-CN"/>
                    </w:rPr>
                    <w:t>27</w:t>
                  </w:r>
                </w:p>
              </w:tc>
              <w:tc>
                <w:tcPr>
                  <w:tcW w:w="528" w:type="pct"/>
                  <w:noWrap w:val="0"/>
                  <w:vAlign w:val="center"/>
                </w:tcPr>
                <w:p w14:paraId="21BCA123">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0.</w:t>
                  </w:r>
                  <w:r>
                    <w:rPr>
                      <w:rFonts w:hint="eastAsia" w:cs="Times New Roman"/>
                      <w:b w:val="0"/>
                      <w:bCs w:val="0"/>
                      <w:color w:val="auto"/>
                      <w:lang w:val="en-US" w:eastAsia="zh-CN"/>
                    </w:rPr>
                    <w:t>112</w:t>
                  </w:r>
                </w:p>
              </w:tc>
              <w:tc>
                <w:tcPr>
                  <w:tcW w:w="448" w:type="pct"/>
                  <w:noWrap w:val="0"/>
                  <w:vAlign w:val="center"/>
                </w:tcPr>
                <w:p w14:paraId="6705489E">
                  <w:pPr>
                    <w:ind w:firstLine="0" w:firstLineChars="0"/>
                    <w:jc w:val="center"/>
                    <w:rPr>
                      <w:rFonts w:hint="default" w:ascii="Times New Roman" w:hAnsi="Times New Roman" w:cs="Times New Roman"/>
                      <w:b w:val="0"/>
                      <w:bCs w:val="0"/>
                    </w:rPr>
                  </w:pPr>
                  <w:r>
                    <w:rPr>
                      <w:rFonts w:hint="default" w:ascii="Times New Roman" w:hAnsi="Times New Roman" w:cs="Times New Roman"/>
                      <w:b w:val="0"/>
                      <w:bCs w:val="0"/>
                    </w:rPr>
                    <w:t>/</w:t>
                  </w:r>
                </w:p>
              </w:tc>
              <w:tc>
                <w:tcPr>
                  <w:tcW w:w="470" w:type="pct"/>
                  <w:noWrap w:val="0"/>
                  <w:vAlign w:val="center"/>
                </w:tcPr>
                <w:p w14:paraId="00084903">
                  <w:pPr>
                    <w:ind w:firstLine="0" w:firstLineChars="0"/>
                    <w:jc w:val="center"/>
                    <w:rPr>
                      <w:rFonts w:hint="default" w:ascii="Times New Roman" w:hAnsi="Times New Roman" w:cs="Times New Roman"/>
                      <w:b w:val="0"/>
                      <w:bCs w:val="0"/>
                    </w:rPr>
                  </w:pPr>
                  <w:r>
                    <w:rPr>
                      <w:rFonts w:hint="default" w:ascii="Times New Roman" w:hAnsi="Times New Roman" w:cs="Times New Roman"/>
                      <w:b w:val="0"/>
                      <w:bCs w:val="0"/>
                    </w:rPr>
                    <w:t>/</w:t>
                  </w:r>
                </w:p>
              </w:tc>
            </w:tr>
            <w:tr w14:paraId="13B29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 w:type="pct"/>
                  <w:vMerge w:val="continue"/>
                  <w:noWrap w:val="0"/>
                  <w:vAlign w:val="center"/>
                </w:tcPr>
                <w:p w14:paraId="02425CF9">
                  <w:pPr>
                    <w:pStyle w:val="240"/>
                    <w:rPr>
                      <w:rFonts w:hint="default" w:ascii="Times New Roman" w:hAnsi="Times New Roman" w:cs="Times New Roman"/>
                      <w:b w:val="0"/>
                      <w:bCs w:val="0"/>
                      <w:lang w:val="en-US" w:eastAsia="zh-CN"/>
                    </w:rPr>
                  </w:pPr>
                </w:p>
              </w:tc>
              <w:tc>
                <w:tcPr>
                  <w:tcW w:w="583" w:type="pct"/>
                  <w:shd w:val="clear" w:color="auto" w:fill="auto"/>
                  <w:noWrap w:val="0"/>
                  <w:vAlign w:val="center"/>
                </w:tcPr>
                <w:p w14:paraId="24502C9C">
                  <w:pPr>
                    <w:pStyle w:val="240"/>
                    <w:rPr>
                      <w:rFonts w:hint="default" w:ascii="Times New Roman" w:hAnsi="Times New Roman" w:eastAsia="宋体" w:cs="Times New Roman"/>
                      <w:b w:val="0"/>
                      <w:bCs w:val="0"/>
                      <w:kern w:val="2"/>
                      <w:sz w:val="21"/>
                      <w:szCs w:val="24"/>
                      <w:lang w:val="en-US" w:eastAsia="zh-CN" w:bidi="ar-SA"/>
                    </w:rPr>
                  </w:pPr>
                  <w:r>
                    <w:rPr>
                      <w:rFonts w:hint="eastAsia" w:cs="Times New Roman"/>
                      <w:b w:val="0"/>
                      <w:bCs w:val="0"/>
                      <w:lang w:val="en-US" w:eastAsia="zh-CN"/>
                    </w:rPr>
                    <w:t>挤出成型</w:t>
                  </w:r>
                </w:p>
              </w:tc>
              <w:tc>
                <w:tcPr>
                  <w:tcW w:w="488" w:type="pct"/>
                  <w:vMerge w:val="continue"/>
                  <w:noWrap w:val="0"/>
                  <w:vAlign w:val="center"/>
                </w:tcPr>
                <w:p w14:paraId="5C0FC674">
                  <w:pPr>
                    <w:pStyle w:val="240"/>
                    <w:rPr>
                      <w:rFonts w:hint="default" w:ascii="Times New Roman" w:hAnsi="Times New Roman" w:cs="Times New Roman"/>
                      <w:b w:val="0"/>
                      <w:bCs w:val="0"/>
                      <w:color w:val="auto"/>
                      <w:lang w:val="en-US" w:eastAsia="zh-CN"/>
                    </w:rPr>
                  </w:pPr>
                </w:p>
              </w:tc>
              <w:tc>
                <w:tcPr>
                  <w:tcW w:w="448" w:type="pct"/>
                  <w:noWrap w:val="0"/>
                  <w:vAlign w:val="center"/>
                </w:tcPr>
                <w:p w14:paraId="0B2D4AFD">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0.</w:t>
                  </w:r>
                  <w:r>
                    <w:rPr>
                      <w:rFonts w:hint="eastAsia" w:cs="Times New Roman"/>
                      <w:b w:val="0"/>
                      <w:bCs w:val="0"/>
                      <w:color w:val="auto"/>
                      <w:lang w:val="en-US" w:eastAsia="zh-CN"/>
                    </w:rPr>
                    <w:t>25</w:t>
                  </w:r>
                </w:p>
              </w:tc>
              <w:tc>
                <w:tcPr>
                  <w:tcW w:w="370" w:type="pct"/>
                  <w:noWrap w:val="0"/>
                  <w:vAlign w:val="center"/>
                </w:tcPr>
                <w:p w14:paraId="6CBA232B">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w:t>
                  </w:r>
                </w:p>
              </w:tc>
              <w:tc>
                <w:tcPr>
                  <w:tcW w:w="660" w:type="pct"/>
                  <w:vMerge w:val="continue"/>
                  <w:noWrap w:val="0"/>
                  <w:vAlign w:val="center"/>
                </w:tcPr>
                <w:p w14:paraId="6B177213">
                  <w:pPr>
                    <w:pStyle w:val="240"/>
                    <w:rPr>
                      <w:rFonts w:hint="default" w:ascii="Times New Roman" w:hAnsi="Times New Roman" w:cs="Times New Roman"/>
                      <w:b w:val="0"/>
                      <w:bCs w:val="0"/>
                      <w:color w:val="auto"/>
                      <w:lang w:val="en-US" w:eastAsia="zh-CN"/>
                    </w:rPr>
                  </w:pPr>
                </w:p>
              </w:tc>
              <w:tc>
                <w:tcPr>
                  <w:tcW w:w="289" w:type="pct"/>
                  <w:noWrap w:val="0"/>
                  <w:vAlign w:val="center"/>
                </w:tcPr>
                <w:p w14:paraId="0CED0F52">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w:t>
                  </w:r>
                </w:p>
              </w:tc>
              <w:tc>
                <w:tcPr>
                  <w:tcW w:w="461" w:type="pct"/>
                  <w:shd w:val="clear" w:color="auto" w:fill="auto"/>
                  <w:noWrap w:val="0"/>
                  <w:vAlign w:val="center"/>
                </w:tcPr>
                <w:p w14:paraId="721E3C1A">
                  <w:pPr>
                    <w:pStyle w:val="240"/>
                    <w:rPr>
                      <w:rFonts w:hint="default" w:ascii="Times New Roman" w:hAnsi="Times New Roman" w:eastAsia="宋体" w:cs="Times New Roman"/>
                      <w:b w:val="0"/>
                      <w:bCs w:val="0"/>
                      <w:color w:val="auto"/>
                      <w:kern w:val="2"/>
                      <w:sz w:val="21"/>
                      <w:szCs w:val="24"/>
                      <w:lang w:val="en-US" w:eastAsia="zh-CN" w:bidi="ar-SA"/>
                    </w:rPr>
                  </w:pPr>
                  <w:r>
                    <w:rPr>
                      <w:rFonts w:hint="default" w:ascii="Times New Roman" w:hAnsi="Times New Roman" w:cs="Times New Roman"/>
                      <w:b w:val="0"/>
                      <w:bCs w:val="0"/>
                      <w:color w:val="auto"/>
                      <w:lang w:val="en-US" w:eastAsia="zh-CN"/>
                    </w:rPr>
                    <w:t>0.</w:t>
                  </w:r>
                  <w:r>
                    <w:rPr>
                      <w:rFonts w:hint="eastAsia" w:cs="Times New Roman"/>
                      <w:b w:val="0"/>
                      <w:bCs w:val="0"/>
                      <w:color w:val="auto"/>
                      <w:lang w:val="en-US" w:eastAsia="zh-CN"/>
                    </w:rPr>
                    <w:t>25</w:t>
                  </w:r>
                </w:p>
              </w:tc>
              <w:tc>
                <w:tcPr>
                  <w:tcW w:w="528" w:type="pct"/>
                  <w:noWrap w:val="0"/>
                  <w:vAlign w:val="center"/>
                </w:tcPr>
                <w:p w14:paraId="0147CF8E">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0.</w:t>
                  </w:r>
                  <w:r>
                    <w:rPr>
                      <w:rFonts w:hint="eastAsia" w:cs="Times New Roman"/>
                      <w:b w:val="0"/>
                      <w:bCs w:val="0"/>
                      <w:color w:val="auto"/>
                      <w:lang w:val="en-US" w:eastAsia="zh-CN"/>
                    </w:rPr>
                    <w:t>104</w:t>
                  </w:r>
                </w:p>
              </w:tc>
              <w:tc>
                <w:tcPr>
                  <w:tcW w:w="448" w:type="pct"/>
                  <w:noWrap w:val="0"/>
                  <w:vAlign w:val="center"/>
                </w:tcPr>
                <w:p w14:paraId="190FEE27">
                  <w:pPr>
                    <w:pStyle w:val="240"/>
                    <w:rPr>
                      <w:rFonts w:hint="default" w:ascii="Times New Roman" w:hAnsi="Times New Roman" w:cs="Times New Roman"/>
                      <w:b w:val="0"/>
                      <w:bCs w:val="0"/>
                    </w:rPr>
                  </w:pPr>
                  <w:r>
                    <w:rPr>
                      <w:rFonts w:hint="default" w:ascii="Times New Roman" w:hAnsi="Times New Roman" w:cs="Times New Roman"/>
                      <w:b w:val="0"/>
                      <w:bCs w:val="0"/>
                    </w:rPr>
                    <w:t>/</w:t>
                  </w:r>
                </w:p>
              </w:tc>
              <w:tc>
                <w:tcPr>
                  <w:tcW w:w="470" w:type="pct"/>
                  <w:noWrap w:val="0"/>
                  <w:vAlign w:val="center"/>
                </w:tcPr>
                <w:p w14:paraId="694AFFA3">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rPr>
                    <w:t>/</w:t>
                  </w:r>
                </w:p>
              </w:tc>
            </w:tr>
            <w:tr w14:paraId="233C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 w:type="pct"/>
                  <w:vMerge w:val="continue"/>
                  <w:noWrap w:val="0"/>
                  <w:vAlign w:val="center"/>
                </w:tcPr>
                <w:p w14:paraId="3D599F6B">
                  <w:pPr>
                    <w:pStyle w:val="240"/>
                    <w:rPr>
                      <w:rFonts w:hint="default" w:ascii="Times New Roman" w:hAnsi="Times New Roman" w:cs="Times New Roman"/>
                      <w:b w:val="0"/>
                      <w:bCs w:val="0"/>
                      <w:lang w:val="en-US" w:eastAsia="zh-CN"/>
                    </w:rPr>
                  </w:pPr>
                </w:p>
              </w:tc>
              <w:tc>
                <w:tcPr>
                  <w:tcW w:w="583" w:type="pct"/>
                  <w:noWrap w:val="0"/>
                  <w:vAlign w:val="center"/>
                </w:tcPr>
                <w:p w14:paraId="1A4701B2">
                  <w:pPr>
                    <w:pStyle w:val="240"/>
                    <w:rPr>
                      <w:rFonts w:hint="default" w:ascii="Times New Roman" w:hAnsi="Times New Roman" w:cs="Times New Roman"/>
                      <w:b w:val="0"/>
                      <w:bCs w:val="0"/>
                      <w:lang w:val="en-US" w:eastAsia="zh-CN"/>
                    </w:rPr>
                  </w:pPr>
                  <w:r>
                    <w:rPr>
                      <w:rFonts w:hint="eastAsia" w:cs="Times New Roman"/>
                      <w:b w:val="0"/>
                      <w:bCs w:val="0"/>
                      <w:lang w:val="en-US" w:eastAsia="zh-CN"/>
                    </w:rPr>
                    <w:t>塑料包装袋加工厂房混料</w:t>
                  </w:r>
                </w:p>
              </w:tc>
              <w:tc>
                <w:tcPr>
                  <w:tcW w:w="488" w:type="pct"/>
                  <w:vMerge w:val="restart"/>
                  <w:noWrap w:val="0"/>
                  <w:vAlign w:val="center"/>
                </w:tcPr>
                <w:p w14:paraId="350EB78D">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颗粒物</w:t>
                  </w:r>
                </w:p>
              </w:tc>
              <w:tc>
                <w:tcPr>
                  <w:tcW w:w="448" w:type="pct"/>
                  <w:noWrap w:val="0"/>
                  <w:vAlign w:val="center"/>
                </w:tcPr>
                <w:p w14:paraId="40EE934B">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0.</w:t>
                  </w:r>
                  <w:r>
                    <w:rPr>
                      <w:rFonts w:hint="eastAsia" w:cs="Times New Roman"/>
                      <w:b w:val="0"/>
                      <w:bCs w:val="0"/>
                      <w:color w:val="auto"/>
                      <w:lang w:val="en-US" w:eastAsia="zh-CN"/>
                    </w:rPr>
                    <w:t>6</w:t>
                  </w:r>
                </w:p>
              </w:tc>
              <w:tc>
                <w:tcPr>
                  <w:tcW w:w="370" w:type="pct"/>
                  <w:noWrap w:val="0"/>
                  <w:vAlign w:val="center"/>
                </w:tcPr>
                <w:p w14:paraId="00930F6A">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w:t>
                  </w:r>
                </w:p>
              </w:tc>
              <w:tc>
                <w:tcPr>
                  <w:tcW w:w="660" w:type="pct"/>
                  <w:vMerge w:val="continue"/>
                  <w:noWrap w:val="0"/>
                  <w:vAlign w:val="center"/>
                </w:tcPr>
                <w:p w14:paraId="10F429B0">
                  <w:pPr>
                    <w:pStyle w:val="240"/>
                    <w:rPr>
                      <w:rFonts w:hint="default" w:ascii="Times New Roman" w:hAnsi="Times New Roman" w:cs="Times New Roman"/>
                      <w:b w:val="0"/>
                      <w:bCs w:val="0"/>
                      <w:color w:val="auto"/>
                      <w:lang w:val="en-US" w:eastAsia="zh-CN"/>
                    </w:rPr>
                  </w:pPr>
                </w:p>
              </w:tc>
              <w:tc>
                <w:tcPr>
                  <w:tcW w:w="289" w:type="pct"/>
                  <w:noWrap w:val="0"/>
                  <w:vAlign w:val="center"/>
                </w:tcPr>
                <w:p w14:paraId="7E74F9AC">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w:t>
                  </w:r>
                </w:p>
              </w:tc>
              <w:tc>
                <w:tcPr>
                  <w:tcW w:w="461" w:type="pct"/>
                  <w:noWrap w:val="0"/>
                  <w:vAlign w:val="center"/>
                </w:tcPr>
                <w:p w14:paraId="01E12CA6">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0.</w:t>
                  </w:r>
                  <w:r>
                    <w:rPr>
                      <w:rFonts w:hint="eastAsia" w:cs="Times New Roman"/>
                      <w:b w:val="0"/>
                      <w:bCs w:val="0"/>
                      <w:color w:val="auto"/>
                      <w:lang w:val="en-US" w:eastAsia="zh-CN"/>
                    </w:rPr>
                    <w:t>6</w:t>
                  </w:r>
                </w:p>
              </w:tc>
              <w:tc>
                <w:tcPr>
                  <w:tcW w:w="528" w:type="pct"/>
                  <w:noWrap w:val="0"/>
                  <w:vAlign w:val="center"/>
                </w:tcPr>
                <w:p w14:paraId="29638795">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0.</w:t>
                  </w:r>
                  <w:r>
                    <w:rPr>
                      <w:rFonts w:hint="eastAsia" w:cs="Times New Roman"/>
                      <w:b w:val="0"/>
                      <w:bCs w:val="0"/>
                      <w:color w:val="auto"/>
                      <w:lang w:val="en-US" w:eastAsia="zh-CN"/>
                    </w:rPr>
                    <w:t>25</w:t>
                  </w:r>
                </w:p>
              </w:tc>
              <w:tc>
                <w:tcPr>
                  <w:tcW w:w="448" w:type="pct"/>
                  <w:noWrap w:val="0"/>
                  <w:vAlign w:val="center"/>
                </w:tcPr>
                <w:p w14:paraId="4F2572EC">
                  <w:pPr>
                    <w:pStyle w:val="240"/>
                    <w:rPr>
                      <w:rFonts w:hint="default" w:ascii="Times New Roman" w:hAnsi="Times New Roman" w:cs="Times New Roman"/>
                      <w:b w:val="0"/>
                      <w:bCs w:val="0"/>
                    </w:rPr>
                  </w:pPr>
                  <w:r>
                    <w:rPr>
                      <w:rFonts w:hint="default" w:ascii="Times New Roman" w:hAnsi="Times New Roman" w:cs="Times New Roman"/>
                      <w:b w:val="0"/>
                      <w:bCs w:val="0"/>
                    </w:rPr>
                    <w:t>/</w:t>
                  </w:r>
                </w:p>
              </w:tc>
              <w:tc>
                <w:tcPr>
                  <w:tcW w:w="470" w:type="pct"/>
                  <w:noWrap w:val="0"/>
                  <w:vAlign w:val="center"/>
                </w:tcPr>
                <w:p w14:paraId="52E53F0F">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w:t>
                  </w:r>
                </w:p>
              </w:tc>
            </w:tr>
            <w:tr w14:paraId="471C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50" w:type="pct"/>
                  <w:vMerge w:val="continue"/>
                  <w:noWrap w:val="0"/>
                  <w:vAlign w:val="center"/>
                </w:tcPr>
                <w:p w14:paraId="5ABFC606">
                  <w:pPr>
                    <w:pStyle w:val="240"/>
                    <w:rPr>
                      <w:rFonts w:hint="default" w:ascii="Times New Roman" w:hAnsi="Times New Roman" w:cs="Times New Roman"/>
                      <w:b w:val="0"/>
                      <w:bCs w:val="0"/>
                      <w:lang w:val="en-US" w:eastAsia="zh-CN"/>
                    </w:rPr>
                  </w:pPr>
                </w:p>
              </w:tc>
              <w:tc>
                <w:tcPr>
                  <w:tcW w:w="583" w:type="pct"/>
                  <w:noWrap w:val="0"/>
                  <w:vAlign w:val="center"/>
                </w:tcPr>
                <w:p w14:paraId="3E0720A0">
                  <w:pPr>
                    <w:pStyle w:val="240"/>
                    <w:rPr>
                      <w:rFonts w:hint="default" w:ascii="Times New Roman" w:hAnsi="Times New Roman" w:cs="Times New Roman"/>
                      <w:b w:val="0"/>
                      <w:bCs w:val="0"/>
                      <w:lang w:val="en-US" w:eastAsia="zh-CN"/>
                    </w:rPr>
                  </w:pPr>
                  <w:r>
                    <w:rPr>
                      <w:rFonts w:hint="eastAsia" w:cs="Times New Roman"/>
                      <w:b w:val="0"/>
                      <w:bCs w:val="0"/>
                      <w:lang w:val="en-US" w:eastAsia="zh-CN"/>
                    </w:rPr>
                    <w:t>农用贴片滴灌带加工厂房混料</w:t>
                  </w:r>
                </w:p>
              </w:tc>
              <w:tc>
                <w:tcPr>
                  <w:tcW w:w="488" w:type="pct"/>
                  <w:vMerge w:val="continue"/>
                  <w:noWrap w:val="0"/>
                  <w:vAlign w:val="center"/>
                </w:tcPr>
                <w:p w14:paraId="0D0D9253">
                  <w:pPr>
                    <w:pStyle w:val="240"/>
                    <w:rPr>
                      <w:rFonts w:hint="default" w:ascii="Times New Roman" w:hAnsi="Times New Roman" w:cs="Times New Roman"/>
                      <w:b w:val="0"/>
                      <w:bCs w:val="0"/>
                      <w:color w:val="auto"/>
                      <w:lang w:val="en-US" w:eastAsia="zh-CN"/>
                    </w:rPr>
                  </w:pPr>
                </w:p>
              </w:tc>
              <w:tc>
                <w:tcPr>
                  <w:tcW w:w="448" w:type="pct"/>
                  <w:noWrap w:val="0"/>
                  <w:vAlign w:val="center"/>
                </w:tcPr>
                <w:p w14:paraId="02F77533">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0.</w:t>
                  </w:r>
                  <w:r>
                    <w:rPr>
                      <w:rFonts w:hint="eastAsia" w:cs="Times New Roman"/>
                      <w:b w:val="0"/>
                      <w:bCs w:val="0"/>
                      <w:color w:val="auto"/>
                      <w:lang w:val="en-US" w:eastAsia="zh-CN"/>
                    </w:rPr>
                    <w:t>6</w:t>
                  </w:r>
                </w:p>
              </w:tc>
              <w:tc>
                <w:tcPr>
                  <w:tcW w:w="370" w:type="pct"/>
                  <w:noWrap w:val="0"/>
                  <w:vAlign w:val="center"/>
                </w:tcPr>
                <w:p w14:paraId="289DC78D">
                  <w:pPr>
                    <w:pStyle w:val="240"/>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w:t>
                  </w:r>
                </w:p>
              </w:tc>
              <w:tc>
                <w:tcPr>
                  <w:tcW w:w="660" w:type="pct"/>
                  <w:vMerge w:val="continue"/>
                  <w:noWrap w:val="0"/>
                  <w:vAlign w:val="center"/>
                </w:tcPr>
                <w:p w14:paraId="416511D2">
                  <w:pPr>
                    <w:pStyle w:val="240"/>
                    <w:rPr>
                      <w:rFonts w:hint="default" w:ascii="Times New Roman" w:hAnsi="Times New Roman" w:cs="Times New Roman"/>
                      <w:b w:val="0"/>
                      <w:bCs w:val="0"/>
                      <w:color w:val="auto"/>
                      <w:lang w:val="en-US" w:eastAsia="zh-CN"/>
                    </w:rPr>
                  </w:pPr>
                </w:p>
              </w:tc>
              <w:tc>
                <w:tcPr>
                  <w:tcW w:w="289" w:type="pct"/>
                  <w:noWrap w:val="0"/>
                  <w:vAlign w:val="center"/>
                </w:tcPr>
                <w:p w14:paraId="44C27D38">
                  <w:pPr>
                    <w:pStyle w:val="240"/>
                    <w:rPr>
                      <w:rFonts w:hint="default" w:ascii="Times New Roman" w:hAnsi="Times New Roman" w:cs="Times New Roman"/>
                      <w:b w:val="0"/>
                      <w:bCs w:val="0"/>
                      <w:color w:val="auto"/>
                      <w:lang w:val="en-US" w:eastAsia="zh-CN"/>
                    </w:rPr>
                  </w:pPr>
                  <w:r>
                    <w:rPr>
                      <w:rFonts w:hint="eastAsia" w:cs="Times New Roman"/>
                      <w:b w:val="0"/>
                      <w:bCs w:val="0"/>
                      <w:color w:val="auto"/>
                      <w:lang w:val="en-US" w:eastAsia="zh-CN"/>
                    </w:rPr>
                    <w:t>/</w:t>
                  </w:r>
                </w:p>
              </w:tc>
              <w:tc>
                <w:tcPr>
                  <w:tcW w:w="461" w:type="pct"/>
                  <w:shd w:val="clear" w:color="auto" w:fill="auto"/>
                  <w:noWrap w:val="0"/>
                  <w:vAlign w:val="center"/>
                </w:tcPr>
                <w:p w14:paraId="2A9B1531">
                  <w:pPr>
                    <w:pStyle w:val="240"/>
                    <w:rPr>
                      <w:rFonts w:hint="default" w:ascii="Times New Roman" w:hAnsi="Times New Roman" w:eastAsia="宋体" w:cs="Times New Roman"/>
                      <w:b w:val="0"/>
                      <w:bCs w:val="0"/>
                      <w:color w:val="auto"/>
                      <w:kern w:val="2"/>
                      <w:sz w:val="21"/>
                      <w:szCs w:val="24"/>
                      <w:lang w:val="en-US" w:eastAsia="zh-CN" w:bidi="ar-SA"/>
                    </w:rPr>
                  </w:pPr>
                  <w:r>
                    <w:rPr>
                      <w:rFonts w:hint="default" w:ascii="Times New Roman" w:hAnsi="Times New Roman" w:cs="Times New Roman"/>
                      <w:b w:val="0"/>
                      <w:bCs w:val="0"/>
                      <w:color w:val="auto"/>
                      <w:lang w:val="en-US" w:eastAsia="zh-CN"/>
                    </w:rPr>
                    <w:t>0.</w:t>
                  </w:r>
                  <w:r>
                    <w:rPr>
                      <w:rFonts w:hint="eastAsia" w:cs="Times New Roman"/>
                      <w:b w:val="0"/>
                      <w:bCs w:val="0"/>
                      <w:color w:val="auto"/>
                      <w:lang w:val="en-US" w:eastAsia="zh-CN"/>
                    </w:rPr>
                    <w:t>6</w:t>
                  </w:r>
                </w:p>
              </w:tc>
              <w:tc>
                <w:tcPr>
                  <w:tcW w:w="528" w:type="pct"/>
                  <w:shd w:val="clear" w:color="auto" w:fill="auto"/>
                  <w:noWrap w:val="0"/>
                  <w:vAlign w:val="center"/>
                </w:tcPr>
                <w:p w14:paraId="26920BD8">
                  <w:pPr>
                    <w:pStyle w:val="240"/>
                    <w:rPr>
                      <w:rFonts w:hint="default" w:ascii="Times New Roman" w:hAnsi="Times New Roman" w:eastAsia="宋体" w:cs="Times New Roman"/>
                      <w:b w:val="0"/>
                      <w:bCs w:val="0"/>
                      <w:color w:val="auto"/>
                      <w:kern w:val="2"/>
                      <w:sz w:val="21"/>
                      <w:szCs w:val="24"/>
                      <w:lang w:val="en-US" w:eastAsia="zh-CN" w:bidi="ar-SA"/>
                    </w:rPr>
                  </w:pPr>
                  <w:r>
                    <w:rPr>
                      <w:rFonts w:hint="default" w:ascii="Times New Roman" w:hAnsi="Times New Roman" w:cs="Times New Roman"/>
                      <w:b w:val="0"/>
                      <w:bCs w:val="0"/>
                      <w:color w:val="auto"/>
                      <w:lang w:val="en-US" w:eastAsia="zh-CN"/>
                    </w:rPr>
                    <w:t>0.</w:t>
                  </w:r>
                  <w:r>
                    <w:rPr>
                      <w:rFonts w:hint="eastAsia" w:cs="Times New Roman"/>
                      <w:b w:val="0"/>
                      <w:bCs w:val="0"/>
                      <w:color w:val="auto"/>
                      <w:lang w:val="en-US" w:eastAsia="zh-CN"/>
                    </w:rPr>
                    <w:t>25</w:t>
                  </w:r>
                </w:p>
              </w:tc>
              <w:tc>
                <w:tcPr>
                  <w:tcW w:w="448" w:type="pct"/>
                  <w:noWrap w:val="0"/>
                  <w:vAlign w:val="center"/>
                </w:tcPr>
                <w:p w14:paraId="02FEDFCC">
                  <w:pPr>
                    <w:pStyle w:val="240"/>
                    <w:rPr>
                      <w:rFonts w:hint="default" w:ascii="Times New Roman" w:hAnsi="Times New Roman" w:cs="Times New Roman"/>
                      <w:b w:val="0"/>
                      <w:bCs w:val="0"/>
                    </w:rPr>
                  </w:pPr>
                  <w:r>
                    <w:rPr>
                      <w:rFonts w:hint="default" w:ascii="Times New Roman" w:hAnsi="Times New Roman" w:cs="Times New Roman"/>
                      <w:b w:val="0"/>
                      <w:bCs w:val="0"/>
                    </w:rPr>
                    <w:t>/</w:t>
                  </w:r>
                </w:p>
              </w:tc>
              <w:tc>
                <w:tcPr>
                  <w:tcW w:w="470" w:type="pct"/>
                  <w:noWrap w:val="0"/>
                  <w:vAlign w:val="center"/>
                </w:tcPr>
                <w:p w14:paraId="0C600D50">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w:t>
                  </w:r>
                </w:p>
              </w:tc>
            </w:tr>
            <w:tr w14:paraId="2F068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50" w:type="pct"/>
                  <w:vMerge w:val="continue"/>
                  <w:noWrap w:val="0"/>
                  <w:vAlign w:val="center"/>
                </w:tcPr>
                <w:p w14:paraId="60C109BA">
                  <w:pPr>
                    <w:pStyle w:val="240"/>
                    <w:rPr>
                      <w:rFonts w:hint="default" w:ascii="Times New Roman" w:hAnsi="Times New Roman" w:cs="Times New Roman"/>
                      <w:b w:val="0"/>
                      <w:bCs w:val="0"/>
                      <w:lang w:val="en-US" w:eastAsia="zh-CN"/>
                    </w:rPr>
                  </w:pPr>
                </w:p>
              </w:tc>
              <w:tc>
                <w:tcPr>
                  <w:tcW w:w="583" w:type="pct"/>
                  <w:shd w:val="clear" w:color="auto" w:fill="auto"/>
                  <w:noWrap w:val="0"/>
                  <w:vAlign w:val="center"/>
                </w:tcPr>
                <w:p w14:paraId="0B1C950C">
                  <w:pPr>
                    <w:pStyle w:val="240"/>
                    <w:rPr>
                      <w:rFonts w:hint="default" w:ascii="Times New Roman" w:hAnsi="Times New Roman" w:eastAsia="宋体" w:cs="Times New Roman"/>
                      <w:b w:val="0"/>
                      <w:bCs w:val="0"/>
                      <w:kern w:val="2"/>
                      <w:sz w:val="21"/>
                      <w:szCs w:val="24"/>
                      <w:lang w:val="en-US" w:eastAsia="zh-CN" w:bidi="ar-SA"/>
                    </w:rPr>
                  </w:pPr>
                  <w:r>
                    <w:rPr>
                      <w:rFonts w:hint="default" w:ascii="Times New Roman" w:hAnsi="Times New Roman" w:cs="Times New Roman"/>
                      <w:b w:val="0"/>
                      <w:bCs w:val="0"/>
                      <w:lang w:val="en-US" w:eastAsia="zh-CN"/>
                    </w:rPr>
                    <w:t>印刷</w:t>
                  </w:r>
                </w:p>
              </w:tc>
              <w:tc>
                <w:tcPr>
                  <w:tcW w:w="488" w:type="pct"/>
                  <w:shd w:val="clear" w:color="auto" w:fill="auto"/>
                  <w:noWrap w:val="0"/>
                  <w:vAlign w:val="center"/>
                </w:tcPr>
                <w:p w14:paraId="49B60336">
                  <w:pPr>
                    <w:pStyle w:val="240"/>
                    <w:rPr>
                      <w:rFonts w:hint="default" w:ascii="Times New Roman" w:hAnsi="Times New Roman" w:eastAsia="宋体" w:cs="Times New Roman"/>
                      <w:b w:val="0"/>
                      <w:bCs w:val="0"/>
                      <w:color w:val="auto"/>
                      <w:kern w:val="2"/>
                      <w:sz w:val="21"/>
                      <w:szCs w:val="24"/>
                      <w:lang w:val="en-US" w:eastAsia="zh-CN" w:bidi="ar-SA"/>
                    </w:rPr>
                  </w:pPr>
                  <w:r>
                    <w:rPr>
                      <w:rFonts w:hint="eastAsia" w:cs="Times New Roman"/>
                      <w:b w:val="0"/>
                      <w:bCs w:val="0"/>
                      <w:color w:val="auto"/>
                      <w:lang w:val="en-US" w:eastAsia="zh-CN"/>
                    </w:rPr>
                    <w:t>非甲烷总烃</w:t>
                  </w:r>
                </w:p>
              </w:tc>
              <w:tc>
                <w:tcPr>
                  <w:tcW w:w="448" w:type="pct"/>
                  <w:shd w:val="clear" w:color="auto" w:fill="auto"/>
                  <w:noWrap w:val="0"/>
                  <w:vAlign w:val="center"/>
                </w:tcPr>
                <w:p w14:paraId="43941290">
                  <w:pPr>
                    <w:pStyle w:val="240"/>
                    <w:rPr>
                      <w:rFonts w:hint="default" w:ascii="Times New Roman" w:hAnsi="Times New Roman" w:eastAsia="宋体" w:cs="Times New Roman"/>
                      <w:b w:val="0"/>
                      <w:bCs w:val="0"/>
                      <w:color w:val="auto"/>
                      <w:kern w:val="2"/>
                      <w:sz w:val="21"/>
                      <w:szCs w:val="24"/>
                      <w:lang w:val="en-US" w:eastAsia="zh-CN" w:bidi="ar-SA"/>
                    </w:rPr>
                  </w:pPr>
                  <w:r>
                    <w:rPr>
                      <w:rFonts w:hint="default" w:ascii="Times New Roman" w:hAnsi="Times New Roman" w:cs="Times New Roman"/>
                      <w:b w:val="0"/>
                      <w:bCs w:val="0"/>
                      <w:color w:val="auto"/>
                      <w:lang w:val="en-US" w:eastAsia="zh-CN"/>
                    </w:rPr>
                    <w:t>0.0</w:t>
                  </w:r>
                  <w:r>
                    <w:rPr>
                      <w:rFonts w:hint="eastAsia" w:cs="Times New Roman"/>
                      <w:b w:val="0"/>
                      <w:bCs w:val="0"/>
                      <w:color w:val="auto"/>
                      <w:lang w:val="en-US" w:eastAsia="zh-CN"/>
                    </w:rPr>
                    <w:t>39</w:t>
                  </w:r>
                </w:p>
              </w:tc>
              <w:tc>
                <w:tcPr>
                  <w:tcW w:w="370" w:type="pct"/>
                  <w:shd w:val="clear" w:color="auto" w:fill="auto"/>
                  <w:noWrap w:val="0"/>
                  <w:vAlign w:val="center"/>
                </w:tcPr>
                <w:p w14:paraId="5EA7B146">
                  <w:pPr>
                    <w:pStyle w:val="240"/>
                    <w:rPr>
                      <w:rFonts w:hint="default" w:ascii="Times New Roman" w:hAnsi="Times New Roman" w:eastAsia="宋体" w:cs="Times New Roman"/>
                      <w:b w:val="0"/>
                      <w:bCs w:val="0"/>
                      <w:color w:val="auto"/>
                      <w:kern w:val="2"/>
                      <w:sz w:val="21"/>
                      <w:szCs w:val="24"/>
                      <w:lang w:val="en-US" w:eastAsia="zh-CN" w:bidi="ar-SA"/>
                    </w:rPr>
                  </w:pPr>
                  <w:r>
                    <w:rPr>
                      <w:rFonts w:hint="default" w:ascii="Times New Roman" w:hAnsi="Times New Roman" w:cs="Times New Roman"/>
                      <w:b w:val="0"/>
                      <w:bCs w:val="0"/>
                      <w:color w:val="auto"/>
                      <w:lang w:val="en-US" w:eastAsia="zh-CN"/>
                    </w:rPr>
                    <w:t>/</w:t>
                  </w:r>
                </w:p>
              </w:tc>
              <w:tc>
                <w:tcPr>
                  <w:tcW w:w="660" w:type="pct"/>
                  <w:vMerge w:val="continue"/>
                  <w:shd w:val="clear" w:color="auto" w:fill="auto"/>
                  <w:noWrap w:val="0"/>
                  <w:vAlign w:val="center"/>
                </w:tcPr>
                <w:p w14:paraId="27B6980A">
                  <w:pPr>
                    <w:pStyle w:val="240"/>
                    <w:rPr>
                      <w:rFonts w:hint="default" w:ascii="Times New Roman" w:hAnsi="Times New Roman" w:eastAsia="宋体" w:cs="Times New Roman"/>
                      <w:b w:val="0"/>
                      <w:bCs w:val="0"/>
                      <w:color w:val="auto"/>
                      <w:kern w:val="2"/>
                      <w:sz w:val="21"/>
                      <w:szCs w:val="24"/>
                      <w:lang w:val="en-US" w:eastAsia="zh-CN" w:bidi="ar-SA"/>
                    </w:rPr>
                  </w:pPr>
                </w:p>
              </w:tc>
              <w:tc>
                <w:tcPr>
                  <w:tcW w:w="289" w:type="pct"/>
                  <w:shd w:val="clear" w:color="auto" w:fill="auto"/>
                  <w:noWrap w:val="0"/>
                  <w:vAlign w:val="center"/>
                </w:tcPr>
                <w:p w14:paraId="609D11F1">
                  <w:pPr>
                    <w:pStyle w:val="240"/>
                    <w:rPr>
                      <w:rFonts w:hint="default" w:ascii="Times New Roman" w:hAnsi="Times New Roman" w:eastAsia="宋体" w:cs="Times New Roman"/>
                      <w:b w:val="0"/>
                      <w:bCs w:val="0"/>
                      <w:color w:val="auto"/>
                      <w:kern w:val="2"/>
                      <w:sz w:val="21"/>
                      <w:szCs w:val="24"/>
                      <w:lang w:val="en-US" w:eastAsia="zh-CN" w:bidi="ar-SA"/>
                    </w:rPr>
                  </w:pPr>
                  <w:r>
                    <w:rPr>
                      <w:rFonts w:hint="default" w:ascii="Times New Roman" w:hAnsi="Times New Roman" w:cs="Times New Roman"/>
                      <w:b w:val="0"/>
                      <w:bCs w:val="0"/>
                      <w:color w:val="auto"/>
                      <w:lang w:val="en-US" w:eastAsia="zh-CN"/>
                    </w:rPr>
                    <w:t>/</w:t>
                  </w:r>
                </w:p>
              </w:tc>
              <w:tc>
                <w:tcPr>
                  <w:tcW w:w="461" w:type="pct"/>
                  <w:shd w:val="clear" w:color="auto" w:fill="auto"/>
                  <w:noWrap w:val="0"/>
                  <w:vAlign w:val="center"/>
                </w:tcPr>
                <w:p w14:paraId="1A492CC5">
                  <w:pPr>
                    <w:pStyle w:val="240"/>
                    <w:rPr>
                      <w:rFonts w:hint="default" w:ascii="Times New Roman" w:hAnsi="Times New Roman" w:eastAsia="宋体" w:cs="Times New Roman"/>
                      <w:b w:val="0"/>
                      <w:bCs w:val="0"/>
                      <w:color w:val="auto"/>
                      <w:kern w:val="2"/>
                      <w:sz w:val="21"/>
                      <w:szCs w:val="24"/>
                      <w:lang w:val="en-US" w:eastAsia="zh-CN" w:bidi="ar-SA"/>
                    </w:rPr>
                  </w:pPr>
                  <w:r>
                    <w:rPr>
                      <w:rFonts w:hint="default" w:ascii="Times New Roman" w:hAnsi="Times New Roman" w:cs="Times New Roman"/>
                      <w:b w:val="0"/>
                      <w:bCs w:val="0"/>
                      <w:color w:val="auto"/>
                      <w:lang w:val="en-US" w:eastAsia="zh-CN"/>
                    </w:rPr>
                    <w:t>0.0</w:t>
                  </w:r>
                  <w:r>
                    <w:rPr>
                      <w:rFonts w:hint="eastAsia" w:cs="Times New Roman"/>
                      <w:b w:val="0"/>
                      <w:bCs w:val="0"/>
                      <w:color w:val="auto"/>
                      <w:lang w:val="en-US" w:eastAsia="zh-CN"/>
                    </w:rPr>
                    <w:t>39</w:t>
                  </w:r>
                </w:p>
              </w:tc>
              <w:tc>
                <w:tcPr>
                  <w:tcW w:w="528" w:type="pct"/>
                  <w:shd w:val="clear" w:color="auto" w:fill="auto"/>
                  <w:noWrap w:val="0"/>
                  <w:vAlign w:val="center"/>
                </w:tcPr>
                <w:p w14:paraId="684FDD89">
                  <w:pPr>
                    <w:pStyle w:val="240"/>
                    <w:rPr>
                      <w:rFonts w:hint="default" w:ascii="Times New Roman" w:hAnsi="Times New Roman" w:eastAsia="宋体" w:cs="Times New Roman"/>
                      <w:b w:val="0"/>
                      <w:bCs w:val="0"/>
                      <w:color w:val="auto"/>
                      <w:kern w:val="2"/>
                      <w:sz w:val="21"/>
                      <w:szCs w:val="24"/>
                      <w:lang w:val="en-US" w:eastAsia="zh-CN" w:bidi="ar-SA"/>
                    </w:rPr>
                  </w:pPr>
                  <w:r>
                    <w:rPr>
                      <w:rFonts w:hint="default" w:ascii="Times New Roman" w:hAnsi="Times New Roman" w:cs="Times New Roman"/>
                      <w:b w:val="0"/>
                      <w:bCs w:val="0"/>
                      <w:color w:val="auto"/>
                      <w:lang w:val="en-US" w:eastAsia="zh-CN"/>
                    </w:rPr>
                    <w:t>0.0</w:t>
                  </w:r>
                  <w:r>
                    <w:rPr>
                      <w:rFonts w:hint="eastAsia" w:cs="Times New Roman"/>
                      <w:b w:val="0"/>
                      <w:bCs w:val="0"/>
                      <w:color w:val="auto"/>
                      <w:lang w:val="en-US" w:eastAsia="zh-CN"/>
                    </w:rPr>
                    <w:t>16</w:t>
                  </w:r>
                </w:p>
              </w:tc>
              <w:tc>
                <w:tcPr>
                  <w:tcW w:w="448" w:type="pct"/>
                  <w:noWrap w:val="0"/>
                  <w:vAlign w:val="center"/>
                </w:tcPr>
                <w:p w14:paraId="25371D87">
                  <w:pPr>
                    <w:pStyle w:val="240"/>
                    <w:rPr>
                      <w:rFonts w:hint="default" w:ascii="Times New Roman" w:hAnsi="Times New Roman" w:cs="Times New Roman"/>
                      <w:b w:val="0"/>
                      <w:bCs w:val="0"/>
                    </w:rPr>
                  </w:pPr>
                  <w:r>
                    <w:rPr>
                      <w:rFonts w:hint="default" w:ascii="Times New Roman" w:hAnsi="Times New Roman" w:cs="Times New Roman"/>
                      <w:b w:val="0"/>
                      <w:bCs w:val="0"/>
                    </w:rPr>
                    <w:t>/</w:t>
                  </w:r>
                </w:p>
              </w:tc>
              <w:tc>
                <w:tcPr>
                  <w:tcW w:w="470" w:type="pct"/>
                  <w:noWrap w:val="0"/>
                  <w:vAlign w:val="center"/>
                </w:tcPr>
                <w:p w14:paraId="6974A9A4">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w:t>
                  </w:r>
                </w:p>
              </w:tc>
            </w:tr>
          </w:tbl>
          <w:p w14:paraId="4CC7D687">
            <w:pPr>
              <w:spacing w:line="500" w:lineRule="exact"/>
              <w:jc w:val="center"/>
              <w:rPr>
                <w:rFonts w:eastAsiaTheme="minorEastAsia"/>
                <w:b/>
                <w:color w:val="auto"/>
                <w:szCs w:val="21"/>
                <w:highlight w:val="none"/>
              </w:rPr>
            </w:pPr>
            <w:r>
              <w:rPr>
                <w:rFonts w:hAnsiTheme="minorEastAsia" w:eastAsiaTheme="minorEastAsia"/>
                <w:b/>
                <w:color w:val="auto"/>
                <w:szCs w:val="21"/>
                <w:highlight w:val="none"/>
              </w:rPr>
              <w:t>表</w:t>
            </w:r>
            <w:r>
              <w:rPr>
                <w:rFonts w:hint="eastAsia" w:hAnsiTheme="minorEastAsia" w:eastAsiaTheme="minorEastAsia"/>
                <w:b/>
                <w:color w:val="auto"/>
                <w:szCs w:val="21"/>
                <w:highlight w:val="none"/>
                <w:lang w:val="en-US" w:eastAsia="zh-CN"/>
              </w:rPr>
              <w:t>4-4</w:t>
            </w:r>
            <w:r>
              <w:rPr>
                <w:b/>
                <w:bCs/>
                <w:color w:val="auto"/>
                <w:szCs w:val="21"/>
                <w:highlight w:val="none"/>
              </w:rPr>
              <w:t xml:space="preserve">        </w:t>
            </w:r>
            <w:r>
              <w:rPr>
                <w:rFonts w:hAnsiTheme="minorEastAsia" w:eastAsiaTheme="minorEastAsia"/>
                <w:b/>
                <w:color w:val="auto"/>
                <w:szCs w:val="21"/>
                <w:highlight w:val="none"/>
              </w:rPr>
              <w:t>有组织废气排放口排放情况表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097"/>
              <w:gridCol w:w="1290"/>
              <w:gridCol w:w="1238"/>
              <w:gridCol w:w="765"/>
              <w:gridCol w:w="637"/>
              <w:gridCol w:w="615"/>
              <w:gridCol w:w="683"/>
              <w:gridCol w:w="592"/>
              <w:gridCol w:w="594"/>
            </w:tblGrid>
            <w:tr w14:paraId="1F8B2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Merge w:val="restart"/>
                  <w:vAlign w:val="center"/>
                </w:tcPr>
                <w:p w14:paraId="4DB02766">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编号</w:t>
                  </w:r>
                </w:p>
              </w:tc>
              <w:tc>
                <w:tcPr>
                  <w:tcW w:w="660" w:type="pct"/>
                  <w:vMerge w:val="restart"/>
                  <w:vAlign w:val="center"/>
                </w:tcPr>
                <w:p w14:paraId="3CB410DF">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名称</w:t>
                  </w:r>
                </w:p>
              </w:tc>
              <w:tc>
                <w:tcPr>
                  <w:tcW w:w="1522" w:type="pct"/>
                  <w:gridSpan w:val="2"/>
                  <w:vAlign w:val="center"/>
                </w:tcPr>
                <w:p w14:paraId="3F9110C8">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排气筒底部</w:t>
                  </w:r>
                </w:p>
                <w:p w14:paraId="0202E8DF">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中心坐标</w:t>
                  </w:r>
                </w:p>
              </w:tc>
              <w:tc>
                <w:tcPr>
                  <w:tcW w:w="460" w:type="pct"/>
                  <w:vMerge w:val="restart"/>
                  <w:vAlign w:val="center"/>
                </w:tcPr>
                <w:p w14:paraId="3BFCDF10">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排气筒底部海拔高度</w:t>
                  </w:r>
                  <w:r>
                    <w:rPr>
                      <w:rFonts w:ascii="Times New Roman" w:hAnsi="Times New Roman" w:eastAsiaTheme="minorEastAsia"/>
                      <w:b/>
                      <w:color w:val="auto"/>
                      <w:sz w:val="21"/>
                      <w:szCs w:val="21"/>
                      <w:highlight w:val="none"/>
                    </w:rPr>
                    <w:t>/m</w:t>
                  </w:r>
                </w:p>
              </w:tc>
              <w:tc>
                <w:tcPr>
                  <w:tcW w:w="383" w:type="pct"/>
                  <w:vMerge w:val="restart"/>
                  <w:vAlign w:val="center"/>
                </w:tcPr>
                <w:p w14:paraId="2846D8A7">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排气筒高度</w:t>
                  </w:r>
                  <w:r>
                    <w:rPr>
                      <w:rFonts w:ascii="Times New Roman" w:hAnsi="Times New Roman" w:eastAsiaTheme="minorEastAsia"/>
                      <w:b/>
                      <w:color w:val="auto"/>
                      <w:sz w:val="21"/>
                      <w:szCs w:val="21"/>
                      <w:highlight w:val="none"/>
                    </w:rPr>
                    <w:t>/m</w:t>
                  </w:r>
                </w:p>
              </w:tc>
              <w:tc>
                <w:tcPr>
                  <w:tcW w:w="370" w:type="pct"/>
                  <w:vMerge w:val="restart"/>
                  <w:vAlign w:val="center"/>
                </w:tcPr>
                <w:p w14:paraId="70FA6287">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排气筒内径</w:t>
                  </w:r>
                  <w:r>
                    <w:rPr>
                      <w:rFonts w:ascii="Times New Roman" w:hAnsi="Times New Roman" w:eastAsiaTheme="minorEastAsia"/>
                      <w:b/>
                      <w:color w:val="auto"/>
                      <w:sz w:val="21"/>
                      <w:szCs w:val="21"/>
                      <w:highlight w:val="none"/>
                    </w:rPr>
                    <w:t>/m</w:t>
                  </w:r>
                </w:p>
              </w:tc>
              <w:tc>
                <w:tcPr>
                  <w:tcW w:w="411" w:type="pct"/>
                  <w:vMerge w:val="restart"/>
                  <w:vAlign w:val="center"/>
                </w:tcPr>
                <w:p w14:paraId="32048F20">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烟气温度</w:t>
                  </w:r>
                  <w:r>
                    <w:rPr>
                      <w:rFonts w:ascii="Times New Roman" w:hAnsi="Times New Roman" w:eastAsiaTheme="minorEastAsia"/>
                      <w:b/>
                      <w:color w:val="auto"/>
                      <w:sz w:val="21"/>
                      <w:szCs w:val="21"/>
                      <w:highlight w:val="none"/>
                    </w:rPr>
                    <w:t>/</w:t>
                  </w:r>
                  <w:r>
                    <w:rPr>
                      <w:rFonts w:ascii="Times New Roman" w:hAnsiTheme="minorEastAsia" w:eastAsiaTheme="minorEastAsia"/>
                      <w:b/>
                      <w:color w:val="auto"/>
                      <w:sz w:val="21"/>
                      <w:szCs w:val="21"/>
                      <w:highlight w:val="none"/>
                    </w:rPr>
                    <w:t>℃</w:t>
                  </w:r>
                </w:p>
              </w:tc>
              <w:tc>
                <w:tcPr>
                  <w:tcW w:w="356" w:type="pct"/>
                  <w:vMerge w:val="restart"/>
                  <w:shd w:val="clear" w:color="auto" w:fill="auto"/>
                  <w:vAlign w:val="center"/>
                </w:tcPr>
                <w:p w14:paraId="41E39637">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年排放小时数</w:t>
                  </w:r>
                  <w:r>
                    <w:rPr>
                      <w:rFonts w:ascii="Times New Roman" w:hAnsi="Times New Roman" w:eastAsiaTheme="minorEastAsia"/>
                      <w:b/>
                      <w:color w:val="auto"/>
                      <w:sz w:val="21"/>
                      <w:szCs w:val="21"/>
                      <w:highlight w:val="none"/>
                    </w:rPr>
                    <w:t>/h</w:t>
                  </w:r>
                </w:p>
              </w:tc>
              <w:tc>
                <w:tcPr>
                  <w:tcW w:w="357" w:type="pct"/>
                  <w:vMerge w:val="restart"/>
                  <w:shd w:val="clear" w:color="auto" w:fill="auto"/>
                  <w:vAlign w:val="center"/>
                </w:tcPr>
                <w:p w14:paraId="52E6D006">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排放工况</w:t>
                  </w:r>
                </w:p>
              </w:tc>
            </w:tr>
            <w:tr w14:paraId="5847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Merge w:val="continue"/>
                  <w:vAlign w:val="center"/>
                </w:tcPr>
                <w:p w14:paraId="761E4E0D">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p>
              </w:tc>
              <w:tc>
                <w:tcPr>
                  <w:tcW w:w="660" w:type="pct"/>
                  <w:vMerge w:val="continue"/>
                  <w:vAlign w:val="center"/>
                </w:tcPr>
                <w:p w14:paraId="63220B9B">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p>
              </w:tc>
              <w:tc>
                <w:tcPr>
                  <w:tcW w:w="777" w:type="pct"/>
                  <w:vAlign w:val="center"/>
                </w:tcPr>
                <w:p w14:paraId="4AF3EB4F">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经度</w:t>
                  </w:r>
                </w:p>
              </w:tc>
              <w:tc>
                <w:tcPr>
                  <w:tcW w:w="745" w:type="pct"/>
                  <w:vAlign w:val="center"/>
                </w:tcPr>
                <w:p w14:paraId="10BC9ABF">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纬度</w:t>
                  </w:r>
                </w:p>
              </w:tc>
              <w:tc>
                <w:tcPr>
                  <w:tcW w:w="460" w:type="pct"/>
                  <w:vMerge w:val="continue"/>
                  <w:vAlign w:val="center"/>
                </w:tcPr>
                <w:p w14:paraId="67276A6A">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p>
              </w:tc>
              <w:tc>
                <w:tcPr>
                  <w:tcW w:w="383" w:type="pct"/>
                  <w:vMerge w:val="continue"/>
                  <w:vAlign w:val="center"/>
                </w:tcPr>
                <w:p w14:paraId="4C70CD64">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p>
              </w:tc>
              <w:tc>
                <w:tcPr>
                  <w:tcW w:w="370" w:type="pct"/>
                  <w:vMerge w:val="continue"/>
                  <w:vAlign w:val="center"/>
                </w:tcPr>
                <w:p w14:paraId="66E1D2CB">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p>
              </w:tc>
              <w:tc>
                <w:tcPr>
                  <w:tcW w:w="411" w:type="pct"/>
                  <w:vMerge w:val="continue"/>
                  <w:vAlign w:val="center"/>
                </w:tcPr>
                <w:p w14:paraId="56780036">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p>
              </w:tc>
              <w:tc>
                <w:tcPr>
                  <w:tcW w:w="356" w:type="pct"/>
                  <w:vMerge w:val="continue"/>
                  <w:shd w:val="clear" w:color="auto" w:fill="auto"/>
                  <w:vAlign w:val="center"/>
                </w:tcPr>
                <w:p w14:paraId="6354387B">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p>
              </w:tc>
              <w:tc>
                <w:tcPr>
                  <w:tcW w:w="357" w:type="pct"/>
                  <w:vMerge w:val="continue"/>
                  <w:shd w:val="clear" w:color="auto" w:fill="auto"/>
                  <w:vAlign w:val="center"/>
                </w:tcPr>
                <w:p w14:paraId="621870A0">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p>
              </w:tc>
            </w:tr>
            <w:tr w14:paraId="1A3F5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14:paraId="5E6CCBE1">
                  <w:pPr>
                    <w:pStyle w:val="185"/>
                    <w:kinsoku w:val="0"/>
                    <w:overflowPunct w:val="0"/>
                    <w:autoSpaceDE w:val="0"/>
                    <w:autoSpaceDN w:val="0"/>
                    <w:spacing w:line="300" w:lineRule="exact"/>
                    <w:ind w:left="-63" w:leftChars="-30" w:right="-63" w:rightChars="-30" w:firstLine="0" w:firstLine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DA001</w:t>
                  </w:r>
                </w:p>
              </w:tc>
              <w:tc>
                <w:tcPr>
                  <w:tcW w:w="660" w:type="pct"/>
                  <w:vAlign w:val="center"/>
                </w:tcPr>
                <w:p w14:paraId="7F79341B">
                  <w:pPr>
                    <w:pStyle w:val="185"/>
                    <w:kinsoku w:val="0"/>
                    <w:overflowPunct w:val="0"/>
                    <w:autoSpaceDE w:val="0"/>
                    <w:autoSpaceDN w:val="0"/>
                    <w:spacing w:line="300" w:lineRule="exact"/>
                    <w:ind w:left="-63" w:leftChars="-30" w:right="-63" w:rightChars="-30" w:firstLine="0" w:firstLineChars="0"/>
                    <w:jc w:val="center"/>
                    <w:rPr>
                      <w:rFonts w:hint="default" w:ascii="Times New Roman" w:hAnsiTheme="minorEastAsia" w:eastAsiaTheme="minorEastAsia"/>
                      <w:color w:val="auto"/>
                      <w:sz w:val="21"/>
                      <w:szCs w:val="21"/>
                      <w:highlight w:val="none"/>
                      <w:lang w:val="en-US" w:eastAsia="zh-CN"/>
                    </w:rPr>
                  </w:pPr>
                  <w:r>
                    <w:rPr>
                      <w:rFonts w:hint="eastAsia" w:ascii="Times New Roman" w:hAnsiTheme="minorEastAsia" w:eastAsiaTheme="minorEastAsia"/>
                      <w:color w:val="auto"/>
                      <w:sz w:val="21"/>
                      <w:szCs w:val="21"/>
                      <w:highlight w:val="none"/>
                      <w:lang w:val="en-US" w:eastAsia="zh-CN"/>
                    </w:rPr>
                    <w:t>塑料包装袋加工废气排放口</w:t>
                  </w:r>
                </w:p>
              </w:tc>
              <w:tc>
                <w:tcPr>
                  <w:tcW w:w="777" w:type="pct"/>
                  <w:vAlign w:val="center"/>
                </w:tcPr>
                <w:p w14:paraId="05BD2C9C">
                  <w:pPr>
                    <w:pStyle w:val="185"/>
                    <w:kinsoku w:val="0"/>
                    <w:overflowPunct w:val="0"/>
                    <w:autoSpaceDE w:val="0"/>
                    <w:autoSpaceDN w:val="0"/>
                    <w:spacing w:line="300" w:lineRule="exact"/>
                    <w:ind w:left="-63" w:leftChars="-30" w:right="-63" w:rightChars="-30" w:firstLine="0" w:firstLineChars="0"/>
                    <w:jc w:val="center"/>
                    <w:rPr>
                      <w:rFonts w:hint="default" w:ascii="Times New Roman" w:hAnsi="Times New Roman" w:eastAsiaTheme="minorEastAsia"/>
                      <w:color w:val="auto"/>
                      <w:sz w:val="21"/>
                      <w:szCs w:val="21"/>
                      <w:highlight w:val="none"/>
                      <w:lang w:val="en-US" w:eastAsia="zh-CN"/>
                    </w:rPr>
                  </w:pPr>
                </w:p>
              </w:tc>
              <w:tc>
                <w:tcPr>
                  <w:tcW w:w="745" w:type="pct"/>
                  <w:vAlign w:val="center"/>
                </w:tcPr>
                <w:p w14:paraId="0B683755">
                  <w:pPr>
                    <w:pStyle w:val="185"/>
                    <w:kinsoku w:val="0"/>
                    <w:overflowPunct w:val="0"/>
                    <w:autoSpaceDE w:val="0"/>
                    <w:autoSpaceDN w:val="0"/>
                    <w:spacing w:line="300" w:lineRule="exact"/>
                    <w:ind w:left="-63" w:leftChars="-30" w:right="-63" w:rightChars="-30" w:firstLine="0" w:firstLineChars="0"/>
                    <w:jc w:val="center"/>
                    <w:rPr>
                      <w:rFonts w:hint="default" w:ascii="Times New Roman" w:hAnsi="Times New Roman" w:eastAsiaTheme="minorEastAsia"/>
                      <w:color w:val="auto"/>
                      <w:sz w:val="21"/>
                      <w:szCs w:val="21"/>
                      <w:highlight w:val="none"/>
                      <w:lang w:val="en-US" w:eastAsia="zh-CN"/>
                    </w:rPr>
                  </w:pPr>
                </w:p>
              </w:tc>
              <w:tc>
                <w:tcPr>
                  <w:tcW w:w="460" w:type="pct"/>
                  <w:vAlign w:val="center"/>
                </w:tcPr>
                <w:p w14:paraId="6E5EDCBC">
                  <w:pPr>
                    <w:pStyle w:val="185"/>
                    <w:kinsoku w:val="0"/>
                    <w:overflowPunct w:val="0"/>
                    <w:autoSpaceDE w:val="0"/>
                    <w:autoSpaceDN w:val="0"/>
                    <w:spacing w:line="300" w:lineRule="exact"/>
                    <w:ind w:left="-63" w:leftChars="-30" w:right="-63" w:rightChars="-30" w:firstLine="0" w:firstLine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rPr>
                    <w:t>11</w:t>
                  </w:r>
                  <w:r>
                    <w:rPr>
                      <w:rFonts w:hint="eastAsia" w:ascii="Times New Roman" w:hAnsi="Times New Roman" w:eastAsiaTheme="minorEastAsia"/>
                      <w:color w:val="auto"/>
                      <w:sz w:val="21"/>
                      <w:szCs w:val="21"/>
                      <w:highlight w:val="none"/>
                      <w:lang w:val="en-US" w:eastAsia="zh-CN"/>
                    </w:rPr>
                    <w:t>22.3</w:t>
                  </w:r>
                </w:p>
              </w:tc>
              <w:tc>
                <w:tcPr>
                  <w:tcW w:w="383" w:type="pct"/>
                  <w:vAlign w:val="center"/>
                </w:tcPr>
                <w:p w14:paraId="3C51B1AE">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color w:val="auto"/>
                      <w:sz w:val="21"/>
                      <w:szCs w:val="21"/>
                      <w:highlight w:val="none"/>
                    </w:rPr>
                  </w:pPr>
                  <w:r>
                    <w:rPr>
                      <w:rFonts w:ascii="Times New Roman" w:hAnsi="Times New Roman" w:eastAsiaTheme="minorEastAsia"/>
                      <w:color w:val="auto"/>
                      <w:sz w:val="21"/>
                      <w:szCs w:val="21"/>
                      <w:highlight w:val="none"/>
                    </w:rPr>
                    <w:t>15</w:t>
                  </w:r>
                </w:p>
              </w:tc>
              <w:tc>
                <w:tcPr>
                  <w:tcW w:w="370" w:type="pct"/>
                  <w:vAlign w:val="center"/>
                </w:tcPr>
                <w:p w14:paraId="362BBC11">
                  <w:pPr>
                    <w:pStyle w:val="185"/>
                    <w:kinsoku w:val="0"/>
                    <w:overflowPunct w:val="0"/>
                    <w:autoSpaceDE w:val="0"/>
                    <w:autoSpaceDN w:val="0"/>
                    <w:spacing w:line="300" w:lineRule="exact"/>
                    <w:ind w:left="-63" w:leftChars="-30" w:right="-63" w:rightChars="-30" w:firstLine="0" w:firstLine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0.5</w:t>
                  </w:r>
                </w:p>
              </w:tc>
              <w:tc>
                <w:tcPr>
                  <w:tcW w:w="411" w:type="pct"/>
                  <w:vAlign w:val="center"/>
                </w:tcPr>
                <w:p w14:paraId="3EEA67AF">
                  <w:pPr>
                    <w:pStyle w:val="185"/>
                    <w:kinsoku w:val="0"/>
                    <w:overflowPunct w:val="0"/>
                    <w:autoSpaceDE w:val="0"/>
                    <w:autoSpaceDN w:val="0"/>
                    <w:spacing w:line="300" w:lineRule="exact"/>
                    <w:ind w:left="-63" w:leftChars="-30" w:right="-63" w:rightChars="-30" w:firstLine="0" w:firstLine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50</w:t>
                  </w:r>
                </w:p>
              </w:tc>
              <w:tc>
                <w:tcPr>
                  <w:tcW w:w="356" w:type="pct"/>
                  <w:shd w:val="clear" w:color="auto" w:fill="auto"/>
                  <w:vAlign w:val="center"/>
                </w:tcPr>
                <w:p w14:paraId="4CDC5D20">
                  <w:pPr>
                    <w:pStyle w:val="185"/>
                    <w:kinsoku w:val="0"/>
                    <w:overflowPunct w:val="0"/>
                    <w:autoSpaceDE w:val="0"/>
                    <w:autoSpaceDN w:val="0"/>
                    <w:spacing w:line="300" w:lineRule="exact"/>
                    <w:ind w:left="-63" w:leftChars="-30" w:right="-63" w:rightChars="-30" w:firstLine="0" w:firstLine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7200</w:t>
                  </w:r>
                </w:p>
              </w:tc>
              <w:tc>
                <w:tcPr>
                  <w:tcW w:w="357" w:type="pct"/>
                  <w:vMerge w:val="restart"/>
                  <w:shd w:val="clear" w:color="auto" w:fill="auto"/>
                  <w:vAlign w:val="center"/>
                </w:tcPr>
                <w:p w14:paraId="0028C38E">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color w:val="auto"/>
                      <w:sz w:val="21"/>
                      <w:szCs w:val="21"/>
                      <w:highlight w:val="none"/>
                    </w:rPr>
                  </w:pPr>
                  <w:r>
                    <w:rPr>
                      <w:rFonts w:ascii="Times New Roman" w:hAnsiTheme="minorEastAsia" w:eastAsiaTheme="minorEastAsia"/>
                      <w:color w:val="auto"/>
                      <w:sz w:val="21"/>
                      <w:szCs w:val="21"/>
                      <w:highlight w:val="none"/>
                    </w:rPr>
                    <w:t>正常</w:t>
                  </w:r>
                </w:p>
              </w:tc>
            </w:tr>
            <w:tr w14:paraId="03E2C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14:paraId="1C321DBE">
                  <w:pPr>
                    <w:pStyle w:val="185"/>
                    <w:kinsoku w:val="0"/>
                    <w:overflowPunct w:val="0"/>
                    <w:autoSpaceDE w:val="0"/>
                    <w:autoSpaceDN w:val="0"/>
                    <w:spacing w:line="300" w:lineRule="exact"/>
                    <w:ind w:left="-63" w:leftChars="-30" w:right="-63" w:rightChars="-30" w:firstLine="0" w:firstLineChars="0"/>
                    <w:jc w:val="center"/>
                    <w:rPr>
                      <w:rFonts w:hint="eastAsia" w:ascii="Times New Roman" w:hAnsi="Times New Roman" w:eastAsiaTheme="minorEastAsia"/>
                      <w:color w:val="auto"/>
                      <w:sz w:val="21"/>
                      <w:szCs w:val="21"/>
                      <w:highlight w:val="none"/>
                      <w:lang w:eastAsia="zh-CN"/>
                    </w:rPr>
                  </w:pPr>
                  <w:r>
                    <w:rPr>
                      <w:rFonts w:hint="eastAsia" w:ascii="Times New Roman" w:hAnsi="Times New Roman" w:eastAsiaTheme="minorEastAsia"/>
                      <w:color w:val="auto"/>
                      <w:sz w:val="21"/>
                      <w:szCs w:val="21"/>
                      <w:highlight w:val="none"/>
                    </w:rPr>
                    <w:t>DA00</w:t>
                  </w:r>
                  <w:r>
                    <w:rPr>
                      <w:rFonts w:hint="eastAsia" w:ascii="Times New Roman" w:hAnsi="Times New Roman" w:eastAsiaTheme="minorEastAsia"/>
                      <w:color w:val="auto"/>
                      <w:sz w:val="21"/>
                      <w:szCs w:val="21"/>
                      <w:highlight w:val="none"/>
                      <w:lang w:val="en-US" w:eastAsia="zh-CN"/>
                    </w:rPr>
                    <w:t>2</w:t>
                  </w:r>
                </w:p>
              </w:tc>
              <w:tc>
                <w:tcPr>
                  <w:tcW w:w="660" w:type="pct"/>
                  <w:vAlign w:val="center"/>
                </w:tcPr>
                <w:p w14:paraId="4CC564BE">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color w:val="auto"/>
                      <w:sz w:val="21"/>
                      <w:szCs w:val="21"/>
                      <w:highlight w:val="none"/>
                    </w:rPr>
                  </w:pPr>
                  <w:r>
                    <w:rPr>
                      <w:rFonts w:hint="eastAsia" w:ascii="Times New Roman" w:hAnsiTheme="minorEastAsia" w:eastAsiaTheme="minorEastAsia"/>
                      <w:color w:val="auto"/>
                      <w:sz w:val="21"/>
                      <w:szCs w:val="21"/>
                      <w:highlight w:val="none"/>
                      <w:lang w:val="en-US" w:eastAsia="zh-CN"/>
                    </w:rPr>
                    <w:t>农用贴片滴灌带加工废气排放口</w:t>
                  </w:r>
                </w:p>
              </w:tc>
              <w:tc>
                <w:tcPr>
                  <w:tcW w:w="777" w:type="pct"/>
                  <w:vAlign w:val="center"/>
                </w:tcPr>
                <w:p w14:paraId="090C7BF7">
                  <w:pPr>
                    <w:pStyle w:val="185"/>
                    <w:kinsoku w:val="0"/>
                    <w:overflowPunct w:val="0"/>
                    <w:autoSpaceDE w:val="0"/>
                    <w:autoSpaceDN w:val="0"/>
                    <w:spacing w:line="300" w:lineRule="exact"/>
                    <w:ind w:left="-63" w:leftChars="-30" w:right="-63" w:rightChars="-30" w:firstLine="0" w:firstLineChars="0"/>
                    <w:jc w:val="center"/>
                    <w:rPr>
                      <w:rFonts w:hint="default" w:ascii="Times New Roman" w:hAnsi="Times New Roman" w:eastAsiaTheme="minorEastAsia"/>
                      <w:color w:val="auto"/>
                      <w:sz w:val="21"/>
                      <w:szCs w:val="21"/>
                      <w:highlight w:val="none"/>
                      <w:lang w:val="en-US" w:eastAsia="zh-CN"/>
                    </w:rPr>
                  </w:pPr>
                </w:p>
              </w:tc>
              <w:tc>
                <w:tcPr>
                  <w:tcW w:w="745" w:type="pct"/>
                  <w:vAlign w:val="center"/>
                </w:tcPr>
                <w:p w14:paraId="2ABD1B44">
                  <w:pPr>
                    <w:pStyle w:val="185"/>
                    <w:kinsoku w:val="0"/>
                    <w:overflowPunct w:val="0"/>
                    <w:autoSpaceDE w:val="0"/>
                    <w:autoSpaceDN w:val="0"/>
                    <w:spacing w:line="300" w:lineRule="exact"/>
                    <w:ind w:left="-63" w:leftChars="-30" w:right="-63" w:rightChars="-30" w:firstLine="0" w:firstLineChars="0"/>
                    <w:rPr>
                      <w:rFonts w:hint="default" w:ascii="Times New Roman" w:hAnsi="Times New Roman" w:eastAsiaTheme="minorEastAsia"/>
                      <w:color w:val="auto"/>
                      <w:sz w:val="21"/>
                      <w:szCs w:val="21"/>
                      <w:highlight w:val="none"/>
                      <w:lang w:val="en-US" w:eastAsia="zh-CN"/>
                    </w:rPr>
                  </w:pPr>
                </w:p>
              </w:tc>
              <w:tc>
                <w:tcPr>
                  <w:tcW w:w="460" w:type="pct"/>
                  <w:vAlign w:val="center"/>
                </w:tcPr>
                <w:p w14:paraId="5871B97B">
                  <w:pPr>
                    <w:pStyle w:val="185"/>
                    <w:kinsoku w:val="0"/>
                    <w:overflowPunct w:val="0"/>
                    <w:autoSpaceDE w:val="0"/>
                    <w:autoSpaceDN w:val="0"/>
                    <w:spacing w:line="300" w:lineRule="exact"/>
                    <w:ind w:left="-63" w:leftChars="-30" w:right="-63" w:rightChars="-30" w:firstLine="0" w:firstLine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1121.9</w:t>
                  </w:r>
                </w:p>
              </w:tc>
              <w:tc>
                <w:tcPr>
                  <w:tcW w:w="383" w:type="pct"/>
                  <w:vAlign w:val="center"/>
                </w:tcPr>
                <w:p w14:paraId="160DA43A">
                  <w:pPr>
                    <w:pStyle w:val="185"/>
                    <w:kinsoku w:val="0"/>
                    <w:overflowPunct w:val="0"/>
                    <w:autoSpaceDE w:val="0"/>
                    <w:autoSpaceDN w:val="0"/>
                    <w:spacing w:line="300" w:lineRule="exact"/>
                    <w:ind w:left="-63" w:leftChars="-30" w:right="-63" w:rightChars="-30" w:firstLine="0" w:firstLine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15</w:t>
                  </w:r>
                </w:p>
              </w:tc>
              <w:tc>
                <w:tcPr>
                  <w:tcW w:w="370" w:type="pct"/>
                  <w:vAlign w:val="center"/>
                </w:tcPr>
                <w:p w14:paraId="79238B10">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color w:val="auto"/>
                      <w:sz w:val="21"/>
                      <w:szCs w:val="21"/>
                      <w:highlight w:val="none"/>
                    </w:rPr>
                  </w:pPr>
                  <w:r>
                    <w:rPr>
                      <w:rFonts w:ascii="Times New Roman" w:hAnsi="Times New Roman" w:eastAsiaTheme="minorEastAsia"/>
                      <w:color w:val="auto"/>
                      <w:sz w:val="21"/>
                      <w:szCs w:val="21"/>
                      <w:highlight w:val="none"/>
                    </w:rPr>
                    <w:t>0.</w:t>
                  </w:r>
                  <w:r>
                    <w:rPr>
                      <w:rFonts w:hint="eastAsia" w:ascii="Times New Roman" w:hAnsi="Times New Roman" w:eastAsiaTheme="minorEastAsia"/>
                      <w:color w:val="auto"/>
                      <w:sz w:val="21"/>
                      <w:szCs w:val="21"/>
                      <w:highlight w:val="none"/>
                    </w:rPr>
                    <w:t>5</w:t>
                  </w:r>
                </w:p>
              </w:tc>
              <w:tc>
                <w:tcPr>
                  <w:tcW w:w="411" w:type="pct"/>
                  <w:vAlign w:val="center"/>
                </w:tcPr>
                <w:p w14:paraId="5D964ABF">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color w:val="auto"/>
                      <w:sz w:val="21"/>
                      <w:szCs w:val="21"/>
                      <w:highlight w:val="none"/>
                    </w:rPr>
                  </w:pPr>
                  <w:r>
                    <w:rPr>
                      <w:rFonts w:hint="eastAsia" w:ascii="Times New Roman" w:hAnsi="Times New Roman" w:eastAsiaTheme="minorEastAsia"/>
                      <w:color w:val="auto"/>
                      <w:sz w:val="21"/>
                      <w:szCs w:val="21"/>
                      <w:highlight w:val="none"/>
                    </w:rPr>
                    <w:t>50</w:t>
                  </w:r>
                </w:p>
              </w:tc>
              <w:tc>
                <w:tcPr>
                  <w:tcW w:w="356" w:type="pct"/>
                  <w:shd w:val="clear" w:color="auto" w:fill="auto"/>
                  <w:vAlign w:val="center"/>
                </w:tcPr>
                <w:p w14:paraId="027BFB24">
                  <w:pPr>
                    <w:pStyle w:val="185"/>
                    <w:kinsoku w:val="0"/>
                    <w:overflowPunct w:val="0"/>
                    <w:autoSpaceDE w:val="0"/>
                    <w:autoSpaceDN w:val="0"/>
                    <w:spacing w:line="300" w:lineRule="exact"/>
                    <w:ind w:left="-63" w:leftChars="-30" w:right="-63" w:rightChars="-30" w:firstLine="0" w:firstLine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7200</w:t>
                  </w:r>
                </w:p>
              </w:tc>
              <w:tc>
                <w:tcPr>
                  <w:tcW w:w="357" w:type="pct"/>
                  <w:vMerge w:val="continue"/>
                  <w:shd w:val="clear" w:color="auto" w:fill="auto"/>
                  <w:vAlign w:val="center"/>
                </w:tcPr>
                <w:p w14:paraId="7A2689DC">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eastAsiaTheme="minorEastAsia"/>
                      <w:color w:val="auto"/>
                      <w:sz w:val="21"/>
                      <w:szCs w:val="21"/>
                      <w:highlight w:val="none"/>
                    </w:rPr>
                  </w:pPr>
                </w:p>
              </w:tc>
            </w:tr>
          </w:tbl>
          <w:p w14:paraId="63CD2D6C">
            <w:pPr>
              <w:spacing w:line="500" w:lineRule="exact"/>
              <w:jc w:val="center"/>
              <w:rPr>
                <w:rFonts w:eastAsiaTheme="minorEastAsia"/>
                <w:b/>
                <w:color w:val="auto"/>
                <w:szCs w:val="21"/>
                <w:highlight w:val="none"/>
              </w:rPr>
            </w:pPr>
            <w:r>
              <w:rPr>
                <w:rFonts w:hAnsiTheme="minorEastAsia" w:eastAsiaTheme="minorEastAsia"/>
                <w:b/>
                <w:color w:val="auto"/>
                <w:szCs w:val="21"/>
                <w:highlight w:val="none"/>
              </w:rPr>
              <w:t>表</w:t>
            </w:r>
            <w:r>
              <w:rPr>
                <w:rFonts w:hint="eastAsia" w:hAnsiTheme="minorEastAsia" w:eastAsiaTheme="minorEastAsia"/>
                <w:b/>
                <w:color w:val="auto"/>
                <w:szCs w:val="21"/>
                <w:highlight w:val="none"/>
                <w:lang w:val="en-US" w:eastAsia="zh-CN"/>
              </w:rPr>
              <w:t>4-5</w:t>
            </w:r>
            <w:r>
              <w:rPr>
                <w:b/>
                <w:bCs/>
                <w:color w:val="auto"/>
                <w:szCs w:val="21"/>
                <w:highlight w:val="none"/>
              </w:rPr>
              <w:t xml:space="preserve">        </w:t>
            </w:r>
            <w:r>
              <w:rPr>
                <w:rFonts w:hAnsiTheme="minorEastAsia" w:eastAsiaTheme="minorEastAsia"/>
                <w:b/>
                <w:color w:val="auto"/>
                <w:szCs w:val="21"/>
                <w:highlight w:val="none"/>
              </w:rPr>
              <w:t>有组织废气排放口排放情况表</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1131"/>
              <w:gridCol w:w="1353"/>
              <w:gridCol w:w="1236"/>
              <w:gridCol w:w="2619"/>
              <w:gridCol w:w="1147"/>
            </w:tblGrid>
            <w:tr w14:paraId="72FA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0" w:type="pct"/>
                  <w:vAlign w:val="center"/>
                </w:tcPr>
                <w:p w14:paraId="75D5DBD3">
                  <w:pPr>
                    <w:pStyle w:val="185"/>
                    <w:kinsoku w:val="0"/>
                    <w:overflowPunct w:val="0"/>
                    <w:autoSpaceDE w:val="0"/>
                    <w:autoSpaceDN w:val="0"/>
                    <w:adjustRightInd w:val="0"/>
                    <w:snapToGrid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编号</w:t>
                  </w:r>
                </w:p>
              </w:tc>
              <w:tc>
                <w:tcPr>
                  <w:tcW w:w="681" w:type="pct"/>
                  <w:vAlign w:val="center"/>
                </w:tcPr>
                <w:p w14:paraId="545A288D">
                  <w:pPr>
                    <w:pStyle w:val="185"/>
                    <w:kinsoku w:val="0"/>
                    <w:overflowPunct w:val="0"/>
                    <w:autoSpaceDE w:val="0"/>
                    <w:autoSpaceDN w:val="0"/>
                    <w:adjustRightInd w:val="0"/>
                    <w:snapToGrid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名称</w:t>
                  </w:r>
                </w:p>
              </w:tc>
              <w:tc>
                <w:tcPr>
                  <w:tcW w:w="814" w:type="pct"/>
                  <w:vAlign w:val="center"/>
                </w:tcPr>
                <w:p w14:paraId="63956777">
                  <w:pPr>
                    <w:pStyle w:val="185"/>
                    <w:kinsoku w:val="0"/>
                    <w:overflowPunct w:val="0"/>
                    <w:autoSpaceDE w:val="0"/>
                    <w:autoSpaceDN w:val="0"/>
                    <w:adjustRightInd w:val="0"/>
                    <w:snapToGrid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产排污环节</w:t>
                  </w:r>
                </w:p>
              </w:tc>
              <w:tc>
                <w:tcPr>
                  <w:tcW w:w="744" w:type="pct"/>
                  <w:vAlign w:val="center"/>
                </w:tcPr>
                <w:p w14:paraId="1CE03602">
                  <w:pPr>
                    <w:pStyle w:val="185"/>
                    <w:kinsoku w:val="0"/>
                    <w:overflowPunct w:val="0"/>
                    <w:autoSpaceDE w:val="0"/>
                    <w:autoSpaceDN w:val="0"/>
                    <w:adjustRightInd w:val="0"/>
                    <w:snapToGrid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污染物种类</w:t>
                  </w:r>
                </w:p>
              </w:tc>
              <w:tc>
                <w:tcPr>
                  <w:tcW w:w="1577" w:type="pct"/>
                  <w:vAlign w:val="center"/>
                </w:tcPr>
                <w:p w14:paraId="441A89A4">
                  <w:pPr>
                    <w:pStyle w:val="185"/>
                    <w:kinsoku w:val="0"/>
                    <w:overflowPunct w:val="0"/>
                    <w:autoSpaceDE w:val="0"/>
                    <w:autoSpaceDN w:val="0"/>
                    <w:adjustRightInd w:val="0"/>
                    <w:snapToGrid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污染治理设施</w:t>
                  </w:r>
                </w:p>
              </w:tc>
              <w:tc>
                <w:tcPr>
                  <w:tcW w:w="690" w:type="pct"/>
                  <w:vAlign w:val="center"/>
                </w:tcPr>
                <w:p w14:paraId="06195A2C">
                  <w:pPr>
                    <w:pStyle w:val="185"/>
                    <w:kinsoku w:val="0"/>
                    <w:overflowPunct w:val="0"/>
                    <w:autoSpaceDE w:val="0"/>
                    <w:autoSpaceDN w:val="0"/>
                    <w:adjustRightInd w:val="0"/>
                    <w:snapToGrid w:val="0"/>
                    <w:spacing w:line="300" w:lineRule="exact"/>
                    <w:ind w:left="-63" w:leftChars="-30" w:right="-63" w:rightChars="-30" w:firstLine="0" w:firstLineChars="0"/>
                    <w:jc w:val="center"/>
                    <w:rPr>
                      <w:rFonts w:ascii="Times New Roman" w:hAnsi="Times New Roman" w:eastAsiaTheme="minorEastAsia"/>
                      <w:b/>
                      <w:color w:val="auto"/>
                      <w:sz w:val="21"/>
                      <w:szCs w:val="21"/>
                      <w:highlight w:val="none"/>
                    </w:rPr>
                  </w:pPr>
                  <w:r>
                    <w:rPr>
                      <w:rFonts w:ascii="Times New Roman" w:hAnsiTheme="minorEastAsia" w:eastAsiaTheme="minorEastAsia"/>
                      <w:b/>
                      <w:color w:val="auto"/>
                      <w:sz w:val="21"/>
                      <w:szCs w:val="21"/>
                      <w:highlight w:val="none"/>
                    </w:rPr>
                    <w:t>排放形式</w:t>
                  </w:r>
                </w:p>
              </w:tc>
            </w:tr>
            <w:tr w14:paraId="72718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0" w:type="pct"/>
                  <w:vAlign w:val="center"/>
                </w:tcPr>
                <w:p w14:paraId="64EA5ADE">
                  <w:pPr>
                    <w:pStyle w:val="185"/>
                    <w:keepNext w:val="0"/>
                    <w:keepLines w:val="0"/>
                    <w:pageBreakBefore w:val="0"/>
                    <w:widowControl/>
                    <w:kinsoku w:val="0"/>
                    <w:wordWrap/>
                    <w:overflowPunct w:val="0"/>
                    <w:topLinePunct w:val="0"/>
                    <w:autoSpaceDE w:val="0"/>
                    <w:autoSpaceDN w:val="0"/>
                    <w:bidi w:val="0"/>
                    <w:adjustRightInd/>
                    <w:snapToGrid/>
                    <w:spacing w:line="240" w:lineRule="auto"/>
                    <w:ind w:left="-63" w:leftChars="-30" w:right="-63" w:rightChars="-30" w:firstLine="0" w:firstLineChars="0"/>
                    <w:jc w:val="center"/>
                    <w:textAlignment w:val="auto"/>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DA001</w:t>
                  </w:r>
                </w:p>
              </w:tc>
              <w:tc>
                <w:tcPr>
                  <w:tcW w:w="1131" w:type="dxa"/>
                  <w:shd w:val="clear" w:color="auto" w:fill="auto"/>
                  <w:vAlign w:val="center"/>
                </w:tcPr>
                <w:p w14:paraId="13B855EE">
                  <w:pPr>
                    <w:pStyle w:val="185"/>
                    <w:kinsoku w:val="0"/>
                    <w:overflowPunct w:val="0"/>
                    <w:autoSpaceDE w:val="0"/>
                    <w:autoSpaceDN w:val="0"/>
                    <w:spacing w:line="300" w:lineRule="exact"/>
                    <w:ind w:left="-63" w:leftChars="-30" w:right="-63" w:rightChars="-30" w:firstLine="0" w:firstLineChars="0"/>
                    <w:jc w:val="center"/>
                    <w:rPr>
                      <w:rFonts w:hint="eastAsia" w:ascii="Times New Roman" w:cs="Times New Roman" w:hAnsiTheme="minorEastAsia" w:eastAsiaTheme="minorEastAsia"/>
                      <w:color w:val="auto"/>
                      <w:kern w:val="0"/>
                      <w:sz w:val="21"/>
                      <w:szCs w:val="21"/>
                      <w:highlight w:val="none"/>
                      <w:lang w:val="en-US" w:eastAsia="zh-CN" w:bidi="ar-SA"/>
                    </w:rPr>
                  </w:pPr>
                  <w:r>
                    <w:rPr>
                      <w:rFonts w:hint="eastAsia" w:ascii="Times New Roman" w:hAnsiTheme="minorEastAsia" w:eastAsiaTheme="minorEastAsia"/>
                      <w:color w:val="auto"/>
                      <w:sz w:val="21"/>
                      <w:szCs w:val="21"/>
                      <w:highlight w:val="none"/>
                      <w:lang w:val="en-US" w:eastAsia="zh-CN"/>
                    </w:rPr>
                    <w:t>塑料包装袋加工废气排放口</w:t>
                  </w:r>
                </w:p>
              </w:tc>
              <w:tc>
                <w:tcPr>
                  <w:tcW w:w="814" w:type="pct"/>
                  <w:vAlign w:val="center"/>
                </w:tcPr>
                <w:p w14:paraId="4C7F42AF">
                  <w:pPr>
                    <w:pStyle w:val="185"/>
                    <w:keepNext w:val="0"/>
                    <w:keepLines w:val="0"/>
                    <w:pageBreakBefore w:val="0"/>
                    <w:widowControl/>
                    <w:kinsoku w:val="0"/>
                    <w:wordWrap/>
                    <w:overflowPunct w:val="0"/>
                    <w:topLinePunct w:val="0"/>
                    <w:autoSpaceDE w:val="0"/>
                    <w:autoSpaceDN w:val="0"/>
                    <w:bidi w:val="0"/>
                    <w:adjustRightInd/>
                    <w:snapToGrid/>
                    <w:spacing w:line="240" w:lineRule="auto"/>
                    <w:ind w:left="-63" w:leftChars="-30" w:right="-63" w:rightChars="-30" w:firstLine="0" w:firstLineChars="0"/>
                    <w:jc w:val="center"/>
                    <w:textAlignment w:val="auto"/>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挤出熔融、吹胀，混料</w:t>
                  </w:r>
                </w:p>
              </w:tc>
              <w:tc>
                <w:tcPr>
                  <w:tcW w:w="744" w:type="pct"/>
                  <w:vAlign w:val="center"/>
                </w:tcPr>
                <w:p w14:paraId="3342D0F6">
                  <w:pPr>
                    <w:pStyle w:val="185"/>
                    <w:keepNext w:val="0"/>
                    <w:keepLines w:val="0"/>
                    <w:pageBreakBefore w:val="0"/>
                    <w:widowControl/>
                    <w:kinsoku w:val="0"/>
                    <w:wordWrap/>
                    <w:overflowPunct w:val="0"/>
                    <w:topLinePunct w:val="0"/>
                    <w:autoSpaceDE w:val="0"/>
                    <w:autoSpaceDN w:val="0"/>
                    <w:bidi w:val="0"/>
                    <w:adjustRightInd/>
                    <w:snapToGrid/>
                    <w:spacing w:line="240" w:lineRule="auto"/>
                    <w:ind w:left="-63" w:leftChars="-30" w:right="-63" w:rightChars="-30" w:firstLine="0" w:firstLineChars="0"/>
                    <w:jc w:val="center"/>
                    <w:textAlignment w:val="auto"/>
                    <w:rPr>
                      <w:rFonts w:hint="default" w:ascii="Times New Roman" w:hAnsiTheme="minorEastAsia" w:eastAsiaTheme="minorEastAsia"/>
                      <w:color w:val="auto"/>
                      <w:sz w:val="21"/>
                      <w:szCs w:val="21"/>
                      <w:highlight w:val="none"/>
                      <w:lang w:val="en-US" w:eastAsia="zh-CN"/>
                    </w:rPr>
                  </w:pPr>
                  <w:r>
                    <w:rPr>
                      <w:rFonts w:hint="eastAsia" w:ascii="Times New Roman" w:hAnsiTheme="minorEastAsia" w:eastAsiaTheme="minorEastAsia"/>
                      <w:color w:val="auto"/>
                      <w:sz w:val="21"/>
                      <w:szCs w:val="21"/>
                      <w:highlight w:val="none"/>
                      <w:lang w:val="en-US" w:eastAsia="zh-CN"/>
                    </w:rPr>
                    <w:t>粉尘、非甲烷总烃</w:t>
                  </w:r>
                </w:p>
              </w:tc>
              <w:tc>
                <w:tcPr>
                  <w:tcW w:w="1577" w:type="pct"/>
                  <w:vAlign w:val="center"/>
                </w:tcPr>
                <w:p w14:paraId="52120013">
                  <w:pPr>
                    <w:pStyle w:val="185"/>
                    <w:keepNext w:val="0"/>
                    <w:keepLines w:val="0"/>
                    <w:pageBreakBefore w:val="0"/>
                    <w:widowControl/>
                    <w:kinsoku w:val="0"/>
                    <w:wordWrap/>
                    <w:overflowPunct w:val="0"/>
                    <w:topLinePunct w:val="0"/>
                    <w:autoSpaceDE w:val="0"/>
                    <w:autoSpaceDN w:val="0"/>
                    <w:bidi w:val="0"/>
                    <w:adjustRightInd/>
                    <w:snapToGrid/>
                    <w:spacing w:line="240" w:lineRule="auto"/>
                    <w:ind w:left="-63" w:leftChars="-30" w:right="-63" w:rightChars="-30" w:firstLine="0" w:firstLineChars="0"/>
                    <w:jc w:val="center"/>
                    <w:textAlignment w:val="auto"/>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布袋除尘器+活性炭</w:t>
                  </w:r>
                  <w:r>
                    <w:rPr>
                      <w:rFonts w:hint="eastAsia" w:ascii="Times New Roman" w:hAnsi="Times New Roman" w:eastAsiaTheme="minorEastAsia"/>
                      <w:color w:val="auto"/>
                      <w:sz w:val="21"/>
                      <w:szCs w:val="21"/>
                      <w:highlight w:val="none"/>
                    </w:rPr>
                    <w:t>吸附催化燃烧装置+</w:t>
                  </w:r>
                  <w:r>
                    <w:rPr>
                      <w:rFonts w:ascii="Times New Roman" w:hAnsi="Times New Roman" w:eastAsiaTheme="minorEastAsia"/>
                      <w:color w:val="auto"/>
                      <w:sz w:val="21"/>
                      <w:szCs w:val="21"/>
                      <w:highlight w:val="none"/>
                    </w:rPr>
                    <w:t>15m</w:t>
                  </w:r>
                  <w:r>
                    <w:rPr>
                      <w:rFonts w:ascii="Times New Roman" w:hAnsiTheme="minorEastAsia" w:eastAsiaTheme="minorEastAsia"/>
                      <w:color w:val="auto"/>
                      <w:sz w:val="21"/>
                      <w:szCs w:val="21"/>
                      <w:highlight w:val="none"/>
                    </w:rPr>
                    <w:t>高排气筒</w:t>
                  </w:r>
                </w:p>
              </w:tc>
              <w:tc>
                <w:tcPr>
                  <w:tcW w:w="690" w:type="pct"/>
                  <w:vMerge w:val="restart"/>
                  <w:vAlign w:val="center"/>
                </w:tcPr>
                <w:p w14:paraId="696AFA11">
                  <w:pPr>
                    <w:pStyle w:val="185"/>
                    <w:keepNext w:val="0"/>
                    <w:keepLines w:val="0"/>
                    <w:pageBreakBefore w:val="0"/>
                    <w:widowControl/>
                    <w:kinsoku w:val="0"/>
                    <w:wordWrap/>
                    <w:overflowPunct w:val="0"/>
                    <w:topLinePunct w:val="0"/>
                    <w:autoSpaceDE w:val="0"/>
                    <w:autoSpaceDN w:val="0"/>
                    <w:bidi w:val="0"/>
                    <w:adjustRightInd/>
                    <w:snapToGrid/>
                    <w:spacing w:line="240" w:lineRule="auto"/>
                    <w:ind w:left="-63" w:leftChars="-30" w:right="-63" w:rightChars="-30" w:firstLine="0" w:firstLineChars="0"/>
                    <w:jc w:val="center"/>
                    <w:textAlignment w:val="auto"/>
                    <w:rPr>
                      <w:rFonts w:ascii="Times New Roman" w:hAnsi="Times New Roman" w:eastAsiaTheme="minorEastAsia"/>
                      <w:color w:val="auto"/>
                      <w:sz w:val="21"/>
                      <w:szCs w:val="21"/>
                      <w:highlight w:val="none"/>
                    </w:rPr>
                  </w:pPr>
                  <w:r>
                    <w:rPr>
                      <w:rFonts w:ascii="Times New Roman" w:hAnsiTheme="minorEastAsia" w:eastAsiaTheme="minorEastAsia"/>
                      <w:color w:val="auto"/>
                      <w:sz w:val="21"/>
                      <w:szCs w:val="21"/>
                      <w:highlight w:val="none"/>
                    </w:rPr>
                    <w:t>有组织</w:t>
                  </w:r>
                </w:p>
              </w:tc>
            </w:tr>
            <w:tr w14:paraId="02644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0" w:type="pct"/>
                  <w:vAlign w:val="center"/>
                </w:tcPr>
                <w:p w14:paraId="368D9A5E">
                  <w:pPr>
                    <w:pStyle w:val="185"/>
                    <w:keepNext w:val="0"/>
                    <w:keepLines w:val="0"/>
                    <w:pageBreakBefore w:val="0"/>
                    <w:widowControl/>
                    <w:kinsoku w:val="0"/>
                    <w:wordWrap/>
                    <w:overflowPunct w:val="0"/>
                    <w:topLinePunct w:val="0"/>
                    <w:autoSpaceDE w:val="0"/>
                    <w:autoSpaceDN w:val="0"/>
                    <w:bidi w:val="0"/>
                    <w:adjustRightInd/>
                    <w:snapToGrid/>
                    <w:spacing w:line="240" w:lineRule="auto"/>
                    <w:ind w:left="-63" w:leftChars="-30" w:right="-63" w:rightChars="-30" w:firstLine="0" w:firstLineChars="0"/>
                    <w:jc w:val="center"/>
                    <w:textAlignment w:val="auto"/>
                    <w:rPr>
                      <w:rFonts w:hint="eastAsia" w:ascii="Times New Roman" w:hAnsi="Times New Roman" w:eastAsiaTheme="minorEastAsia"/>
                      <w:color w:val="auto"/>
                      <w:sz w:val="21"/>
                      <w:szCs w:val="21"/>
                      <w:highlight w:val="none"/>
                      <w:lang w:eastAsia="zh-CN"/>
                    </w:rPr>
                  </w:pPr>
                  <w:r>
                    <w:rPr>
                      <w:rFonts w:hint="eastAsia" w:ascii="Times New Roman" w:hAnsi="Times New Roman" w:eastAsiaTheme="minorEastAsia"/>
                      <w:color w:val="auto"/>
                      <w:sz w:val="21"/>
                      <w:szCs w:val="21"/>
                      <w:highlight w:val="none"/>
                    </w:rPr>
                    <w:t>DA00</w:t>
                  </w:r>
                  <w:r>
                    <w:rPr>
                      <w:rFonts w:hint="eastAsia" w:ascii="Times New Roman" w:hAnsi="Times New Roman" w:eastAsiaTheme="minorEastAsia"/>
                      <w:color w:val="auto"/>
                      <w:sz w:val="21"/>
                      <w:szCs w:val="21"/>
                      <w:highlight w:val="none"/>
                      <w:lang w:val="en-US" w:eastAsia="zh-CN"/>
                    </w:rPr>
                    <w:t>2</w:t>
                  </w:r>
                </w:p>
              </w:tc>
              <w:tc>
                <w:tcPr>
                  <w:tcW w:w="1131" w:type="dxa"/>
                  <w:shd w:val="clear" w:color="auto" w:fill="auto"/>
                  <w:vAlign w:val="center"/>
                </w:tcPr>
                <w:p w14:paraId="6A841A29">
                  <w:pPr>
                    <w:pStyle w:val="185"/>
                    <w:kinsoku w:val="0"/>
                    <w:overflowPunct w:val="0"/>
                    <w:autoSpaceDE w:val="0"/>
                    <w:autoSpaceDN w:val="0"/>
                    <w:spacing w:line="300" w:lineRule="exact"/>
                    <w:ind w:left="-63" w:leftChars="-30" w:right="-63" w:rightChars="-30" w:firstLine="0" w:firstLineChars="0"/>
                    <w:jc w:val="center"/>
                    <w:rPr>
                      <w:rFonts w:ascii="Times New Roman" w:hAnsi="Times New Roman" w:cs="Times New Roman" w:eastAsiaTheme="minorEastAsia"/>
                      <w:color w:val="auto"/>
                      <w:kern w:val="0"/>
                      <w:sz w:val="21"/>
                      <w:szCs w:val="21"/>
                      <w:highlight w:val="none"/>
                      <w:lang w:val="en-US" w:eastAsia="zh-CN" w:bidi="ar-SA"/>
                    </w:rPr>
                  </w:pPr>
                  <w:r>
                    <w:rPr>
                      <w:rFonts w:hint="eastAsia" w:ascii="Times New Roman" w:hAnsiTheme="minorEastAsia" w:eastAsiaTheme="minorEastAsia"/>
                      <w:color w:val="auto"/>
                      <w:sz w:val="21"/>
                      <w:szCs w:val="21"/>
                      <w:highlight w:val="none"/>
                      <w:lang w:val="en-US" w:eastAsia="zh-CN"/>
                    </w:rPr>
                    <w:t>农用贴片滴灌带加工废气排放口</w:t>
                  </w:r>
                </w:p>
              </w:tc>
              <w:tc>
                <w:tcPr>
                  <w:tcW w:w="814" w:type="pct"/>
                  <w:vAlign w:val="center"/>
                </w:tcPr>
                <w:p w14:paraId="45DD6B83">
                  <w:pPr>
                    <w:pStyle w:val="185"/>
                    <w:keepNext w:val="0"/>
                    <w:keepLines w:val="0"/>
                    <w:pageBreakBefore w:val="0"/>
                    <w:widowControl/>
                    <w:kinsoku w:val="0"/>
                    <w:wordWrap/>
                    <w:overflowPunct w:val="0"/>
                    <w:topLinePunct w:val="0"/>
                    <w:autoSpaceDE w:val="0"/>
                    <w:autoSpaceDN w:val="0"/>
                    <w:bidi w:val="0"/>
                    <w:adjustRightInd/>
                    <w:snapToGrid/>
                    <w:spacing w:line="240" w:lineRule="auto"/>
                    <w:ind w:left="-63" w:leftChars="-30" w:right="-63" w:rightChars="-30" w:firstLine="0" w:firstLineChars="0"/>
                    <w:jc w:val="center"/>
                    <w:textAlignment w:val="auto"/>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宋体" w:cs="Times New Roman"/>
                      <w:color w:val="auto"/>
                      <w:sz w:val="21"/>
                      <w:szCs w:val="21"/>
                      <w:lang w:val="en-US" w:eastAsia="zh-CN"/>
                    </w:rPr>
                    <w:t>挤出</w:t>
                  </w:r>
                  <w:r>
                    <w:rPr>
                      <w:rFonts w:hint="default" w:ascii="Times New Roman" w:hAnsi="Times New Roman" w:eastAsia="宋体" w:cs="Times New Roman"/>
                      <w:color w:val="auto"/>
                      <w:sz w:val="21"/>
                      <w:szCs w:val="21"/>
                      <w:lang w:val="en-US" w:eastAsia="zh-CN"/>
                    </w:rPr>
                    <w:t>成型</w:t>
                  </w:r>
                  <w:r>
                    <w:rPr>
                      <w:rFonts w:hint="eastAsia" w:ascii="Times New Roman" w:hAnsiTheme="minorEastAsia" w:eastAsiaTheme="minorEastAsia"/>
                      <w:color w:val="auto"/>
                      <w:sz w:val="21"/>
                      <w:szCs w:val="21"/>
                      <w:highlight w:val="none"/>
                      <w:lang w:val="en-US" w:eastAsia="zh-CN"/>
                    </w:rPr>
                    <w:t>、混料</w:t>
                  </w:r>
                </w:p>
              </w:tc>
              <w:tc>
                <w:tcPr>
                  <w:tcW w:w="744" w:type="pct"/>
                  <w:vAlign w:val="center"/>
                </w:tcPr>
                <w:p w14:paraId="0504AA0C">
                  <w:pPr>
                    <w:pStyle w:val="185"/>
                    <w:keepNext w:val="0"/>
                    <w:keepLines w:val="0"/>
                    <w:pageBreakBefore w:val="0"/>
                    <w:widowControl/>
                    <w:kinsoku w:val="0"/>
                    <w:wordWrap/>
                    <w:overflowPunct w:val="0"/>
                    <w:topLinePunct w:val="0"/>
                    <w:autoSpaceDE w:val="0"/>
                    <w:autoSpaceDN w:val="0"/>
                    <w:bidi w:val="0"/>
                    <w:adjustRightInd/>
                    <w:snapToGrid/>
                    <w:spacing w:line="240" w:lineRule="auto"/>
                    <w:ind w:left="-63" w:leftChars="-30" w:right="-63" w:rightChars="-30" w:firstLine="0" w:firstLineChars="0"/>
                    <w:jc w:val="center"/>
                    <w:textAlignment w:val="auto"/>
                    <w:rPr>
                      <w:rFonts w:ascii="Times New Roman" w:hAnsi="Times New Roman" w:eastAsiaTheme="minorEastAsia"/>
                      <w:color w:val="auto"/>
                      <w:sz w:val="21"/>
                      <w:szCs w:val="21"/>
                      <w:highlight w:val="none"/>
                    </w:rPr>
                  </w:pPr>
                  <w:r>
                    <w:rPr>
                      <w:rFonts w:hint="eastAsia" w:ascii="Times New Roman" w:hAnsiTheme="minorEastAsia" w:eastAsiaTheme="minorEastAsia"/>
                      <w:color w:val="auto"/>
                      <w:sz w:val="21"/>
                      <w:szCs w:val="21"/>
                      <w:highlight w:val="none"/>
                      <w:lang w:val="en-US" w:eastAsia="zh-CN"/>
                    </w:rPr>
                    <w:t>粉尘、</w:t>
                  </w:r>
                  <w:r>
                    <w:rPr>
                      <w:rFonts w:hint="eastAsia" w:ascii="Times New Roman" w:hAnsiTheme="minorEastAsia" w:eastAsiaTheme="minorEastAsia"/>
                      <w:color w:val="auto"/>
                      <w:sz w:val="21"/>
                      <w:szCs w:val="21"/>
                      <w:highlight w:val="none"/>
                    </w:rPr>
                    <w:t>非甲烷总烃</w:t>
                  </w:r>
                </w:p>
              </w:tc>
              <w:tc>
                <w:tcPr>
                  <w:tcW w:w="1577" w:type="pct"/>
                  <w:vAlign w:val="center"/>
                </w:tcPr>
                <w:p w14:paraId="23B734CF">
                  <w:pPr>
                    <w:pStyle w:val="185"/>
                    <w:keepNext w:val="0"/>
                    <w:keepLines w:val="0"/>
                    <w:pageBreakBefore w:val="0"/>
                    <w:widowControl/>
                    <w:kinsoku w:val="0"/>
                    <w:wordWrap/>
                    <w:overflowPunct w:val="0"/>
                    <w:topLinePunct w:val="0"/>
                    <w:autoSpaceDE w:val="0"/>
                    <w:autoSpaceDN w:val="0"/>
                    <w:bidi w:val="0"/>
                    <w:adjustRightInd/>
                    <w:snapToGrid/>
                    <w:spacing w:line="240" w:lineRule="auto"/>
                    <w:ind w:left="-63" w:leftChars="-30" w:right="-63" w:rightChars="-30" w:firstLine="0" w:firstLineChars="0"/>
                    <w:jc w:val="center"/>
                    <w:textAlignment w:val="auto"/>
                    <w:rPr>
                      <w:rFonts w:ascii="Times New Roman" w:hAnsi="Times New Roman" w:eastAsiaTheme="minorEastAsia"/>
                      <w:color w:val="auto"/>
                      <w:sz w:val="21"/>
                      <w:szCs w:val="21"/>
                      <w:highlight w:val="none"/>
                    </w:rPr>
                  </w:pPr>
                  <w:r>
                    <w:rPr>
                      <w:rFonts w:hint="eastAsia" w:ascii="Times New Roman" w:hAnsi="Times New Roman" w:eastAsiaTheme="minorEastAsia"/>
                      <w:color w:val="auto"/>
                      <w:sz w:val="21"/>
                      <w:szCs w:val="21"/>
                      <w:highlight w:val="none"/>
                      <w:lang w:val="en-US" w:eastAsia="zh-CN"/>
                    </w:rPr>
                    <w:t>布袋除尘器+活性炭</w:t>
                  </w:r>
                  <w:r>
                    <w:rPr>
                      <w:rFonts w:hint="eastAsia" w:ascii="Times New Roman" w:hAnsi="Times New Roman" w:eastAsiaTheme="minorEastAsia"/>
                      <w:color w:val="auto"/>
                      <w:sz w:val="21"/>
                      <w:szCs w:val="21"/>
                      <w:highlight w:val="none"/>
                    </w:rPr>
                    <w:t>吸附催化燃烧装置+</w:t>
                  </w:r>
                  <w:r>
                    <w:rPr>
                      <w:rFonts w:ascii="Times New Roman" w:hAnsi="Times New Roman" w:eastAsiaTheme="minorEastAsia"/>
                      <w:color w:val="auto"/>
                      <w:sz w:val="21"/>
                      <w:szCs w:val="21"/>
                      <w:highlight w:val="none"/>
                    </w:rPr>
                    <w:t>15m</w:t>
                  </w:r>
                  <w:r>
                    <w:rPr>
                      <w:rFonts w:ascii="Times New Roman" w:hAnsiTheme="minorEastAsia" w:eastAsiaTheme="minorEastAsia"/>
                      <w:color w:val="auto"/>
                      <w:sz w:val="21"/>
                      <w:szCs w:val="21"/>
                      <w:highlight w:val="none"/>
                    </w:rPr>
                    <w:t>高排气筒</w:t>
                  </w:r>
                </w:p>
              </w:tc>
              <w:tc>
                <w:tcPr>
                  <w:tcW w:w="690" w:type="pct"/>
                  <w:vMerge w:val="continue"/>
                  <w:vAlign w:val="center"/>
                </w:tcPr>
                <w:p w14:paraId="515FB713">
                  <w:pPr>
                    <w:pStyle w:val="185"/>
                    <w:keepNext w:val="0"/>
                    <w:keepLines w:val="0"/>
                    <w:pageBreakBefore w:val="0"/>
                    <w:widowControl/>
                    <w:kinsoku w:val="0"/>
                    <w:wordWrap/>
                    <w:overflowPunct w:val="0"/>
                    <w:topLinePunct w:val="0"/>
                    <w:autoSpaceDE w:val="0"/>
                    <w:autoSpaceDN w:val="0"/>
                    <w:bidi w:val="0"/>
                    <w:adjustRightInd/>
                    <w:snapToGrid/>
                    <w:spacing w:line="240" w:lineRule="auto"/>
                    <w:ind w:left="-63" w:leftChars="-30" w:right="-63" w:rightChars="-30" w:firstLine="0" w:firstLineChars="0"/>
                    <w:jc w:val="center"/>
                    <w:textAlignment w:val="auto"/>
                    <w:rPr>
                      <w:rFonts w:ascii="Times New Roman" w:hAnsi="Times New Roman" w:eastAsiaTheme="minorEastAsia"/>
                      <w:color w:val="auto"/>
                      <w:sz w:val="21"/>
                      <w:szCs w:val="21"/>
                      <w:highlight w:val="none"/>
                    </w:rPr>
                  </w:pPr>
                </w:p>
              </w:tc>
            </w:tr>
          </w:tbl>
          <w:p w14:paraId="0801E087">
            <w:pPr>
              <w:spacing w:line="520" w:lineRule="exact"/>
              <w:rPr>
                <w:rFonts w:hint="eastAsia" w:hAnsiTheme="minorEastAsia" w:eastAsiaTheme="minorEastAsia"/>
                <w:b/>
                <w:color w:val="auto"/>
                <w:sz w:val="24"/>
                <w:highlight w:val="none"/>
                <w:lang w:val="en-US" w:eastAsia="zh-CN"/>
              </w:rPr>
            </w:pPr>
            <w:r>
              <w:rPr>
                <w:rFonts w:eastAsiaTheme="minorEastAsia"/>
                <w:b/>
                <w:color w:val="auto"/>
                <w:sz w:val="24"/>
                <w:highlight w:val="none"/>
              </w:rPr>
              <w:t>1</w:t>
            </w:r>
            <w:r>
              <w:rPr>
                <w:rFonts w:hint="eastAsia" w:hAnsiTheme="minorEastAsia" w:eastAsiaTheme="minorEastAsia"/>
                <w:b/>
                <w:color w:val="auto"/>
                <w:sz w:val="24"/>
                <w:highlight w:val="none"/>
              </w:rPr>
              <w:t>.</w:t>
            </w:r>
            <w:r>
              <w:rPr>
                <w:rFonts w:hint="eastAsia" w:hAnsiTheme="minorEastAsia" w:eastAsiaTheme="minorEastAsia"/>
                <w:b/>
                <w:color w:val="auto"/>
                <w:sz w:val="24"/>
                <w:highlight w:val="none"/>
                <w:lang w:val="en-US" w:eastAsia="zh-CN"/>
              </w:rPr>
              <w:t>3</w:t>
            </w:r>
            <w:r>
              <w:rPr>
                <w:rFonts w:hint="eastAsia" w:hAnsiTheme="minorEastAsia" w:eastAsiaTheme="minorEastAsia"/>
                <w:b/>
                <w:color w:val="auto"/>
                <w:sz w:val="24"/>
                <w:highlight w:val="none"/>
              </w:rPr>
              <w:t xml:space="preserve"> </w:t>
            </w:r>
            <w:r>
              <w:rPr>
                <w:rFonts w:hint="eastAsia" w:hAnsiTheme="minorEastAsia" w:eastAsiaTheme="minorEastAsia"/>
                <w:b/>
                <w:color w:val="auto"/>
                <w:sz w:val="24"/>
                <w:highlight w:val="none"/>
                <w:lang w:val="en-US" w:eastAsia="zh-CN"/>
              </w:rPr>
              <w:t>非正常工况</w:t>
            </w:r>
          </w:p>
          <w:p w14:paraId="158764E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rPr>
            </w:pPr>
            <w:r>
              <w:rPr>
                <w:rFonts w:hint="default" w:ascii="Times New Roman" w:hAnsi="宋体" w:eastAsia="宋体" w:cs="Times New Roman"/>
                <w:color w:val="auto"/>
                <w:sz w:val="24"/>
                <w:highlight w:val="none"/>
                <w:lang w:val="en-US" w:eastAsia="zh-CN"/>
              </w:rPr>
              <w:t>项目非正常工况为废气处理设施失效，导致挥发性有机物、颗粒物排放浓度出现超标，当发现设备故障后，对废气处理设施及时停机进行检修，不会对周围环境造成较大影响。</w:t>
            </w:r>
          </w:p>
          <w:p w14:paraId="41DD4CB0">
            <w:pPr>
              <w:spacing w:line="360" w:lineRule="auto"/>
              <w:jc w:val="center"/>
              <w:rPr>
                <w:rFonts w:hint="default" w:ascii="Times New Roman" w:cs="Times New Roman" w:hAnsiTheme="minorEastAsia" w:eastAsiaTheme="minorEastAsia"/>
                <w:b/>
                <w:color w:val="auto"/>
                <w:szCs w:val="21"/>
                <w:highlight w:val="none"/>
              </w:rPr>
            </w:pPr>
            <w:r>
              <w:rPr>
                <w:rFonts w:hint="default" w:ascii="Times New Roman" w:cs="Times New Roman" w:hAnsiTheme="minorEastAsia" w:eastAsiaTheme="minorEastAsia"/>
                <w:b/>
                <w:color w:val="auto"/>
                <w:szCs w:val="21"/>
                <w:highlight w:val="none"/>
              </w:rPr>
              <w:t>表4-</w:t>
            </w:r>
            <w:r>
              <w:rPr>
                <w:rFonts w:hint="eastAsia" w:ascii="Times New Roman" w:cs="Times New Roman" w:hAnsiTheme="minorEastAsia" w:eastAsiaTheme="minorEastAsia"/>
                <w:b/>
                <w:color w:val="auto"/>
                <w:szCs w:val="21"/>
                <w:highlight w:val="none"/>
                <w:lang w:val="en-US" w:eastAsia="zh-CN"/>
              </w:rPr>
              <w:t>6</w:t>
            </w:r>
            <w:r>
              <w:rPr>
                <w:rFonts w:hint="default" w:ascii="Times New Roman" w:cs="Times New Roman" w:hAnsiTheme="minorEastAsia" w:eastAsiaTheme="minorEastAsia"/>
                <w:b/>
                <w:color w:val="auto"/>
                <w:szCs w:val="21"/>
                <w:highlight w:val="none"/>
              </w:rPr>
              <w:t xml:space="preserve">  非正常工况废气污染物产生及排放情况</w:t>
            </w:r>
          </w:p>
          <w:tbl>
            <w:tblPr>
              <w:tblStyle w:val="34"/>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1080"/>
              <w:gridCol w:w="1050"/>
              <w:gridCol w:w="1043"/>
              <w:gridCol w:w="680"/>
              <w:gridCol w:w="2942"/>
              <w:gridCol w:w="662"/>
            </w:tblGrid>
            <w:tr w14:paraId="3360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7" w:type="pct"/>
                  <w:noWrap w:val="0"/>
                  <w:vAlign w:val="center"/>
                </w:tcPr>
                <w:p w14:paraId="7042A150">
                  <w:pPr>
                    <w:pStyle w:val="240"/>
                    <w:rPr>
                      <w:rFonts w:hint="default" w:ascii="Times New Roman" w:hAnsi="Times New Roman" w:cs="Times New Roman"/>
                      <w:b w:val="0"/>
                      <w:bCs w:val="0"/>
                      <w:lang w:eastAsia="zh-CN"/>
                    </w:rPr>
                  </w:pPr>
                  <w:r>
                    <w:rPr>
                      <w:rFonts w:hint="default" w:ascii="Times New Roman" w:hAnsi="Times New Roman" w:cs="Times New Roman"/>
                      <w:b w:val="0"/>
                      <w:bCs w:val="0"/>
                      <w:lang w:eastAsia="zh-CN"/>
                    </w:rPr>
                    <w:t>排放源</w:t>
                  </w:r>
                </w:p>
              </w:tc>
              <w:tc>
                <w:tcPr>
                  <w:tcW w:w="650" w:type="pct"/>
                  <w:noWrap w:val="0"/>
                  <w:vAlign w:val="center"/>
                </w:tcPr>
                <w:p w14:paraId="1AF8638D">
                  <w:pPr>
                    <w:pStyle w:val="240"/>
                    <w:rPr>
                      <w:rFonts w:hint="default" w:ascii="Times New Roman" w:hAnsi="Times New Roman" w:cs="Times New Roman"/>
                      <w:b w:val="0"/>
                      <w:bCs w:val="0"/>
                    </w:rPr>
                  </w:pPr>
                  <w:r>
                    <w:rPr>
                      <w:rFonts w:hint="default" w:ascii="Times New Roman" w:hAnsi="Times New Roman" w:cs="Times New Roman"/>
                      <w:b w:val="0"/>
                      <w:bCs w:val="0"/>
                    </w:rPr>
                    <w:t>污染物</w:t>
                  </w:r>
                </w:p>
              </w:tc>
              <w:tc>
                <w:tcPr>
                  <w:tcW w:w="632" w:type="pct"/>
                  <w:noWrap w:val="0"/>
                  <w:vAlign w:val="center"/>
                </w:tcPr>
                <w:p w14:paraId="18C6CF32">
                  <w:pPr>
                    <w:pStyle w:val="240"/>
                    <w:rPr>
                      <w:rFonts w:hint="default" w:ascii="Times New Roman" w:hAnsi="Times New Roman" w:cs="Times New Roman"/>
                      <w:b w:val="0"/>
                      <w:bCs w:val="0"/>
                    </w:rPr>
                  </w:pPr>
                  <w:r>
                    <w:rPr>
                      <w:rFonts w:hint="default" w:ascii="Times New Roman" w:hAnsi="Times New Roman" w:cs="Times New Roman"/>
                      <w:b w:val="0"/>
                      <w:bCs w:val="0"/>
                    </w:rPr>
                    <w:t>排放量</w:t>
                  </w:r>
                  <w:r>
                    <w:rPr>
                      <w:rFonts w:hint="default" w:ascii="Times New Roman" w:hAnsi="Times New Roman" w:cs="Times New Roman"/>
                      <w:b w:val="0"/>
                      <w:bCs w:val="0"/>
                      <w:lang w:val="en-US" w:eastAsia="zh-CN"/>
                    </w:rPr>
                    <w:t>kg/h</w:t>
                  </w:r>
                </w:p>
              </w:tc>
              <w:tc>
                <w:tcPr>
                  <w:tcW w:w="628" w:type="pct"/>
                  <w:noWrap w:val="0"/>
                  <w:vAlign w:val="center"/>
                </w:tcPr>
                <w:p w14:paraId="6B12087D">
                  <w:pPr>
                    <w:pStyle w:val="240"/>
                    <w:rPr>
                      <w:rFonts w:hint="default" w:ascii="Times New Roman" w:hAnsi="Times New Roman" w:cs="Times New Roman"/>
                      <w:b w:val="0"/>
                      <w:bCs w:val="0"/>
                      <w:lang w:eastAsia="zh-CN"/>
                    </w:rPr>
                  </w:pPr>
                  <w:r>
                    <w:rPr>
                      <w:rFonts w:hint="default" w:ascii="Times New Roman" w:hAnsi="Times New Roman" w:cs="Times New Roman"/>
                      <w:b w:val="0"/>
                      <w:bCs w:val="0"/>
                    </w:rPr>
                    <w:t>排放浓度mg/</w:t>
                  </w:r>
                  <w:r>
                    <w:rPr>
                      <w:rFonts w:hint="default" w:ascii="Times New Roman" w:hAnsi="Times New Roman" w:cs="Times New Roman"/>
                      <w:b w:val="0"/>
                      <w:bCs w:val="0"/>
                      <w:lang w:eastAsia="zh-CN"/>
                    </w:rPr>
                    <w:t>m³</w:t>
                  </w:r>
                </w:p>
              </w:tc>
              <w:tc>
                <w:tcPr>
                  <w:tcW w:w="409" w:type="pct"/>
                  <w:noWrap w:val="0"/>
                  <w:vAlign w:val="center"/>
                </w:tcPr>
                <w:p w14:paraId="6719A741">
                  <w:pPr>
                    <w:pStyle w:val="240"/>
                    <w:rPr>
                      <w:rFonts w:hint="default" w:ascii="Times New Roman" w:hAnsi="Times New Roman" w:cs="Times New Roman"/>
                      <w:b w:val="0"/>
                      <w:bCs w:val="0"/>
                      <w:lang w:eastAsia="zh-CN"/>
                    </w:rPr>
                  </w:pPr>
                  <w:r>
                    <w:rPr>
                      <w:rFonts w:hint="default" w:ascii="Times New Roman" w:hAnsi="Times New Roman" w:cs="Times New Roman"/>
                      <w:b w:val="0"/>
                      <w:bCs w:val="0"/>
                      <w:lang w:eastAsia="zh-CN"/>
                    </w:rPr>
                    <w:t>持续时间</w:t>
                  </w:r>
                </w:p>
              </w:tc>
              <w:tc>
                <w:tcPr>
                  <w:tcW w:w="1772" w:type="pct"/>
                  <w:noWrap w:val="0"/>
                  <w:vAlign w:val="center"/>
                </w:tcPr>
                <w:p w14:paraId="59C3D857">
                  <w:pPr>
                    <w:pStyle w:val="240"/>
                    <w:rPr>
                      <w:rFonts w:hint="default" w:ascii="Times New Roman" w:hAnsi="Times New Roman" w:cs="Times New Roman"/>
                      <w:b w:val="0"/>
                      <w:bCs w:val="0"/>
                      <w:lang w:eastAsia="zh-CN"/>
                    </w:rPr>
                  </w:pPr>
                  <w:r>
                    <w:rPr>
                      <w:rFonts w:hint="default" w:ascii="Times New Roman" w:hAnsi="Times New Roman" w:cs="Times New Roman"/>
                      <w:b w:val="0"/>
                      <w:bCs w:val="0"/>
                      <w:lang w:eastAsia="zh-CN"/>
                    </w:rPr>
                    <w:t>非正常工况</w:t>
                  </w:r>
                </w:p>
              </w:tc>
              <w:tc>
                <w:tcPr>
                  <w:tcW w:w="398" w:type="pct"/>
                  <w:noWrap w:val="0"/>
                  <w:vAlign w:val="center"/>
                </w:tcPr>
                <w:p w14:paraId="4F1E0986">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应对措施</w:t>
                  </w:r>
                </w:p>
              </w:tc>
            </w:tr>
            <w:tr w14:paraId="181C9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7" w:type="pct"/>
                  <w:vMerge w:val="restart"/>
                  <w:noWrap w:val="0"/>
                  <w:vAlign w:val="center"/>
                </w:tcPr>
                <w:p w14:paraId="427621A9">
                  <w:pPr>
                    <w:pStyle w:val="240"/>
                    <w:rPr>
                      <w:rFonts w:hint="default" w:ascii="Times New Roman" w:hAnsi="Times New Roman" w:cs="Times New Roman"/>
                      <w:b w:val="0"/>
                      <w:bCs w:val="0"/>
                      <w:lang w:val="en-US" w:eastAsia="zh-CN"/>
                    </w:rPr>
                  </w:pPr>
                  <w:r>
                    <w:rPr>
                      <w:rFonts w:hint="eastAsia" w:cs="Times New Roman"/>
                      <w:b w:val="0"/>
                      <w:bCs w:val="0"/>
                      <w:lang w:val="en-US" w:eastAsia="zh-CN"/>
                    </w:rPr>
                    <w:t>DA001</w:t>
                  </w:r>
                </w:p>
              </w:tc>
              <w:tc>
                <w:tcPr>
                  <w:tcW w:w="650" w:type="pct"/>
                  <w:noWrap w:val="0"/>
                  <w:vAlign w:val="center"/>
                </w:tcPr>
                <w:p w14:paraId="1B866C1C">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颗粒物</w:t>
                  </w:r>
                </w:p>
              </w:tc>
              <w:tc>
                <w:tcPr>
                  <w:tcW w:w="632" w:type="pct"/>
                  <w:noWrap w:val="0"/>
                  <w:vAlign w:val="center"/>
                </w:tcPr>
                <w:p w14:paraId="6396C50F">
                  <w:pPr>
                    <w:pStyle w:val="240"/>
                    <w:rPr>
                      <w:rFonts w:hint="default" w:ascii="Times New Roman" w:hAnsi="Times New Roman" w:cs="Times New Roman"/>
                      <w:b w:val="0"/>
                      <w:bCs w:val="0"/>
                      <w:lang w:val="en-US" w:eastAsia="zh-CN"/>
                    </w:rPr>
                  </w:pPr>
                  <w:r>
                    <w:rPr>
                      <w:rFonts w:hint="eastAsia" w:cs="Times New Roman"/>
                      <w:b w:val="0"/>
                      <w:bCs w:val="0"/>
                      <w:lang w:val="en-US" w:eastAsia="zh-CN"/>
                    </w:rPr>
                    <w:t>2.25</w:t>
                  </w:r>
                </w:p>
              </w:tc>
              <w:tc>
                <w:tcPr>
                  <w:tcW w:w="628" w:type="pct"/>
                  <w:noWrap w:val="0"/>
                  <w:vAlign w:val="center"/>
                </w:tcPr>
                <w:p w14:paraId="71CDE47E">
                  <w:pPr>
                    <w:pStyle w:val="240"/>
                    <w:rPr>
                      <w:rFonts w:hint="default" w:ascii="Times New Roman" w:hAnsi="Times New Roman" w:cs="Times New Roman"/>
                      <w:b w:val="0"/>
                      <w:bCs w:val="0"/>
                      <w:lang w:val="en-US" w:eastAsia="zh-CN"/>
                    </w:rPr>
                  </w:pPr>
                  <w:r>
                    <w:rPr>
                      <w:rFonts w:hint="eastAsia" w:cs="Times New Roman"/>
                      <w:b w:val="0"/>
                      <w:bCs w:val="0"/>
                      <w:lang w:val="en-US" w:eastAsia="zh-CN"/>
                    </w:rPr>
                    <w:t>225</w:t>
                  </w:r>
                </w:p>
              </w:tc>
              <w:tc>
                <w:tcPr>
                  <w:tcW w:w="409" w:type="pct"/>
                  <w:noWrap w:val="0"/>
                  <w:vAlign w:val="center"/>
                </w:tcPr>
                <w:p w14:paraId="68860049">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1h</w:t>
                  </w:r>
                </w:p>
              </w:tc>
              <w:tc>
                <w:tcPr>
                  <w:tcW w:w="1772" w:type="pct"/>
                  <w:noWrap w:val="0"/>
                  <w:vAlign w:val="center"/>
                </w:tcPr>
                <w:p w14:paraId="20AEF6F6">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布袋除尘设施失效</w:t>
                  </w:r>
                </w:p>
              </w:tc>
              <w:tc>
                <w:tcPr>
                  <w:tcW w:w="398" w:type="pct"/>
                  <w:vMerge w:val="restart"/>
                  <w:noWrap w:val="0"/>
                  <w:vAlign w:val="center"/>
                </w:tcPr>
                <w:p w14:paraId="3589DEA2">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日常维护</w:t>
                  </w:r>
                  <w:r>
                    <w:rPr>
                      <w:rFonts w:hint="eastAsia" w:cs="Times New Roman"/>
                      <w:b w:val="0"/>
                      <w:bCs w:val="0"/>
                      <w:lang w:val="en-US" w:eastAsia="zh-CN"/>
                    </w:rPr>
                    <w:t>及</w:t>
                  </w:r>
                  <w:r>
                    <w:rPr>
                      <w:rFonts w:hint="default" w:ascii="Times New Roman" w:hAnsi="Times New Roman" w:cs="Times New Roman"/>
                      <w:b w:val="0"/>
                      <w:bCs w:val="0"/>
                      <w:lang w:val="en-US" w:eastAsia="zh-CN"/>
                    </w:rPr>
                    <w:t>时检修</w:t>
                  </w:r>
                </w:p>
              </w:tc>
            </w:tr>
            <w:tr w14:paraId="5ED3E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7" w:type="pct"/>
                  <w:vMerge w:val="continue"/>
                  <w:noWrap w:val="0"/>
                  <w:vAlign w:val="center"/>
                </w:tcPr>
                <w:p w14:paraId="5587D9F4">
                  <w:pPr>
                    <w:pStyle w:val="240"/>
                    <w:rPr>
                      <w:rFonts w:hint="default" w:ascii="Times New Roman" w:hAnsi="Times New Roman" w:cs="Times New Roman"/>
                      <w:b w:val="0"/>
                      <w:bCs w:val="0"/>
                      <w:lang w:val="en-US" w:eastAsia="zh-CN"/>
                    </w:rPr>
                  </w:pPr>
                </w:p>
              </w:tc>
              <w:tc>
                <w:tcPr>
                  <w:tcW w:w="650" w:type="pct"/>
                  <w:noWrap w:val="0"/>
                  <w:vAlign w:val="center"/>
                </w:tcPr>
                <w:p w14:paraId="3C75B693">
                  <w:pPr>
                    <w:pStyle w:val="240"/>
                    <w:rPr>
                      <w:rFonts w:hint="default" w:ascii="Times New Roman" w:hAnsi="Times New Roman" w:cs="Times New Roman"/>
                      <w:b w:val="0"/>
                      <w:bCs w:val="0"/>
                      <w:lang w:val="en-US" w:eastAsia="zh-CN"/>
                    </w:rPr>
                  </w:pPr>
                  <w:r>
                    <w:rPr>
                      <w:rFonts w:hint="eastAsia" w:cs="Times New Roman"/>
                      <w:b w:val="0"/>
                      <w:bCs w:val="0"/>
                      <w:lang w:val="en-US" w:eastAsia="zh-CN"/>
                    </w:rPr>
                    <w:t>非甲烷总烃</w:t>
                  </w:r>
                </w:p>
              </w:tc>
              <w:tc>
                <w:tcPr>
                  <w:tcW w:w="632" w:type="pct"/>
                  <w:noWrap w:val="0"/>
                  <w:vAlign w:val="center"/>
                </w:tcPr>
                <w:p w14:paraId="0E898B96">
                  <w:pPr>
                    <w:pStyle w:val="240"/>
                    <w:rPr>
                      <w:rFonts w:hint="default" w:ascii="Times New Roman" w:hAnsi="Times New Roman" w:cs="Times New Roman"/>
                      <w:b w:val="0"/>
                      <w:bCs w:val="0"/>
                      <w:lang w:val="en-US" w:eastAsia="zh-CN"/>
                    </w:rPr>
                  </w:pPr>
                  <w:r>
                    <w:rPr>
                      <w:rFonts w:hint="eastAsia" w:cs="Times New Roman"/>
                      <w:b w:val="0"/>
                      <w:bCs w:val="0"/>
                      <w:lang w:val="en-US" w:eastAsia="zh-CN"/>
                    </w:rPr>
                    <w:t>1.012</w:t>
                  </w:r>
                </w:p>
              </w:tc>
              <w:tc>
                <w:tcPr>
                  <w:tcW w:w="628" w:type="pct"/>
                  <w:noWrap w:val="0"/>
                  <w:vAlign w:val="center"/>
                </w:tcPr>
                <w:p w14:paraId="07BB6B98">
                  <w:pPr>
                    <w:pStyle w:val="240"/>
                    <w:rPr>
                      <w:rFonts w:hint="default" w:ascii="Times New Roman" w:hAnsi="Times New Roman" w:cs="Times New Roman"/>
                      <w:b w:val="0"/>
                      <w:bCs w:val="0"/>
                      <w:lang w:val="en-US" w:eastAsia="zh-CN"/>
                    </w:rPr>
                  </w:pPr>
                  <w:r>
                    <w:rPr>
                      <w:rFonts w:hint="eastAsia" w:cs="Times New Roman"/>
                      <w:b w:val="0"/>
                      <w:bCs w:val="0"/>
                      <w:lang w:val="en-US" w:eastAsia="zh-CN"/>
                    </w:rPr>
                    <w:t>101.2</w:t>
                  </w:r>
                </w:p>
              </w:tc>
              <w:tc>
                <w:tcPr>
                  <w:tcW w:w="409" w:type="pct"/>
                  <w:noWrap w:val="0"/>
                  <w:vAlign w:val="center"/>
                </w:tcPr>
                <w:p w14:paraId="5364D59E">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1h</w:t>
                  </w:r>
                </w:p>
              </w:tc>
              <w:tc>
                <w:tcPr>
                  <w:tcW w:w="1772" w:type="pct"/>
                  <w:noWrap w:val="0"/>
                  <w:vAlign w:val="center"/>
                </w:tcPr>
                <w:p w14:paraId="660D58B7">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活性炭吸附-脱附-催化燃烧故障</w:t>
                  </w:r>
                </w:p>
              </w:tc>
              <w:tc>
                <w:tcPr>
                  <w:tcW w:w="398" w:type="pct"/>
                  <w:vMerge w:val="continue"/>
                  <w:noWrap w:val="0"/>
                  <w:vAlign w:val="center"/>
                </w:tcPr>
                <w:p w14:paraId="72240478">
                  <w:pPr>
                    <w:pStyle w:val="240"/>
                    <w:rPr>
                      <w:rFonts w:hint="default" w:ascii="Times New Roman" w:hAnsi="Times New Roman" w:cs="Times New Roman"/>
                      <w:b w:val="0"/>
                      <w:bCs w:val="0"/>
                      <w:lang w:val="en-US" w:eastAsia="zh-CN"/>
                    </w:rPr>
                  </w:pPr>
                </w:p>
              </w:tc>
            </w:tr>
            <w:tr w14:paraId="5817F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7" w:type="pct"/>
                  <w:vMerge w:val="restart"/>
                  <w:noWrap w:val="0"/>
                  <w:vAlign w:val="center"/>
                </w:tcPr>
                <w:p w14:paraId="65C66D6F">
                  <w:pPr>
                    <w:pStyle w:val="240"/>
                    <w:rPr>
                      <w:rFonts w:hint="default" w:ascii="Times New Roman" w:hAnsi="Times New Roman" w:cs="Times New Roman"/>
                      <w:b w:val="0"/>
                      <w:bCs w:val="0"/>
                      <w:lang w:val="en-US" w:eastAsia="zh-CN"/>
                    </w:rPr>
                  </w:pPr>
                  <w:r>
                    <w:rPr>
                      <w:rFonts w:hint="eastAsia" w:cs="Times New Roman"/>
                      <w:b w:val="0"/>
                      <w:bCs w:val="0"/>
                      <w:lang w:val="en-US" w:eastAsia="zh-CN"/>
                    </w:rPr>
                    <w:t>DA002</w:t>
                  </w:r>
                </w:p>
              </w:tc>
              <w:tc>
                <w:tcPr>
                  <w:tcW w:w="650" w:type="pct"/>
                  <w:noWrap w:val="0"/>
                  <w:vAlign w:val="center"/>
                </w:tcPr>
                <w:p w14:paraId="6BC6202E">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颗粒物</w:t>
                  </w:r>
                </w:p>
              </w:tc>
              <w:tc>
                <w:tcPr>
                  <w:tcW w:w="632" w:type="pct"/>
                  <w:shd w:val="clear" w:color="auto" w:fill="auto"/>
                  <w:noWrap w:val="0"/>
                  <w:vAlign w:val="center"/>
                </w:tcPr>
                <w:p w14:paraId="47210323">
                  <w:pPr>
                    <w:pStyle w:val="240"/>
                    <w:rPr>
                      <w:rFonts w:hint="default" w:ascii="Times New Roman" w:hAnsi="Times New Roman" w:eastAsia="宋体" w:cs="Times New Roman"/>
                      <w:b w:val="0"/>
                      <w:bCs w:val="0"/>
                      <w:kern w:val="2"/>
                      <w:sz w:val="21"/>
                      <w:szCs w:val="24"/>
                      <w:lang w:val="en-US" w:eastAsia="zh-CN" w:bidi="ar-SA"/>
                    </w:rPr>
                  </w:pPr>
                  <w:r>
                    <w:rPr>
                      <w:rFonts w:hint="eastAsia" w:cs="Times New Roman"/>
                      <w:b w:val="0"/>
                      <w:bCs w:val="0"/>
                      <w:lang w:val="en-US" w:eastAsia="zh-CN"/>
                    </w:rPr>
                    <w:t>2.25</w:t>
                  </w:r>
                </w:p>
              </w:tc>
              <w:tc>
                <w:tcPr>
                  <w:tcW w:w="628" w:type="pct"/>
                  <w:shd w:val="clear" w:color="auto" w:fill="auto"/>
                  <w:noWrap w:val="0"/>
                  <w:vAlign w:val="center"/>
                </w:tcPr>
                <w:p w14:paraId="47425596">
                  <w:pPr>
                    <w:pStyle w:val="240"/>
                    <w:rPr>
                      <w:rFonts w:hint="default" w:ascii="Times New Roman" w:hAnsi="Times New Roman" w:eastAsia="宋体" w:cs="Times New Roman"/>
                      <w:b w:val="0"/>
                      <w:bCs w:val="0"/>
                      <w:kern w:val="2"/>
                      <w:sz w:val="21"/>
                      <w:szCs w:val="24"/>
                      <w:lang w:val="en-US" w:eastAsia="zh-CN" w:bidi="ar-SA"/>
                    </w:rPr>
                  </w:pPr>
                  <w:r>
                    <w:rPr>
                      <w:rFonts w:hint="eastAsia" w:cs="Times New Roman"/>
                      <w:b w:val="0"/>
                      <w:bCs w:val="0"/>
                      <w:lang w:val="en-US" w:eastAsia="zh-CN"/>
                    </w:rPr>
                    <w:t>225</w:t>
                  </w:r>
                </w:p>
              </w:tc>
              <w:tc>
                <w:tcPr>
                  <w:tcW w:w="409" w:type="pct"/>
                  <w:noWrap w:val="0"/>
                  <w:vAlign w:val="center"/>
                </w:tcPr>
                <w:p w14:paraId="7207D259">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1h</w:t>
                  </w:r>
                </w:p>
              </w:tc>
              <w:tc>
                <w:tcPr>
                  <w:tcW w:w="1772" w:type="pct"/>
                  <w:shd w:val="clear" w:color="auto" w:fill="auto"/>
                  <w:noWrap w:val="0"/>
                  <w:vAlign w:val="center"/>
                </w:tcPr>
                <w:p w14:paraId="359E2FC8">
                  <w:pPr>
                    <w:pStyle w:val="240"/>
                    <w:rPr>
                      <w:rFonts w:hint="default" w:ascii="Times New Roman" w:hAnsi="Times New Roman" w:eastAsia="宋体" w:cs="Times New Roman"/>
                      <w:b w:val="0"/>
                      <w:bCs w:val="0"/>
                      <w:kern w:val="2"/>
                      <w:sz w:val="21"/>
                      <w:szCs w:val="24"/>
                      <w:lang w:val="en-US" w:eastAsia="zh-CN" w:bidi="ar-SA"/>
                    </w:rPr>
                  </w:pPr>
                  <w:r>
                    <w:rPr>
                      <w:rFonts w:hint="default" w:ascii="Times New Roman" w:hAnsi="Times New Roman" w:cs="Times New Roman"/>
                      <w:b w:val="0"/>
                      <w:bCs w:val="0"/>
                      <w:lang w:val="en-US" w:eastAsia="zh-CN"/>
                    </w:rPr>
                    <w:t>布袋除尘设施失效</w:t>
                  </w:r>
                </w:p>
              </w:tc>
              <w:tc>
                <w:tcPr>
                  <w:tcW w:w="398" w:type="pct"/>
                  <w:vMerge w:val="continue"/>
                  <w:noWrap w:val="0"/>
                  <w:vAlign w:val="center"/>
                </w:tcPr>
                <w:p w14:paraId="090246D1">
                  <w:pPr>
                    <w:pStyle w:val="240"/>
                    <w:rPr>
                      <w:rFonts w:hint="default" w:ascii="Times New Roman" w:hAnsi="Times New Roman" w:cs="Times New Roman"/>
                      <w:b w:val="0"/>
                      <w:bCs w:val="0"/>
                      <w:lang w:val="en-US" w:eastAsia="zh-CN"/>
                    </w:rPr>
                  </w:pPr>
                </w:p>
              </w:tc>
            </w:tr>
            <w:tr w14:paraId="00A2C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7" w:type="pct"/>
                  <w:vMerge w:val="continue"/>
                  <w:noWrap w:val="0"/>
                  <w:vAlign w:val="center"/>
                </w:tcPr>
                <w:p w14:paraId="05160002">
                  <w:pPr>
                    <w:pStyle w:val="240"/>
                    <w:rPr>
                      <w:rFonts w:hint="default" w:ascii="Times New Roman" w:hAnsi="Times New Roman" w:cs="Times New Roman"/>
                      <w:b w:val="0"/>
                      <w:bCs w:val="0"/>
                      <w:lang w:val="en-US" w:eastAsia="zh-CN"/>
                    </w:rPr>
                  </w:pPr>
                </w:p>
              </w:tc>
              <w:tc>
                <w:tcPr>
                  <w:tcW w:w="650" w:type="pct"/>
                  <w:noWrap w:val="0"/>
                  <w:vAlign w:val="center"/>
                </w:tcPr>
                <w:p w14:paraId="44DD781F">
                  <w:pPr>
                    <w:pStyle w:val="240"/>
                    <w:rPr>
                      <w:rFonts w:hint="default" w:ascii="Times New Roman" w:hAnsi="Times New Roman" w:cs="Times New Roman"/>
                      <w:b w:val="0"/>
                      <w:bCs w:val="0"/>
                      <w:lang w:val="en-US" w:eastAsia="zh-CN"/>
                    </w:rPr>
                  </w:pPr>
                  <w:r>
                    <w:rPr>
                      <w:rFonts w:hint="eastAsia" w:cs="Times New Roman"/>
                      <w:b w:val="0"/>
                      <w:bCs w:val="0"/>
                      <w:lang w:val="en-US" w:eastAsia="zh-CN"/>
                    </w:rPr>
                    <w:t>非甲烷总烃</w:t>
                  </w:r>
                </w:p>
              </w:tc>
              <w:tc>
                <w:tcPr>
                  <w:tcW w:w="632" w:type="pct"/>
                  <w:noWrap w:val="0"/>
                  <w:vAlign w:val="center"/>
                </w:tcPr>
                <w:p w14:paraId="0AE145ED">
                  <w:pPr>
                    <w:pStyle w:val="240"/>
                    <w:rPr>
                      <w:rFonts w:hint="default" w:ascii="Times New Roman" w:hAnsi="Times New Roman" w:cs="Times New Roman"/>
                      <w:b w:val="0"/>
                      <w:bCs w:val="0"/>
                      <w:lang w:val="en-US" w:eastAsia="zh-CN"/>
                    </w:rPr>
                  </w:pPr>
                  <w:r>
                    <w:rPr>
                      <w:rFonts w:hint="eastAsia" w:cs="Times New Roman"/>
                      <w:b w:val="0"/>
                      <w:bCs w:val="0"/>
                      <w:lang w:val="en-US" w:eastAsia="zh-CN"/>
                    </w:rPr>
                    <w:t>0.938</w:t>
                  </w:r>
                </w:p>
              </w:tc>
              <w:tc>
                <w:tcPr>
                  <w:tcW w:w="628" w:type="pct"/>
                  <w:noWrap w:val="0"/>
                  <w:vAlign w:val="center"/>
                </w:tcPr>
                <w:p w14:paraId="47704AB4">
                  <w:pPr>
                    <w:pStyle w:val="240"/>
                    <w:rPr>
                      <w:rFonts w:hint="default" w:ascii="Times New Roman" w:hAnsi="Times New Roman" w:cs="Times New Roman"/>
                      <w:b w:val="0"/>
                      <w:bCs w:val="0"/>
                      <w:lang w:val="en-US" w:eastAsia="zh-CN"/>
                    </w:rPr>
                  </w:pPr>
                  <w:r>
                    <w:rPr>
                      <w:rFonts w:hint="eastAsia" w:cs="Times New Roman"/>
                      <w:b w:val="0"/>
                      <w:bCs w:val="0"/>
                      <w:lang w:val="en-US" w:eastAsia="zh-CN"/>
                    </w:rPr>
                    <w:t>93.8</w:t>
                  </w:r>
                </w:p>
              </w:tc>
              <w:tc>
                <w:tcPr>
                  <w:tcW w:w="409" w:type="pct"/>
                  <w:noWrap w:val="0"/>
                  <w:vAlign w:val="center"/>
                </w:tcPr>
                <w:p w14:paraId="2E99513B">
                  <w:pPr>
                    <w:pStyle w:val="24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1h</w:t>
                  </w:r>
                </w:p>
              </w:tc>
              <w:tc>
                <w:tcPr>
                  <w:tcW w:w="1772" w:type="pct"/>
                  <w:shd w:val="clear" w:color="auto" w:fill="auto"/>
                  <w:noWrap w:val="0"/>
                  <w:vAlign w:val="center"/>
                </w:tcPr>
                <w:p w14:paraId="008B856A">
                  <w:pPr>
                    <w:pStyle w:val="240"/>
                    <w:rPr>
                      <w:rFonts w:hint="default" w:ascii="Times New Roman" w:hAnsi="Times New Roman" w:eastAsia="宋体" w:cs="Times New Roman"/>
                      <w:b w:val="0"/>
                      <w:bCs w:val="0"/>
                      <w:kern w:val="2"/>
                      <w:sz w:val="21"/>
                      <w:szCs w:val="24"/>
                      <w:lang w:val="en-US" w:eastAsia="zh-CN" w:bidi="ar-SA"/>
                    </w:rPr>
                  </w:pPr>
                  <w:r>
                    <w:rPr>
                      <w:rFonts w:hint="default" w:ascii="Times New Roman" w:hAnsi="Times New Roman" w:cs="Times New Roman"/>
                      <w:b w:val="0"/>
                      <w:bCs w:val="0"/>
                      <w:lang w:val="en-US" w:eastAsia="zh-CN"/>
                    </w:rPr>
                    <w:t>活性炭吸附-脱附-催化燃烧故障</w:t>
                  </w:r>
                </w:p>
              </w:tc>
              <w:tc>
                <w:tcPr>
                  <w:tcW w:w="398" w:type="pct"/>
                  <w:vMerge w:val="continue"/>
                  <w:noWrap w:val="0"/>
                  <w:vAlign w:val="center"/>
                </w:tcPr>
                <w:p w14:paraId="0BA650C5">
                  <w:pPr>
                    <w:pStyle w:val="240"/>
                    <w:rPr>
                      <w:rFonts w:hint="default" w:ascii="Times New Roman" w:hAnsi="Times New Roman" w:cs="Times New Roman"/>
                      <w:b w:val="0"/>
                      <w:bCs w:val="0"/>
                      <w:lang w:val="en-US" w:eastAsia="zh-CN"/>
                    </w:rPr>
                  </w:pPr>
                </w:p>
              </w:tc>
            </w:tr>
          </w:tbl>
          <w:p w14:paraId="20D42DE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hAnsi="宋体" w:cs="Times New Roman"/>
                <w:color w:val="auto"/>
                <w:sz w:val="24"/>
                <w:highlight w:val="none"/>
                <w:lang w:val="en-US" w:eastAsia="zh-CN"/>
              </w:rPr>
            </w:pPr>
            <w:r>
              <w:rPr>
                <w:rFonts w:hint="default" w:ascii="Times New Roman" w:hAnsi="宋体" w:eastAsia="宋体" w:cs="Times New Roman"/>
                <w:color w:val="auto"/>
                <w:sz w:val="24"/>
                <w:highlight w:val="none"/>
                <w:lang w:val="en-US" w:eastAsia="zh-CN"/>
              </w:rPr>
              <w:t>由上表可见，在非正常工况下，</w:t>
            </w:r>
            <w:r>
              <w:rPr>
                <w:rFonts w:hint="eastAsia" w:hAnsi="宋体" w:cs="Times New Roman"/>
                <w:color w:val="auto"/>
                <w:sz w:val="24"/>
                <w:highlight w:val="none"/>
                <w:lang w:val="en-US" w:eastAsia="zh-CN"/>
              </w:rPr>
              <w:t>DA001</w:t>
            </w:r>
            <w:r>
              <w:rPr>
                <w:rFonts w:hint="default" w:ascii="Times New Roman" w:hAnsi="宋体" w:eastAsia="宋体" w:cs="Times New Roman"/>
                <w:color w:val="auto"/>
                <w:sz w:val="24"/>
                <w:highlight w:val="none"/>
                <w:lang w:val="en-US" w:eastAsia="zh-CN"/>
              </w:rPr>
              <w:t>排放口的</w:t>
            </w:r>
            <w:r>
              <w:rPr>
                <w:rFonts w:hint="eastAsia" w:ascii="Times New Roman" w:hAnsi="宋体" w:eastAsia="宋体" w:cs="Times New Roman"/>
                <w:color w:val="auto"/>
                <w:sz w:val="24"/>
                <w:highlight w:val="none"/>
                <w:lang w:val="en-US" w:eastAsia="zh-CN"/>
              </w:rPr>
              <w:t>非甲烷总烃</w:t>
            </w:r>
            <w:r>
              <w:rPr>
                <w:rFonts w:hint="default" w:ascii="Times New Roman" w:hAnsi="宋体" w:eastAsia="宋体" w:cs="Times New Roman"/>
                <w:color w:val="auto"/>
                <w:sz w:val="24"/>
                <w:highlight w:val="none"/>
                <w:lang w:val="en-US" w:eastAsia="zh-CN"/>
              </w:rPr>
              <w:t>排放浓度</w:t>
            </w:r>
            <w:r>
              <w:rPr>
                <w:rFonts w:hint="eastAsia" w:hAnsi="宋体" w:cs="Times New Roman"/>
                <w:color w:val="auto"/>
                <w:sz w:val="24"/>
                <w:highlight w:val="none"/>
                <w:lang w:val="en-US" w:eastAsia="zh-CN"/>
              </w:rPr>
              <w:t>不</w:t>
            </w:r>
            <w:r>
              <w:rPr>
                <w:rFonts w:hint="default" w:ascii="Times New Roman" w:hAnsi="宋体" w:eastAsia="宋体" w:cs="Times New Roman"/>
                <w:color w:val="auto"/>
                <w:sz w:val="24"/>
                <w:highlight w:val="none"/>
                <w:lang w:val="en-US" w:eastAsia="zh-CN"/>
              </w:rPr>
              <w:t>满足《合成树脂工业污染物排放标准》（GB31572-2015，含2024年修改单）表4大气污染物排放限值（1</w:t>
            </w:r>
            <w:r>
              <w:rPr>
                <w:rFonts w:hint="eastAsia" w:ascii="Times New Roman" w:hAnsi="宋体" w:eastAsia="宋体" w:cs="Times New Roman"/>
                <w:color w:val="auto"/>
                <w:sz w:val="24"/>
                <w:highlight w:val="none"/>
                <w:lang w:val="en-US" w:eastAsia="zh-CN"/>
              </w:rPr>
              <w:t>0</w:t>
            </w:r>
            <w:r>
              <w:rPr>
                <w:rFonts w:hint="default" w:ascii="Times New Roman" w:hAnsi="宋体" w:eastAsia="宋体" w:cs="Times New Roman"/>
                <w:color w:val="auto"/>
                <w:sz w:val="24"/>
                <w:highlight w:val="none"/>
                <w:lang w:val="en-US" w:eastAsia="zh-CN"/>
              </w:rPr>
              <w:t>0mg/m</w:t>
            </w:r>
            <w:r>
              <w:rPr>
                <w:rFonts w:hint="default" w:ascii="Times New Roman" w:hAnsi="宋体" w:eastAsia="宋体" w:cs="Times New Roman"/>
                <w:color w:val="auto"/>
                <w:sz w:val="24"/>
                <w:highlight w:val="none"/>
                <w:vertAlign w:val="superscript"/>
                <w:lang w:val="en-US" w:eastAsia="zh-CN"/>
              </w:rPr>
              <w:t>3</w:t>
            </w:r>
            <w:r>
              <w:rPr>
                <w:rFonts w:hint="default" w:ascii="Times New Roman" w:hAnsi="宋体" w:eastAsia="宋体" w:cs="Times New Roman"/>
                <w:color w:val="auto"/>
                <w:sz w:val="24"/>
                <w:highlight w:val="none"/>
                <w:lang w:val="en-US" w:eastAsia="zh-CN"/>
              </w:rPr>
              <w:t>）要求</w:t>
            </w:r>
            <w:r>
              <w:rPr>
                <w:rFonts w:hint="eastAsia" w:hAnsi="宋体" w:cs="Times New Roman"/>
                <w:color w:val="auto"/>
                <w:sz w:val="24"/>
                <w:highlight w:val="none"/>
                <w:lang w:val="en-US" w:eastAsia="zh-CN"/>
              </w:rPr>
              <w:t>，</w:t>
            </w:r>
            <w:r>
              <w:rPr>
                <w:rFonts w:hint="eastAsia" w:ascii="Times New Roman" w:hAnsi="宋体" w:eastAsia="宋体" w:cs="Times New Roman"/>
                <w:color w:val="auto"/>
                <w:sz w:val="24"/>
                <w:highlight w:val="none"/>
                <w:lang w:val="en-US" w:eastAsia="zh-CN"/>
              </w:rPr>
              <w:t>DA002</w:t>
            </w:r>
            <w:r>
              <w:rPr>
                <w:rFonts w:hint="default" w:ascii="Times New Roman" w:hAnsi="宋体" w:eastAsia="宋体" w:cs="Times New Roman"/>
                <w:color w:val="auto"/>
                <w:sz w:val="24"/>
                <w:highlight w:val="none"/>
                <w:lang w:val="en-US" w:eastAsia="zh-CN"/>
              </w:rPr>
              <w:t>排放口的</w:t>
            </w:r>
            <w:r>
              <w:rPr>
                <w:rFonts w:hint="eastAsia" w:ascii="Times New Roman" w:hAnsi="宋体" w:eastAsia="宋体" w:cs="Times New Roman"/>
                <w:color w:val="auto"/>
                <w:sz w:val="24"/>
                <w:highlight w:val="none"/>
                <w:lang w:val="en-US" w:eastAsia="zh-CN"/>
              </w:rPr>
              <w:t>非甲烷总烃</w:t>
            </w:r>
            <w:r>
              <w:rPr>
                <w:rFonts w:hint="default" w:ascii="Times New Roman" w:hAnsi="宋体" w:eastAsia="宋体" w:cs="Times New Roman"/>
                <w:color w:val="auto"/>
                <w:sz w:val="24"/>
                <w:highlight w:val="none"/>
                <w:lang w:val="en-US" w:eastAsia="zh-CN"/>
              </w:rPr>
              <w:t>排放浓度满足《合成树脂工业污染物排放标准》（GB31572-2015，含2024年修改单）表4大气污染物排放限值（1</w:t>
            </w:r>
            <w:r>
              <w:rPr>
                <w:rFonts w:hint="eastAsia" w:ascii="Times New Roman" w:hAnsi="宋体" w:eastAsia="宋体" w:cs="Times New Roman"/>
                <w:color w:val="auto"/>
                <w:sz w:val="24"/>
                <w:highlight w:val="none"/>
                <w:lang w:val="en-US" w:eastAsia="zh-CN"/>
              </w:rPr>
              <w:t>0</w:t>
            </w:r>
            <w:r>
              <w:rPr>
                <w:rFonts w:hint="default" w:ascii="Times New Roman" w:hAnsi="宋体" w:eastAsia="宋体" w:cs="Times New Roman"/>
                <w:color w:val="auto"/>
                <w:sz w:val="24"/>
                <w:highlight w:val="none"/>
                <w:lang w:val="en-US" w:eastAsia="zh-CN"/>
              </w:rPr>
              <w:t>0mg/m</w:t>
            </w:r>
            <w:r>
              <w:rPr>
                <w:rFonts w:hint="default" w:ascii="Times New Roman" w:hAnsi="宋体" w:eastAsia="宋体" w:cs="Times New Roman"/>
                <w:color w:val="auto"/>
                <w:sz w:val="24"/>
                <w:highlight w:val="none"/>
                <w:vertAlign w:val="superscript"/>
                <w:lang w:val="en-US" w:eastAsia="zh-CN"/>
              </w:rPr>
              <w:t>3</w:t>
            </w:r>
            <w:r>
              <w:rPr>
                <w:rFonts w:hint="default" w:ascii="Times New Roman" w:hAnsi="宋体" w:eastAsia="宋体" w:cs="Times New Roman"/>
                <w:color w:val="auto"/>
                <w:sz w:val="24"/>
                <w:highlight w:val="none"/>
                <w:lang w:val="en-US" w:eastAsia="zh-CN"/>
              </w:rPr>
              <w:t>）要求；</w:t>
            </w:r>
            <w:r>
              <w:rPr>
                <w:rFonts w:hint="eastAsia" w:ascii="Times New Roman" w:hAnsi="宋体" w:eastAsia="宋体" w:cs="Times New Roman"/>
                <w:color w:val="auto"/>
                <w:sz w:val="24"/>
                <w:highlight w:val="none"/>
                <w:lang w:val="en-US" w:eastAsia="zh-CN"/>
              </w:rPr>
              <w:t>DA001和DA002</w:t>
            </w:r>
            <w:r>
              <w:rPr>
                <w:rFonts w:hint="default" w:ascii="Times New Roman" w:hAnsi="宋体" w:eastAsia="宋体" w:cs="Times New Roman"/>
                <w:color w:val="auto"/>
                <w:sz w:val="24"/>
                <w:highlight w:val="none"/>
                <w:lang w:val="en-US" w:eastAsia="zh-CN"/>
              </w:rPr>
              <w:t>排放口</w:t>
            </w:r>
            <w:r>
              <w:rPr>
                <w:rFonts w:hint="eastAsia" w:ascii="Times New Roman" w:hAnsi="宋体" w:eastAsia="宋体" w:cs="Times New Roman"/>
                <w:color w:val="auto"/>
                <w:sz w:val="24"/>
                <w:highlight w:val="none"/>
                <w:lang w:val="en-US" w:eastAsia="zh-CN"/>
              </w:rPr>
              <w:t>的</w:t>
            </w:r>
            <w:r>
              <w:rPr>
                <w:rFonts w:hint="default" w:ascii="Times New Roman" w:hAnsi="宋体" w:eastAsia="宋体" w:cs="Times New Roman"/>
                <w:color w:val="auto"/>
                <w:sz w:val="24"/>
                <w:highlight w:val="none"/>
                <w:lang w:val="en-US" w:eastAsia="zh-CN"/>
              </w:rPr>
              <w:t>颗粒物排放</w:t>
            </w:r>
            <w:r>
              <w:rPr>
                <w:rFonts w:hint="eastAsia" w:ascii="Times New Roman" w:hAnsi="宋体" w:eastAsia="宋体" w:cs="Times New Roman"/>
                <w:color w:val="auto"/>
                <w:sz w:val="24"/>
                <w:highlight w:val="none"/>
                <w:lang w:val="en-US" w:eastAsia="zh-CN"/>
              </w:rPr>
              <w:t>不</w:t>
            </w:r>
            <w:r>
              <w:rPr>
                <w:rFonts w:hint="default" w:ascii="Times New Roman" w:hAnsi="宋体" w:eastAsia="宋体" w:cs="Times New Roman"/>
                <w:color w:val="auto"/>
                <w:sz w:val="24"/>
                <w:highlight w:val="none"/>
                <w:lang w:val="en-US" w:eastAsia="zh-CN"/>
              </w:rPr>
              <w:t>满足《合成树脂工业污染物排放标准》（GB31572-2015，含2024年修改单）表4大气污染物排放限值（</w:t>
            </w:r>
            <w:r>
              <w:rPr>
                <w:rFonts w:hint="eastAsia" w:ascii="Times New Roman" w:hAnsi="宋体" w:eastAsia="宋体" w:cs="Times New Roman"/>
                <w:color w:val="auto"/>
                <w:sz w:val="24"/>
                <w:highlight w:val="none"/>
                <w:lang w:val="en-US" w:eastAsia="zh-CN"/>
              </w:rPr>
              <w:t>3</w:t>
            </w:r>
            <w:r>
              <w:rPr>
                <w:rFonts w:hint="default" w:ascii="Times New Roman" w:hAnsi="宋体" w:eastAsia="宋体" w:cs="Times New Roman"/>
                <w:color w:val="auto"/>
                <w:sz w:val="24"/>
                <w:highlight w:val="none"/>
                <w:lang w:val="en-US" w:eastAsia="zh-CN"/>
              </w:rPr>
              <w:t>0mg/m</w:t>
            </w:r>
            <w:r>
              <w:rPr>
                <w:rFonts w:hint="default" w:ascii="Times New Roman" w:hAnsi="宋体" w:eastAsia="宋体" w:cs="Times New Roman"/>
                <w:color w:val="auto"/>
                <w:sz w:val="24"/>
                <w:highlight w:val="none"/>
                <w:vertAlign w:val="superscript"/>
                <w:lang w:val="en-US" w:eastAsia="zh-CN"/>
              </w:rPr>
              <w:t>3</w:t>
            </w:r>
            <w:r>
              <w:rPr>
                <w:rFonts w:hint="default" w:ascii="Times New Roman" w:hAnsi="宋体" w:eastAsia="宋体" w:cs="Times New Roman"/>
                <w:color w:val="auto"/>
                <w:sz w:val="24"/>
                <w:highlight w:val="none"/>
                <w:lang w:val="en-US" w:eastAsia="zh-CN"/>
              </w:rPr>
              <w:t>）</w:t>
            </w:r>
            <w:r>
              <w:rPr>
                <w:rFonts w:hint="eastAsia" w:ascii="Times New Roman" w:hAnsi="宋体" w:eastAsia="宋体" w:cs="Times New Roman"/>
                <w:color w:val="auto"/>
                <w:sz w:val="24"/>
                <w:highlight w:val="none"/>
                <w:lang w:val="en-US" w:eastAsia="zh-CN"/>
              </w:rPr>
              <w:t>要求</w:t>
            </w:r>
            <w:r>
              <w:rPr>
                <w:rFonts w:hint="eastAsia" w:hAnsi="宋体" w:cs="Times New Roman"/>
                <w:color w:val="auto"/>
                <w:sz w:val="24"/>
                <w:highlight w:val="none"/>
                <w:lang w:val="en-US" w:eastAsia="zh-CN"/>
              </w:rPr>
              <w:t>。</w:t>
            </w:r>
          </w:p>
          <w:p w14:paraId="688D463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hAnsi="宋体" w:cs="Times New Roman"/>
                <w:color w:val="auto"/>
                <w:sz w:val="24"/>
                <w:highlight w:val="none"/>
                <w:lang w:val="en-US" w:eastAsia="zh-CN"/>
              </w:rPr>
            </w:pPr>
            <w:r>
              <w:rPr>
                <w:rFonts w:hint="default" w:ascii="Times New Roman" w:hAnsi="宋体" w:eastAsia="宋体" w:cs="Times New Roman"/>
                <w:color w:val="auto"/>
                <w:sz w:val="24"/>
                <w:highlight w:val="none"/>
                <w:lang w:val="en-US" w:eastAsia="zh-CN"/>
              </w:rPr>
              <w:t>本评价要求</w:t>
            </w:r>
            <w:r>
              <w:rPr>
                <w:rFonts w:hint="eastAsia" w:hAnsi="宋体" w:cs="Times New Roman"/>
                <w:color w:val="auto"/>
                <w:sz w:val="24"/>
                <w:highlight w:val="none"/>
                <w:lang w:val="en-US" w:eastAsia="zh-CN"/>
              </w:rPr>
              <w:t>:</w:t>
            </w:r>
          </w:p>
          <w:p w14:paraId="7CD42CC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Times New Roman"/>
                <w:color w:val="auto"/>
                <w:sz w:val="24"/>
                <w:highlight w:val="none"/>
                <w:lang w:val="en-US" w:eastAsia="zh-CN"/>
              </w:rPr>
            </w:pPr>
            <w:r>
              <w:rPr>
                <w:rFonts w:hint="eastAsia" w:hAnsi="宋体" w:cs="Times New Roman"/>
                <w:color w:val="auto"/>
                <w:sz w:val="24"/>
                <w:highlight w:val="none"/>
                <w:lang w:val="en-US" w:eastAsia="zh-CN"/>
              </w:rPr>
              <w:t>①</w:t>
            </w:r>
            <w:r>
              <w:rPr>
                <w:rFonts w:hint="default" w:ascii="Times New Roman" w:hAnsi="宋体" w:eastAsia="宋体" w:cs="Times New Roman"/>
                <w:color w:val="auto"/>
                <w:sz w:val="24"/>
                <w:highlight w:val="none"/>
                <w:lang w:val="en-US" w:eastAsia="zh-CN"/>
              </w:rPr>
              <w:t>建设单位强化项目生产运行过程中环保设备的管理，降低非正常工况的发生频次，减少非正常工况的持续时间。</w:t>
            </w:r>
          </w:p>
          <w:p w14:paraId="7623DD2C">
            <w:pPr>
              <w:keepNext w:val="0"/>
              <w:keepLines w:val="0"/>
              <w:pageBreakBefore w:val="0"/>
              <w:widowControl/>
              <w:suppressLineNumbers w:val="0"/>
              <w:kinsoku/>
              <w:wordWrap/>
              <w:overflowPunct/>
              <w:topLinePunct w:val="0"/>
              <w:autoSpaceDE/>
              <w:autoSpaceDN/>
              <w:bidi w:val="0"/>
              <w:adjustRightInd/>
              <w:snapToGrid/>
              <w:spacing w:line="360" w:lineRule="auto"/>
              <w:ind w:left="479" w:leftChars="228" w:firstLine="0" w:firstLineChars="0"/>
              <w:jc w:val="left"/>
              <w:textAlignment w:val="auto"/>
              <w:rPr>
                <w:rFonts w:hint="default" w:ascii="Times New Roman" w:hAnsi="宋体" w:eastAsia="宋体" w:cs="Times New Roman"/>
                <w:color w:val="auto"/>
                <w:sz w:val="24"/>
                <w:highlight w:val="none"/>
                <w:lang w:val="en-US" w:eastAsia="zh-CN"/>
              </w:rPr>
            </w:pPr>
            <w:r>
              <w:rPr>
                <w:rFonts w:hint="eastAsia" w:hAnsi="宋体" w:cs="Times New Roman"/>
                <w:color w:val="auto"/>
                <w:sz w:val="24"/>
                <w:highlight w:val="none"/>
                <w:lang w:val="en-US" w:eastAsia="zh-CN"/>
              </w:rPr>
              <w:t>②</w:t>
            </w:r>
            <w:r>
              <w:rPr>
                <w:rFonts w:hint="default" w:ascii="Times New Roman" w:hAnsi="宋体" w:eastAsia="宋体" w:cs="Times New Roman"/>
                <w:color w:val="auto"/>
                <w:sz w:val="24"/>
                <w:highlight w:val="none"/>
                <w:lang w:val="en-US" w:eastAsia="zh-CN"/>
              </w:rPr>
              <w:t>在环保设备发生非正常工况时，应降低运行负荷，以降低污染物的排放</w:t>
            </w:r>
            <w:r>
              <w:rPr>
                <w:rFonts w:hint="eastAsia" w:hAnsi="宋体" w:cs="Times New Roman"/>
                <w:color w:val="auto"/>
                <w:sz w:val="24"/>
                <w:highlight w:val="none"/>
                <w:lang w:val="en-US" w:eastAsia="zh-CN"/>
              </w:rPr>
              <w:t>。</w:t>
            </w:r>
          </w:p>
          <w:p w14:paraId="0B8E97B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Times New Roman"/>
                <w:color w:val="auto"/>
                <w:sz w:val="24"/>
                <w:highlight w:val="none"/>
                <w:lang w:val="en-US" w:eastAsia="zh-CN"/>
              </w:rPr>
            </w:pPr>
            <w:r>
              <w:rPr>
                <w:rFonts w:hint="eastAsia" w:hAnsi="宋体" w:cs="Times New Roman"/>
                <w:color w:val="auto"/>
                <w:sz w:val="24"/>
                <w:highlight w:val="none"/>
                <w:lang w:val="en-US" w:eastAsia="zh-CN"/>
              </w:rPr>
              <w:t>③</w:t>
            </w:r>
            <w:r>
              <w:rPr>
                <w:rFonts w:hint="default" w:ascii="Times New Roman" w:hAnsi="宋体" w:eastAsia="宋体" w:cs="Times New Roman"/>
                <w:color w:val="auto"/>
                <w:sz w:val="24"/>
                <w:highlight w:val="none"/>
                <w:lang w:val="en-US" w:eastAsia="zh-CN"/>
              </w:rPr>
              <w:t>在持续时间超过四小时以上时，应停止运行，直到环保设备正常为止。事故状态下应急措施，已满足达标排放条件</w:t>
            </w:r>
            <w:r>
              <w:rPr>
                <w:rFonts w:hint="eastAsia" w:hAnsi="宋体" w:cs="Times New Roman"/>
                <w:color w:val="auto"/>
                <w:sz w:val="24"/>
                <w:highlight w:val="none"/>
                <w:lang w:val="en-US" w:eastAsia="zh-CN"/>
              </w:rPr>
              <w:t>。</w:t>
            </w:r>
          </w:p>
          <w:p w14:paraId="7732EBB4">
            <w:pPr>
              <w:spacing w:line="520" w:lineRule="exact"/>
              <w:rPr>
                <w:rFonts w:eastAsiaTheme="minorEastAsia"/>
                <w:color w:val="auto"/>
                <w:sz w:val="24"/>
                <w:highlight w:val="none"/>
              </w:rPr>
            </w:pPr>
            <w:r>
              <w:rPr>
                <w:rFonts w:eastAsiaTheme="minorEastAsia"/>
                <w:b/>
                <w:color w:val="auto"/>
                <w:sz w:val="24"/>
                <w:highlight w:val="none"/>
              </w:rPr>
              <w:t>1</w:t>
            </w:r>
            <w:r>
              <w:rPr>
                <w:rFonts w:hint="eastAsia" w:hAnsiTheme="minorEastAsia" w:eastAsiaTheme="minorEastAsia"/>
                <w:b/>
                <w:color w:val="auto"/>
                <w:sz w:val="24"/>
                <w:highlight w:val="none"/>
              </w:rPr>
              <w:t>.</w:t>
            </w:r>
            <w:r>
              <w:rPr>
                <w:rFonts w:hint="eastAsia" w:hAnsiTheme="minorEastAsia" w:eastAsiaTheme="minorEastAsia"/>
                <w:b/>
                <w:color w:val="auto"/>
                <w:sz w:val="24"/>
                <w:highlight w:val="none"/>
                <w:lang w:val="en-US" w:eastAsia="zh-CN"/>
              </w:rPr>
              <w:t>4</w:t>
            </w:r>
            <w:r>
              <w:rPr>
                <w:rFonts w:hint="eastAsia" w:hAnsiTheme="minorEastAsia" w:eastAsiaTheme="minorEastAsia"/>
                <w:b/>
                <w:color w:val="auto"/>
                <w:sz w:val="24"/>
                <w:highlight w:val="none"/>
              </w:rPr>
              <w:t xml:space="preserve"> 废气处理措施及可行性分析</w:t>
            </w:r>
          </w:p>
          <w:p w14:paraId="790D6B56">
            <w:pPr>
              <w:spacing w:line="480" w:lineRule="exact"/>
              <w:ind w:firstLine="480"/>
              <w:rPr>
                <w:rFonts w:hint="eastAsia" w:eastAsia="宋体"/>
                <w:color w:val="auto"/>
                <w:sz w:val="24"/>
                <w:lang w:eastAsia="zh-CN"/>
              </w:rPr>
            </w:pPr>
            <w:r>
              <w:rPr>
                <w:rFonts w:hint="eastAsia"/>
                <w:color w:val="auto"/>
                <w:sz w:val="24"/>
                <w:lang w:eastAsia="zh-CN"/>
              </w:rPr>
              <w:t>（</w:t>
            </w:r>
            <w:r>
              <w:rPr>
                <w:rFonts w:hint="eastAsia"/>
                <w:color w:val="auto"/>
                <w:sz w:val="24"/>
                <w:lang w:val="en-US" w:eastAsia="zh-CN"/>
              </w:rPr>
              <w:t>1</w:t>
            </w:r>
            <w:r>
              <w:rPr>
                <w:rFonts w:hint="eastAsia"/>
                <w:color w:val="auto"/>
                <w:sz w:val="24"/>
                <w:lang w:eastAsia="zh-CN"/>
              </w:rPr>
              <w:t>）活性炭吸附-脱附-催化燃烧原理</w:t>
            </w:r>
          </w:p>
          <w:p w14:paraId="46DE6CBD">
            <w:pPr>
              <w:spacing w:line="480" w:lineRule="exact"/>
              <w:ind w:firstLine="480"/>
              <w:rPr>
                <w:rFonts w:hint="eastAsia"/>
                <w:color w:val="auto"/>
                <w:sz w:val="24"/>
              </w:rPr>
            </w:pPr>
            <w:r>
              <w:rPr>
                <w:rFonts w:hint="eastAsia"/>
                <w:color w:val="auto"/>
                <w:sz w:val="24"/>
              </w:rPr>
              <w:t>本项目有机废气采用</w:t>
            </w:r>
            <w:r>
              <w:rPr>
                <w:rFonts w:hint="eastAsia"/>
                <w:color w:val="auto"/>
                <w:sz w:val="24"/>
                <w:lang w:eastAsia="zh-CN"/>
              </w:rPr>
              <w:t>活性炭吸附-脱附-催化燃烧</w:t>
            </w:r>
            <w:r>
              <w:rPr>
                <w:rFonts w:hint="eastAsia"/>
                <w:color w:val="auto"/>
                <w:sz w:val="24"/>
              </w:rPr>
              <w:t>处理，</w:t>
            </w:r>
            <w:r>
              <w:rPr>
                <w:rFonts w:hint="eastAsia"/>
                <w:color w:val="auto"/>
                <w:sz w:val="24"/>
                <w:lang w:val="en-US" w:eastAsia="zh-CN"/>
              </w:rPr>
              <w:t>其</w:t>
            </w:r>
            <w:r>
              <w:rPr>
                <w:rFonts w:hint="eastAsia"/>
                <w:color w:val="auto"/>
                <w:sz w:val="24"/>
              </w:rPr>
              <w:t>工作原理图见图</w:t>
            </w:r>
            <w:r>
              <w:rPr>
                <w:rFonts w:hint="eastAsia"/>
                <w:color w:val="auto"/>
                <w:sz w:val="24"/>
                <w:lang w:val="en-US" w:eastAsia="zh-CN"/>
              </w:rPr>
              <w:t>4</w:t>
            </w:r>
            <w:r>
              <w:rPr>
                <w:rFonts w:hint="eastAsia"/>
                <w:color w:val="auto"/>
                <w:sz w:val="24"/>
              </w:rPr>
              <w:t>。</w:t>
            </w:r>
          </w:p>
          <w:p w14:paraId="00FBEB85">
            <w:pPr>
              <w:keepNext w:val="0"/>
              <w:keepLines w:val="0"/>
              <w:pageBreakBefore w:val="0"/>
              <w:widowControl w:val="0"/>
              <w:kinsoku/>
              <w:wordWrap/>
              <w:overflowPunct/>
              <w:topLinePunct w:val="0"/>
              <w:autoSpaceDE/>
              <w:autoSpaceDN/>
              <w:bidi w:val="0"/>
              <w:adjustRightInd/>
              <w:snapToGrid/>
              <w:spacing w:line="360" w:lineRule="auto"/>
              <w:ind w:firstLine="0"/>
              <w:jc w:val="center"/>
              <w:textAlignment w:val="auto"/>
              <w:rPr>
                <w:color w:val="auto"/>
                <w:sz w:val="24"/>
              </w:rPr>
            </w:pPr>
            <w:r>
              <w:rPr>
                <w:color w:val="auto"/>
                <w:sz w:val="24"/>
              </w:rPr>
              <w:drawing>
                <wp:inline distT="0" distB="0" distL="114935" distR="114935">
                  <wp:extent cx="4906645" cy="3027680"/>
                  <wp:effectExtent l="0" t="0" r="8255" b="1270"/>
                  <wp:docPr id="6" name="图片 186" descr="T(8L)C}%IYSD6(E(H6_Q4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86" descr="T(8L)C}%IYSD6(E(H6_Q40X"/>
                          <pic:cNvPicPr>
                            <a:picLocks noChangeAspect="1"/>
                          </pic:cNvPicPr>
                        </pic:nvPicPr>
                        <pic:blipFill>
                          <a:blip r:embed="rId8"/>
                          <a:stretch>
                            <a:fillRect/>
                          </a:stretch>
                        </pic:blipFill>
                        <pic:spPr>
                          <a:xfrm>
                            <a:off x="0" y="0"/>
                            <a:ext cx="4906645" cy="3027680"/>
                          </a:xfrm>
                          <a:prstGeom prst="rect">
                            <a:avLst/>
                          </a:prstGeom>
                          <a:noFill/>
                          <a:ln>
                            <a:noFill/>
                          </a:ln>
                        </pic:spPr>
                      </pic:pic>
                    </a:graphicData>
                  </a:graphic>
                </wp:inline>
              </w:drawing>
            </w:r>
          </w:p>
          <w:p w14:paraId="53587033">
            <w:pPr>
              <w:keepNext w:val="0"/>
              <w:keepLines w:val="0"/>
              <w:pageBreakBefore w:val="0"/>
              <w:widowControl w:val="0"/>
              <w:kinsoku/>
              <w:wordWrap/>
              <w:overflowPunct/>
              <w:topLinePunct w:val="0"/>
              <w:autoSpaceDE/>
              <w:autoSpaceDN/>
              <w:bidi w:val="0"/>
              <w:adjustRightInd/>
              <w:snapToGrid/>
              <w:spacing w:line="500" w:lineRule="exact"/>
              <w:ind w:firstLine="482"/>
              <w:jc w:val="center"/>
              <w:textAlignment w:val="auto"/>
              <w:rPr>
                <w:rFonts w:hint="eastAsia" w:ascii="Times New Roman" w:hAnsi="Times New Roman" w:eastAsia="宋体" w:cs="Times New Roman"/>
                <w:b/>
                <w:bCs/>
                <w:color w:val="auto"/>
                <w:sz w:val="24"/>
              </w:rPr>
            </w:pPr>
            <w:r>
              <w:rPr>
                <w:rFonts w:hint="eastAsia" w:ascii="Times New Roman" w:hAnsi="Times New Roman" w:eastAsia="宋体" w:cs="Times New Roman"/>
                <w:b/>
                <w:bCs/>
                <w:color w:val="auto"/>
                <w:sz w:val="24"/>
              </w:rPr>
              <w:t>图</w:t>
            </w:r>
            <w:r>
              <w:rPr>
                <w:rFonts w:hint="eastAsia" w:cs="Times New Roman"/>
                <w:b/>
                <w:bCs/>
                <w:color w:val="auto"/>
                <w:sz w:val="24"/>
                <w:lang w:val="en-US" w:eastAsia="zh-CN"/>
              </w:rPr>
              <w:t>4-1</w:t>
            </w:r>
            <w:r>
              <w:rPr>
                <w:rFonts w:hint="eastAsia" w:ascii="Times New Roman" w:hAnsi="Times New Roman" w:eastAsia="宋体" w:cs="Times New Roman"/>
                <w:b/>
                <w:bCs/>
                <w:color w:val="auto"/>
                <w:sz w:val="24"/>
              </w:rPr>
              <w:t xml:space="preserve">  </w:t>
            </w:r>
            <w:r>
              <w:rPr>
                <w:rFonts w:hint="eastAsia" w:ascii="Times New Roman" w:hAnsi="Times New Roman" w:eastAsia="宋体" w:cs="Times New Roman"/>
                <w:b/>
                <w:bCs/>
                <w:color w:val="auto"/>
                <w:sz w:val="24"/>
                <w:lang w:val="en-US" w:eastAsia="zh-CN"/>
              </w:rPr>
              <w:t xml:space="preserve"> </w:t>
            </w:r>
            <w:r>
              <w:rPr>
                <w:rFonts w:hint="eastAsia" w:ascii="Times New Roman" w:hAnsi="Times New Roman" w:eastAsia="宋体" w:cs="Times New Roman"/>
                <w:b/>
                <w:bCs/>
                <w:color w:val="auto"/>
                <w:sz w:val="24"/>
                <w:lang w:eastAsia="zh-CN"/>
              </w:rPr>
              <w:t>活性炭吸附-脱附-催化燃烧</w:t>
            </w:r>
            <w:r>
              <w:rPr>
                <w:rFonts w:hint="eastAsia" w:ascii="Times New Roman" w:hAnsi="Times New Roman" w:eastAsia="宋体" w:cs="Times New Roman"/>
                <w:b/>
                <w:bCs/>
                <w:color w:val="auto"/>
                <w:sz w:val="24"/>
              </w:rPr>
              <w:t>工作原理图</w:t>
            </w:r>
          </w:p>
          <w:p w14:paraId="6A2A36A1">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color w:val="auto"/>
                <w:sz w:val="24"/>
              </w:rPr>
            </w:pPr>
            <w:r>
              <w:rPr>
                <w:rFonts w:hint="eastAsia"/>
                <w:color w:val="auto"/>
                <w:sz w:val="24"/>
                <w:lang w:eastAsia="zh-CN"/>
              </w:rPr>
              <w:t>活性炭吸附-脱附-催化燃烧</w:t>
            </w:r>
            <w:r>
              <w:rPr>
                <w:rFonts w:hint="eastAsia"/>
                <w:bCs/>
                <w:color w:val="auto"/>
                <w:sz w:val="24"/>
              </w:rPr>
              <w:t>原理：</w:t>
            </w:r>
            <w:r>
              <w:rPr>
                <w:rFonts w:hint="eastAsia"/>
                <w:color w:val="auto"/>
                <w:sz w:val="24"/>
                <w:lang w:eastAsia="zh-CN"/>
              </w:rPr>
              <w:t>活性炭吸附-脱附-催化燃烧</w:t>
            </w:r>
            <w:r>
              <w:rPr>
                <w:rFonts w:hint="eastAsia"/>
                <w:color w:val="auto"/>
                <w:sz w:val="24"/>
              </w:rPr>
              <w:t>采用多气路连续工作，设备多个吸附床可交替使用。有机废气经风机的作用经过活性炭吸附层，有机物质被活性炭特有的作用力截留在其内部，经过一段时间后，活性炭达到饱和状态时停止吸附，此时有机物已被浓缩在活性炭内，之后经自动控制程序将饱和的活性炭床与脱附后待用的活性炭床进行交替切换</w:t>
            </w:r>
            <w:r>
              <w:rPr>
                <w:color w:val="auto"/>
                <w:sz w:val="24"/>
              </w:rPr>
              <w:t>。</w:t>
            </w:r>
            <w:r>
              <w:rPr>
                <w:rFonts w:hint="eastAsia"/>
                <w:color w:val="auto"/>
                <w:sz w:val="24"/>
              </w:rPr>
              <w:t>经催化氧化设备自动升温将热空气通过风机送入饱和的活性炭床使碳层升温将有机物从活性炭中“蒸”出，脱附出来的废气属于高浓度、小风量、高温度的有机废气。脱附出的有机废气进入特制的板式热交换器，和催化反应后的高温气体进行能量间接交换，此时废气温度得到第一次提升，具有一定温度的气体进入预热器，进行第二次的温度提升，之后进入第一级催化反应，此时有机废气在低温下部分分解，并释放出能量，对废气源进行直接加热，将气体温度提高到催化反应的最佳温度，经温度监测系统监测，温度符合催化反应的温度要求，进入催化燃烧室，有机气体得到彻底分解，同时释放出大量的热量，净化后的气体通过热交换</w:t>
            </w:r>
            <w:r>
              <w:rPr>
                <w:rFonts w:hint="eastAsia"/>
                <w:color w:val="auto"/>
                <w:sz w:val="24"/>
                <w:lang w:eastAsia="zh-CN"/>
              </w:rPr>
              <w:t>器</w:t>
            </w:r>
            <w:r>
              <w:rPr>
                <w:rFonts w:hint="eastAsia"/>
                <w:color w:val="auto"/>
                <w:sz w:val="24"/>
              </w:rPr>
              <w:t>将热能转换给出冷气流，降温后气体通过15m排气筒排向高空。</w:t>
            </w:r>
          </w:p>
          <w:p w14:paraId="1D9DDBA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hAnsiTheme="minorEastAsia" w:eastAsiaTheme="minorEastAsia"/>
                <w:iCs/>
                <w:color w:val="auto"/>
                <w:sz w:val="24"/>
                <w:szCs w:val="24"/>
                <w:highlight w:val="none"/>
                <w:lang w:eastAsia="zh-CN"/>
              </w:rPr>
            </w:pPr>
            <w:r>
              <w:rPr>
                <w:rFonts w:hint="eastAsia" w:hAnsiTheme="minorEastAsia" w:eastAsiaTheme="minorEastAsia"/>
                <w:iCs/>
                <w:color w:val="auto"/>
                <w:sz w:val="24"/>
                <w:szCs w:val="24"/>
                <w:highlight w:val="none"/>
                <w:lang w:eastAsia="zh-CN"/>
              </w:rPr>
              <w:t>（</w:t>
            </w:r>
            <w:r>
              <w:rPr>
                <w:rFonts w:hint="eastAsia" w:hAnsiTheme="minorEastAsia" w:eastAsiaTheme="minorEastAsia"/>
                <w:iCs/>
                <w:color w:val="auto"/>
                <w:sz w:val="24"/>
                <w:szCs w:val="24"/>
                <w:highlight w:val="none"/>
                <w:lang w:val="en-US" w:eastAsia="zh-CN"/>
              </w:rPr>
              <w:t>2</w:t>
            </w:r>
            <w:r>
              <w:rPr>
                <w:rFonts w:hint="eastAsia" w:hAnsiTheme="minorEastAsia" w:eastAsiaTheme="minorEastAsia"/>
                <w:iCs/>
                <w:color w:val="auto"/>
                <w:sz w:val="24"/>
                <w:szCs w:val="24"/>
                <w:highlight w:val="none"/>
                <w:lang w:eastAsia="zh-CN"/>
              </w:rPr>
              <w:t>）废气处理措施及可行性分析</w:t>
            </w:r>
          </w:p>
          <w:p w14:paraId="4055B3B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hAnsiTheme="minorEastAsia" w:eastAsiaTheme="minorEastAsia"/>
                <w:iCs/>
                <w:color w:val="auto"/>
                <w:sz w:val="24"/>
                <w:szCs w:val="24"/>
                <w:highlight w:val="none"/>
                <w:lang w:eastAsia="zh-CN"/>
              </w:rPr>
            </w:pPr>
            <w:r>
              <w:rPr>
                <w:rFonts w:hint="eastAsia" w:hAnsi="宋体"/>
                <w:color w:val="auto"/>
                <w:sz w:val="24"/>
                <w:highlight w:val="none"/>
                <w:lang w:val="en-US" w:eastAsia="zh-CN"/>
              </w:rPr>
              <w:t>本项目非甲烷总烃治理措施</w:t>
            </w:r>
            <w:r>
              <w:rPr>
                <w:rFonts w:hint="eastAsia" w:hAnsi="宋体"/>
                <w:color w:val="auto"/>
                <w:sz w:val="24"/>
                <w:highlight w:val="none"/>
              </w:rPr>
              <w:t>参照</w:t>
            </w:r>
            <w:r>
              <w:rPr>
                <w:rFonts w:hint="eastAsia" w:hAnsi="宋体"/>
                <w:color w:val="auto"/>
                <w:sz w:val="24"/>
                <w:highlight w:val="none"/>
                <w:lang w:eastAsia="zh-CN"/>
              </w:rPr>
              <w:t>“</w:t>
            </w:r>
            <w:r>
              <w:rPr>
                <w:rFonts w:hint="eastAsia" w:hAnsi="宋体"/>
                <w:color w:val="auto"/>
                <w:sz w:val="24"/>
                <w:highlight w:val="none"/>
              </w:rPr>
              <w:t>环办综合函〔2022〕350号关于印发《主要污染物总量减排核算技术指南（2022年修订）》的通知</w:t>
            </w:r>
            <w:r>
              <w:rPr>
                <w:rFonts w:hint="eastAsia" w:hAnsi="宋体"/>
                <w:color w:val="auto"/>
                <w:sz w:val="24"/>
                <w:highlight w:val="none"/>
                <w:lang w:eastAsia="zh-CN"/>
              </w:rPr>
              <w:t>”</w:t>
            </w:r>
            <w:r>
              <w:rPr>
                <w:rFonts w:hint="eastAsia" w:hAnsi="宋体"/>
                <w:color w:val="auto"/>
                <w:sz w:val="24"/>
                <w:highlight w:val="none"/>
                <w:lang w:val="en-US" w:eastAsia="zh-CN"/>
              </w:rPr>
              <w:t>，表2-3的VOCs废气收集率和治理设施去除率通用系数，“蓄热燃烧、旋转式分子筛吸附-脱附-蓄热燃烧、活性炭吸附-脱附-蓄热燃烧、直接燃烧、旋转式分子筛吸附-脱附-直接燃烧、</w:t>
            </w:r>
            <w:r>
              <w:rPr>
                <w:rFonts w:hint="eastAsia" w:hAnsi="宋体"/>
                <w:color w:val="auto"/>
                <w:sz w:val="24"/>
                <w:highlight w:val="none"/>
              </w:rPr>
              <w:t>活性炭吸附-脱附-直接燃烧</w:t>
            </w:r>
            <w:r>
              <w:rPr>
                <w:rFonts w:hint="eastAsia" w:hAnsi="宋体"/>
                <w:color w:val="auto"/>
                <w:sz w:val="24"/>
                <w:highlight w:val="none"/>
                <w:lang w:eastAsia="zh-CN"/>
              </w:rPr>
              <w:t>、</w:t>
            </w:r>
            <w:r>
              <w:rPr>
                <w:rFonts w:hint="eastAsia" w:hAnsi="宋体"/>
                <w:color w:val="auto"/>
                <w:sz w:val="24"/>
                <w:highlight w:val="none"/>
              </w:rPr>
              <w:t>活性炭吸附-脱附-催化燃烧</w:t>
            </w:r>
            <w:r>
              <w:rPr>
                <w:rFonts w:hint="eastAsia" w:hAnsi="宋体"/>
                <w:color w:val="auto"/>
                <w:sz w:val="24"/>
                <w:highlight w:val="none"/>
                <w:lang w:val="en-US" w:eastAsia="zh-CN"/>
              </w:rPr>
              <w:t>”等多种治理技术，</w:t>
            </w:r>
            <w:r>
              <w:rPr>
                <w:rFonts w:hint="eastAsia" w:hAnsi="宋体"/>
                <w:color w:val="auto"/>
                <w:sz w:val="24"/>
                <w:szCs w:val="24"/>
                <w:highlight w:val="none"/>
                <w:lang w:val="en-US" w:eastAsia="zh-CN"/>
              </w:rPr>
              <w:t>本项目采用的废气治理技术</w:t>
            </w:r>
            <w:r>
              <w:rPr>
                <w:rFonts w:hint="eastAsia" w:hAnsi="宋体"/>
                <w:color w:val="auto"/>
                <w:sz w:val="24"/>
                <w:highlight w:val="none"/>
              </w:rPr>
              <w:t>活性炭吸附-脱附-催化燃烧</w:t>
            </w:r>
            <w:r>
              <w:rPr>
                <w:rFonts w:hint="eastAsia" w:hAnsi="宋体"/>
                <w:color w:val="auto"/>
                <w:sz w:val="24"/>
                <w:highlight w:val="none"/>
                <w:lang w:eastAsia="zh-CN"/>
              </w:rPr>
              <w:t>，</w:t>
            </w:r>
            <w:r>
              <w:rPr>
                <w:rFonts w:hint="eastAsia" w:hAnsi="宋体"/>
                <w:color w:val="auto"/>
                <w:sz w:val="24"/>
                <w:highlight w:val="none"/>
                <w:lang w:val="en-US" w:eastAsia="zh-CN"/>
              </w:rPr>
              <w:t>与</w:t>
            </w:r>
            <w:r>
              <w:rPr>
                <w:rFonts w:hint="eastAsia" w:hAnsi="宋体"/>
                <w:color w:val="auto"/>
                <w:sz w:val="24"/>
                <w:highlight w:val="none"/>
                <w:lang w:eastAsia="zh-CN"/>
              </w:rPr>
              <w:t>“</w:t>
            </w:r>
            <w:r>
              <w:rPr>
                <w:rFonts w:hint="eastAsia" w:hAnsi="宋体"/>
                <w:color w:val="auto"/>
                <w:sz w:val="24"/>
                <w:highlight w:val="none"/>
              </w:rPr>
              <w:t>环办综合函〔2022〕350号关于印发《主要污染物总量减排核算技术指南（2022年修订）》的通知</w:t>
            </w:r>
            <w:r>
              <w:rPr>
                <w:rFonts w:hint="eastAsia" w:hAnsi="宋体"/>
                <w:color w:val="auto"/>
                <w:sz w:val="24"/>
                <w:highlight w:val="none"/>
                <w:lang w:eastAsia="zh-CN"/>
              </w:rPr>
              <w:t>”</w:t>
            </w:r>
            <w:r>
              <w:rPr>
                <w:rFonts w:hint="eastAsia" w:hAnsiTheme="minorEastAsia" w:eastAsiaTheme="minorEastAsia"/>
                <w:iCs/>
                <w:color w:val="auto"/>
                <w:sz w:val="24"/>
                <w:szCs w:val="24"/>
                <w:highlight w:val="none"/>
                <w:lang w:val="en-US" w:eastAsia="zh-CN"/>
              </w:rPr>
              <w:t>治理工艺</w:t>
            </w:r>
            <w:r>
              <w:rPr>
                <w:rFonts w:hint="eastAsia" w:hAnsiTheme="minorEastAsia" w:eastAsiaTheme="minorEastAsia"/>
                <w:iCs/>
                <w:color w:val="auto"/>
                <w:sz w:val="24"/>
                <w:szCs w:val="24"/>
                <w:highlight w:val="none"/>
              </w:rPr>
              <w:t>“</w:t>
            </w:r>
            <w:r>
              <w:rPr>
                <w:rFonts w:hint="eastAsia" w:hAnsi="宋体"/>
                <w:color w:val="auto"/>
                <w:sz w:val="24"/>
                <w:highlight w:val="none"/>
              </w:rPr>
              <w:t>活性炭吸附-脱附-催化燃烧</w:t>
            </w:r>
            <w:r>
              <w:rPr>
                <w:rFonts w:hint="eastAsia" w:hAnsiTheme="minorEastAsia" w:eastAsiaTheme="minorEastAsia"/>
                <w:iCs/>
                <w:color w:val="auto"/>
                <w:sz w:val="24"/>
                <w:szCs w:val="24"/>
                <w:highlight w:val="none"/>
              </w:rPr>
              <w:t>”相符合</w:t>
            </w:r>
            <w:r>
              <w:rPr>
                <w:rFonts w:hint="eastAsia" w:hAnsiTheme="minorEastAsia" w:eastAsiaTheme="minorEastAsia"/>
                <w:iCs/>
                <w:color w:val="auto"/>
                <w:sz w:val="24"/>
                <w:szCs w:val="24"/>
                <w:highlight w:val="none"/>
                <w:lang w:eastAsia="zh-CN"/>
              </w:rPr>
              <w:t>，</w:t>
            </w:r>
          </w:p>
          <w:p w14:paraId="131B811E">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hAnsi="宋体"/>
                <w:color w:val="auto"/>
                <w:sz w:val="24"/>
                <w:szCs w:val="24"/>
                <w:highlight w:val="none"/>
                <w:lang w:val="en-US" w:eastAsia="zh-CN"/>
              </w:rPr>
            </w:pPr>
            <w:r>
              <w:rPr>
                <w:rFonts w:hint="default" w:hAnsi="宋体"/>
                <w:color w:val="auto"/>
                <w:sz w:val="24"/>
                <w:szCs w:val="24"/>
                <w:highlight w:val="none"/>
                <w:lang w:val="en-US" w:eastAsia="zh-CN"/>
              </w:rPr>
              <w:t>根据《排污许可证申请与核发技术规范 橡胶和塑料制品业》</w:t>
            </w:r>
            <w:r>
              <w:rPr>
                <w:rFonts w:hint="eastAsia" w:hAnsi="宋体"/>
                <w:color w:val="auto"/>
                <w:sz w:val="24"/>
                <w:szCs w:val="24"/>
                <w:highlight w:val="none"/>
                <w:lang w:val="en-US" w:eastAsia="zh-CN"/>
              </w:rPr>
              <w:t>污染防治可行技术：</w:t>
            </w:r>
          </w:p>
          <w:p w14:paraId="66AC65EE">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color w:val="auto"/>
              </w:rPr>
            </w:pPr>
            <w:r>
              <w:rPr>
                <w:rFonts w:hint="eastAsia" w:hAnsi="宋体"/>
                <w:color w:val="auto"/>
                <w:sz w:val="24"/>
                <w:szCs w:val="24"/>
                <w:highlight w:val="none"/>
                <w:lang w:val="en-US" w:eastAsia="zh-CN"/>
              </w:rPr>
              <w:t>a）企业应考虑生产工艺、操作方式、废气性质、处理方法等因素，对废气进行分类收集、分类处理或预处理，严禁经污染控制设施处理后的废气与锅炉排放烟气及其他未经处理的废气混合后直接排放，严禁经污染控制设施处理后的废气与空气混合后稀释排放。</w:t>
            </w:r>
          </w:p>
          <w:p w14:paraId="6C11A386">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hAnsi="宋体"/>
                <w:color w:val="auto"/>
                <w:sz w:val="24"/>
                <w:szCs w:val="24"/>
                <w:highlight w:val="none"/>
                <w:lang w:val="en-US" w:eastAsia="zh-CN"/>
              </w:rPr>
            </w:pPr>
            <w:r>
              <w:rPr>
                <w:rFonts w:hint="default" w:hAnsi="宋体"/>
                <w:color w:val="auto"/>
                <w:sz w:val="24"/>
                <w:szCs w:val="24"/>
                <w:highlight w:val="none"/>
                <w:lang w:val="en-US" w:eastAsia="zh-CN"/>
              </w:rPr>
              <w:t>b</w:t>
            </w:r>
            <w:r>
              <w:rPr>
                <w:rFonts w:hint="eastAsia" w:hAnsi="宋体"/>
                <w:color w:val="auto"/>
                <w:sz w:val="24"/>
                <w:szCs w:val="24"/>
                <w:highlight w:val="none"/>
                <w:lang w:val="en-US" w:eastAsia="zh-CN"/>
              </w:rPr>
              <w:t>）环保设施应先于其对应的生产设施运转，后于对应设施关闭，保证在生产设施运行波动情况下仍能正常运转，实现达标排放。产生大气污染物的生产工艺和装置需设立局部或整体气体收集系统和净化处理装置，集气方向应与污染气流运动方向一致。</w:t>
            </w:r>
          </w:p>
          <w:p w14:paraId="4A1FA96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hAnsi="宋体"/>
                <w:color w:val="auto"/>
                <w:sz w:val="24"/>
                <w:szCs w:val="24"/>
                <w:highlight w:val="none"/>
                <w:lang w:val="en-US" w:eastAsia="zh-CN"/>
              </w:rPr>
            </w:pPr>
            <w:r>
              <w:rPr>
                <w:rFonts w:hint="eastAsia" w:hAnsiTheme="minorEastAsia" w:eastAsiaTheme="minorEastAsia"/>
                <w:iCs/>
                <w:color w:val="auto"/>
                <w:sz w:val="24"/>
                <w:szCs w:val="24"/>
                <w:highlight w:val="none"/>
                <w:lang w:val="en-US" w:eastAsia="zh-CN"/>
              </w:rPr>
              <w:t>项目产生的粉尘和非甲烷总烃，通过不同的集气罩收集，2个厂房的废气分别通过两个排气筒排放；项目环保处理设备气流运动与集气罩</w:t>
            </w:r>
            <w:r>
              <w:rPr>
                <w:rFonts w:hint="eastAsia" w:hAnsi="宋体"/>
                <w:color w:val="auto"/>
                <w:sz w:val="24"/>
                <w:szCs w:val="24"/>
                <w:highlight w:val="none"/>
                <w:lang w:val="en-US" w:eastAsia="zh-CN"/>
              </w:rPr>
              <w:t>气流运动一致。符合</w:t>
            </w:r>
            <w:r>
              <w:rPr>
                <w:rFonts w:hint="default" w:hAnsi="宋体"/>
                <w:color w:val="auto"/>
                <w:sz w:val="24"/>
                <w:szCs w:val="24"/>
                <w:highlight w:val="none"/>
                <w:lang w:val="en-US" w:eastAsia="zh-CN"/>
              </w:rPr>
              <w:t>《排污许可证申请与核发技术规范 橡胶和塑料制品业》</w:t>
            </w:r>
            <w:r>
              <w:rPr>
                <w:rFonts w:hint="eastAsia" w:hAnsi="宋体"/>
                <w:color w:val="auto"/>
                <w:sz w:val="24"/>
                <w:szCs w:val="24"/>
                <w:highlight w:val="none"/>
                <w:lang w:val="en-US" w:eastAsia="zh-CN"/>
              </w:rPr>
              <w:t>的污染防治可行技术。</w:t>
            </w:r>
          </w:p>
          <w:p w14:paraId="7286B36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hAnsiTheme="minorEastAsia" w:eastAsiaTheme="minorEastAsia"/>
                <w:iCs/>
                <w:color w:val="auto"/>
                <w:sz w:val="24"/>
                <w:szCs w:val="24"/>
                <w:highlight w:val="none"/>
              </w:rPr>
            </w:pPr>
            <w:r>
              <w:rPr>
                <w:rFonts w:hint="eastAsia" w:hAnsiTheme="minorEastAsia" w:eastAsiaTheme="minorEastAsia"/>
                <w:iCs/>
                <w:color w:val="auto"/>
                <w:sz w:val="24"/>
                <w:szCs w:val="24"/>
                <w:highlight w:val="none"/>
                <w:lang w:val="en-US" w:eastAsia="zh-CN"/>
              </w:rPr>
              <w:t>粉尘根据</w:t>
            </w:r>
            <w:r>
              <w:rPr>
                <w:rFonts w:hAnsiTheme="minorEastAsia" w:eastAsiaTheme="minorEastAsia"/>
                <w:iCs/>
                <w:color w:val="auto"/>
                <w:sz w:val="24"/>
                <w:szCs w:val="24"/>
                <w:highlight w:val="none"/>
              </w:rPr>
              <w:t>《排污许可证申请与核发技术规范</w:t>
            </w:r>
            <w:r>
              <w:rPr>
                <w:rFonts w:hint="eastAsia" w:hAnsiTheme="minorEastAsia" w:eastAsiaTheme="minorEastAsia"/>
                <w:iCs/>
                <w:color w:val="auto"/>
                <w:sz w:val="24"/>
                <w:szCs w:val="24"/>
                <w:highlight w:val="none"/>
              </w:rPr>
              <w:t xml:space="preserve"> </w:t>
            </w:r>
            <w:r>
              <w:rPr>
                <w:rFonts w:hint="eastAsia" w:eastAsiaTheme="minorEastAsia"/>
                <w:iCs/>
                <w:color w:val="auto"/>
                <w:sz w:val="24"/>
                <w:szCs w:val="24"/>
                <w:highlight w:val="none"/>
              </w:rPr>
              <w:t>橡胶和塑料制品业</w:t>
            </w:r>
            <w:r>
              <w:rPr>
                <w:rFonts w:hAnsiTheme="minorEastAsia" w:eastAsiaTheme="minorEastAsia"/>
                <w:iCs/>
                <w:color w:val="auto"/>
                <w:sz w:val="24"/>
                <w:szCs w:val="24"/>
                <w:highlight w:val="none"/>
              </w:rPr>
              <w:t>》（</w:t>
            </w:r>
            <w:r>
              <w:rPr>
                <w:rFonts w:eastAsiaTheme="minorEastAsia"/>
                <w:iCs/>
                <w:color w:val="auto"/>
                <w:sz w:val="24"/>
                <w:szCs w:val="24"/>
                <w:highlight w:val="none"/>
              </w:rPr>
              <w:t>HJ</w:t>
            </w:r>
            <w:r>
              <w:rPr>
                <w:rFonts w:hint="eastAsia" w:eastAsiaTheme="minorEastAsia"/>
                <w:iCs/>
                <w:color w:val="auto"/>
                <w:sz w:val="24"/>
                <w:szCs w:val="24"/>
                <w:highlight w:val="none"/>
              </w:rPr>
              <w:t>1122</w:t>
            </w:r>
            <w:r>
              <w:rPr>
                <w:rFonts w:eastAsiaTheme="minorEastAsia"/>
                <w:iCs/>
                <w:color w:val="auto"/>
                <w:sz w:val="24"/>
                <w:szCs w:val="24"/>
                <w:highlight w:val="none"/>
              </w:rPr>
              <w:t>-20</w:t>
            </w:r>
            <w:r>
              <w:rPr>
                <w:rFonts w:hint="eastAsia" w:eastAsiaTheme="minorEastAsia"/>
                <w:iCs/>
                <w:color w:val="auto"/>
                <w:sz w:val="24"/>
                <w:szCs w:val="24"/>
                <w:highlight w:val="none"/>
              </w:rPr>
              <w:t>20</w:t>
            </w:r>
            <w:r>
              <w:rPr>
                <w:rFonts w:hAnsiTheme="minorEastAsia" w:eastAsiaTheme="minorEastAsia"/>
                <w:iCs/>
                <w:color w:val="auto"/>
                <w:sz w:val="24"/>
                <w:szCs w:val="24"/>
                <w:highlight w:val="none"/>
              </w:rPr>
              <w:t>）</w:t>
            </w:r>
            <w:r>
              <w:rPr>
                <w:rFonts w:hint="eastAsia" w:hAnsiTheme="minorEastAsia" w:eastAsiaTheme="minorEastAsia"/>
                <w:iCs/>
                <w:color w:val="auto"/>
                <w:sz w:val="24"/>
                <w:szCs w:val="24"/>
                <w:highlight w:val="none"/>
              </w:rPr>
              <w:t>表A.2塑料制品工业排污单位废气污染防治可行技术参考表</w:t>
            </w:r>
            <w:r>
              <w:rPr>
                <w:rFonts w:hint="eastAsia" w:hAnsiTheme="minorEastAsia" w:eastAsiaTheme="minorEastAsia"/>
                <w:iCs/>
                <w:color w:val="auto"/>
                <w:sz w:val="24"/>
                <w:szCs w:val="24"/>
                <w:highlight w:val="none"/>
                <w:lang w:eastAsia="zh-CN"/>
              </w:rPr>
              <w:t>，</w:t>
            </w:r>
            <w:r>
              <w:rPr>
                <w:rFonts w:hint="eastAsia" w:hAnsiTheme="minorEastAsia" w:eastAsiaTheme="minorEastAsia"/>
                <w:iCs/>
                <w:color w:val="auto"/>
                <w:sz w:val="24"/>
                <w:szCs w:val="24"/>
                <w:highlight w:val="none"/>
                <w:lang w:val="en-US" w:eastAsia="zh-CN"/>
              </w:rPr>
              <w:t>可知</w:t>
            </w:r>
            <w:r>
              <w:rPr>
                <w:rFonts w:hint="eastAsia" w:hAnsiTheme="minorEastAsia" w:eastAsiaTheme="minorEastAsia"/>
                <w:iCs/>
                <w:color w:val="auto"/>
                <w:sz w:val="24"/>
                <w:szCs w:val="24"/>
                <w:highlight w:val="none"/>
              </w:rPr>
              <w:t>塑料丝、绳及编制品制造废气（</w:t>
            </w:r>
            <w:r>
              <w:rPr>
                <w:rFonts w:hint="eastAsia" w:hAnsiTheme="minorEastAsia" w:eastAsiaTheme="minorEastAsia"/>
                <w:iCs/>
                <w:color w:val="auto"/>
                <w:sz w:val="24"/>
                <w:szCs w:val="24"/>
                <w:highlight w:val="none"/>
                <w:lang w:val="en-US" w:eastAsia="zh-CN"/>
              </w:rPr>
              <w:t>粉尘</w:t>
            </w:r>
            <w:r>
              <w:rPr>
                <w:rFonts w:hint="eastAsia" w:hAnsiTheme="minorEastAsia" w:eastAsiaTheme="minorEastAsia"/>
                <w:iCs/>
                <w:color w:val="auto"/>
                <w:sz w:val="24"/>
                <w:szCs w:val="24"/>
                <w:highlight w:val="none"/>
              </w:rPr>
              <w:t>）污染防治可行技术</w:t>
            </w:r>
            <w:r>
              <w:rPr>
                <w:rFonts w:hint="eastAsia" w:hAnsiTheme="minorEastAsia" w:eastAsiaTheme="minorEastAsia"/>
                <w:iCs/>
                <w:color w:val="auto"/>
                <w:sz w:val="24"/>
                <w:szCs w:val="24"/>
                <w:highlight w:val="none"/>
                <w:lang w:val="en-US" w:eastAsia="zh-CN"/>
              </w:rPr>
              <w:t>为：“水膜除尘、袋式除尘、静电除尘、旋风除尘、管式除尘”。本项目粉尘处理采用效率最高的袋式除尘，效率可达99%</w:t>
            </w:r>
            <w:r>
              <w:rPr>
                <w:rFonts w:hint="eastAsia" w:hAnsiTheme="minorEastAsia" w:eastAsiaTheme="minorEastAsia"/>
                <w:iCs/>
                <w:color w:val="auto"/>
                <w:sz w:val="24"/>
                <w:szCs w:val="24"/>
                <w:highlight w:val="none"/>
                <w:lang w:eastAsia="zh-CN"/>
              </w:rPr>
              <w:t>。</w:t>
            </w:r>
            <w:r>
              <w:rPr>
                <w:rFonts w:hint="eastAsia" w:hAnsiTheme="minorEastAsia" w:eastAsiaTheme="minorEastAsia"/>
                <w:iCs/>
                <w:color w:val="auto"/>
                <w:sz w:val="24"/>
                <w:szCs w:val="24"/>
                <w:highlight w:val="none"/>
                <w:lang w:val="en-US" w:eastAsia="zh-CN"/>
              </w:rPr>
              <w:t>根据以上分析，</w:t>
            </w:r>
            <w:r>
              <w:rPr>
                <w:rFonts w:hint="eastAsia" w:hAnsiTheme="minorEastAsia" w:eastAsiaTheme="minorEastAsia"/>
                <w:iCs/>
                <w:color w:val="auto"/>
                <w:sz w:val="24"/>
                <w:szCs w:val="24"/>
                <w:highlight w:val="none"/>
              </w:rPr>
              <w:t>本项目采取的废气治理措施是可行的。</w:t>
            </w:r>
          </w:p>
          <w:p w14:paraId="15B400F7">
            <w:pPr>
              <w:keepNext w:val="0"/>
              <w:keepLines w:val="0"/>
              <w:pageBreakBefore w:val="0"/>
              <w:widowControl w:val="0"/>
              <w:kinsoku/>
              <w:wordWrap/>
              <w:overflowPunct/>
              <w:topLinePunct w:val="0"/>
              <w:autoSpaceDE/>
              <w:autoSpaceDN/>
              <w:bidi w:val="0"/>
              <w:adjustRightInd/>
              <w:snapToGrid/>
              <w:spacing w:line="460" w:lineRule="exact"/>
              <w:textAlignment w:val="auto"/>
              <w:rPr>
                <w:rFonts w:hAnsiTheme="minorEastAsia" w:eastAsiaTheme="minorEastAsia"/>
                <w:b/>
                <w:color w:val="auto"/>
                <w:kern w:val="0"/>
                <w:sz w:val="24"/>
                <w:highlight w:val="none"/>
              </w:rPr>
            </w:pPr>
            <w:r>
              <w:rPr>
                <w:rFonts w:hint="eastAsia" w:hAnsiTheme="minorEastAsia" w:eastAsiaTheme="minorEastAsia"/>
                <w:b/>
                <w:color w:val="auto"/>
                <w:kern w:val="0"/>
                <w:sz w:val="24"/>
                <w:highlight w:val="none"/>
              </w:rPr>
              <w:t>1.4 大气监测计划</w:t>
            </w:r>
          </w:p>
          <w:p w14:paraId="25DB494E">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color w:val="auto"/>
                <w:sz w:val="24"/>
                <w:highlight w:val="none"/>
              </w:rPr>
            </w:pPr>
            <w:r>
              <w:rPr>
                <w:color w:val="auto"/>
                <w:sz w:val="24"/>
                <w:highlight w:val="none"/>
              </w:rPr>
              <w:t>根据</w:t>
            </w:r>
            <w:r>
              <w:rPr>
                <w:rFonts w:hAnsiTheme="minorEastAsia" w:eastAsiaTheme="minorEastAsia"/>
                <w:iCs/>
                <w:color w:val="auto"/>
                <w:sz w:val="24"/>
                <w:highlight w:val="none"/>
              </w:rPr>
              <w:t>《排污许可证申请与核发技术规范</w:t>
            </w:r>
            <w:r>
              <w:rPr>
                <w:rFonts w:hint="eastAsia" w:hAnsiTheme="minorEastAsia" w:eastAsiaTheme="minorEastAsia"/>
                <w:iCs/>
                <w:color w:val="auto"/>
                <w:sz w:val="24"/>
                <w:highlight w:val="none"/>
              </w:rPr>
              <w:t xml:space="preserve"> </w:t>
            </w:r>
            <w:r>
              <w:rPr>
                <w:rFonts w:hint="eastAsia" w:eastAsiaTheme="minorEastAsia"/>
                <w:iCs/>
                <w:color w:val="auto"/>
                <w:sz w:val="24"/>
                <w:highlight w:val="none"/>
              </w:rPr>
              <w:t>橡胶和塑料制品业</w:t>
            </w:r>
            <w:r>
              <w:rPr>
                <w:rFonts w:hAnsiTheme="minorEastAsia" w:eastAsiaTheme="minorEastAsia"/>
                <w:iCs/>
                <w:color w:val="auto"/>
                <w:sz w:val="24"/>
                <w:highlight w:val="none"/>
              </w:rPr>
              <w:t>》（</w:t>
            </w:r>
            <w:r>
              <w:rPr>
                <w:rFonts w:eastAsiaTheme="minorEastAsia"/>
                <w:iCs/>
                <w:color w:val="auto"/>
                <w:sz w:val="24"/>
                <w:highlight w:val="none"/>
              </w:rPr>
              <w:t>HJ</w:t>
            </w:r>
            <w:r>
              <w:rPr>
                <w:rFonts w:hint="eastAsia" w:eastAsiaTheme="minorEastAsia"/>
                <w:iCs/>
                <w:color w:val="auto"/>
                <w:sz w:val="24"/>
                <w:highlight w:val="none"/>
              </w:rPr>
              <w:t>1122</w:t>
            </w:r>
            <w:r>
              <w:rPr>
                <w:rFonts w:eastAsiaTheme="minorEastAsia"/>
                <w:iCs/>
                <w:color w:val="auto"/>
                <w:sz w:val="24"/>
                <w:highlight w:val="none"/>
              </w:rPr>
              <w:t>-20</w:t>
            </w:r>
            <w:r>
              <w:rPr>
                <w:rFonts w:hint="eastAsia" w:eastAsiaTheme="minorEastAsia"/>
                <w:iCs/>
                <w:color w:val="auto"/>
                <w:sz w:val="24"/>
                <w:highlight w:val="none"/>
              </w:rPr>
              <w:t>20</w:t>
            </w:r>
            <w:r>
              <w:rPr>
                <w:rFonts w:hAnsiTheme="minorEastAsia" w:eastAsiaTheme="minorEastAsia"/>
                <w:iCs/>
                <w:color w:val="auto"/>
                <w:sz w:val="24"/>
                <w:highlight w:val="none"/>
              </w:rPr>
              <w:t>）</w:t>
            </w:r>
            <w:r>
              <w:rPr>
                <w:rFonts w:hint="eastAsia"/>
                <w:color w:val="auto"/>
                <w:sz w:val="24"/>
                <w:highlight w:val="none"/>
              </w:rPr>
              <w:t>中的要求，</w:t>
            </w:r>
            <w:r>
              <w:rPr>
                <w:color w:val="auto"/>
                <w:sz w:val="24"/>
                <w:highlight w:val="none"/>
              </w:rPr>
              <w:t>本项目</w:t>
            </w:r>
            <w:r>
              <w:rPr>
                <w:rFonts w:hint="eastAsia"/>
                <w:color w:val="auto"/>
                <w:sz w:val="24"/>
                <w:highlight w:val="none"/>
              </w:rPr>
              <w:t>废气</w:t>
            </w:r>
            <w:r>
              <w:rPr>
                <w:color w:val="auto"/>
                <w:sz w:val="24"/>
                <w:highlight w:val="none"/>
              </w:rPr>
              <w:t>监测计划见表</w:t>
            </w:r>
            <w:r>
              <w:rPr>
                <w:rFonts w:hint="eastAsia"/>
                <w:color w:val="auto"/>
                <w:sz w:val="24"/>
                <w:highlight w:val="none"/>
                <w:lang w:val="en-US" w:eastAsia="zh-CN"/>
              </w:rPr>
              <w:t>4-7</w:t>
            </w:r>
            <w:r>
              <w:rPr>
                <w:color w:val="auto"/>
                <w:sz w:val="24"/>
                <w:highlight w:val="none"/>
              </w:rPr>
              <w:t>。</w:t>
            </w:r>
          </w:p>
          <w:p w14:paraId="52C76908">
            <w:pPr>
              <w:spacing w:line="500" w:lineRule="atLeast"/>
              <w:jc w:val="center"/>
              <w:rPr>
                <w:rFonts w:eastAsiaTheme="minorEastAsia"/>
                <w:b/>
                <w:bCs/>
                <w:color w:val="auto"/>
                <w:spacing w:val="-10"/>
                <w:szCs w:val="21"/>
                <w:highlight w:val="none"/>
              </w:rPr>
            </w:pPr>
            <w:r>
              <w:rPr>
                <w:b/>
                <w:color w:val="auto"/>
                <w:szCs w:val="21"/>
                <w:highlight w:val="none"/>
              </w:rPr>
              <w:t>表</w:t>
            </w:r>
            <w:r>
              <w:rPr>
                <w:rFonts w:hint="eastAsia"/>
                <w:b/>
                <w:color w:val="auto"/>
                <w:szCs w:val="21"/>
                <w:highlight w:val="none"/>
                <w:lang w:val="en-US" w:eastAsia="zh-CN"/>
              </w:rPr>
              <w:t>4-7</w:t>
            </w:r>
            <w:r>
              <w:rPr>
                <w:b/>
                <w:bCs/>
                <w:color w:val="auto"/>
                <w:szCs w:val="21"/>
                <w:highlight w:val="none"/>
              </w:rPr>
              <w:t xml:space="preserve">       废气监测计划一览表</w:t>
            </w:r>
          </w:p>
          <w:tbl>
            <w:tblPr>
              <w:tblStyle w:val="34"/>
              <w:tblW w:w="4998"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37"/>
              <w:gridCol w:w="375"/>
              <w:gridCol w:w="390"/>
              <w:gridCol w:w="975"/>
              <w:gridCol w:w="1643"/>
              <w:gridCol w:w="1027"/>
              <w:gridCol w:w="2363"/>
              <w:gridCol w:w="988"/>
            </w:tblGrid>
            <w:tr w14:paraId="1D8679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397" w:hRule="atLeast"/>
              </w:trPr>
              <w:tc>
                <w:tcPr>
                  <w:tcW w:w="323" w:type="pct"/>
                  <w:vAlign w:val="center"/>
                </w:tcPr>
                <w:p w14:paraId="33F28D99">
                  <w:pPr>
                    <w:adjustRightInd w:val="0"/>
                    <w:snapToGrid w:val="0"/>
                    <w:spacing w:line="280" w:lineRule="exact"/>
                    <w:ind w:left="-63" w:leftChars="-30" w:right="-63" w:rightChars="-30"/>
                    <w:jc w:val="center"/>
                    <w:rPr>
                      <w:b/>
                      <w:bCs/>
                      <w:snapToGrid w:val="0"/>
                      <w:color w:val="auto"/>
                      <w:kern w:val="0"/>
                      <w:highlight w:val="none"/>
                      <w:lang w:val="zh-CN"/>
                    </w:rPr>
                  </w:pPr>
                  <w:r>
                    <w:rPr>
                      <w:b/>
                      <w:bCs/>
                      <w:snapToGrid w:val="0"/>
                      <w:color w:val="auto"/>
                      <w:kern w:val="0"/>
                      <w:highlight w:val="none"/>
                      <w:lang w:val="zh-CN"/>
                    </w:rPr>
                    <w:t>项目</w:t>
                  </w:r>
                </w:p>
              </w:tc>
              <w:tc>
                <w:tcPr>
                  <w:tcW w:w="460" w:type="pct"/>
                  <w:gridSpan w:val="2"/>
                  <w:vAlign w:val="center"/>
                </w:tcPr>
                <w:p w14:paraId="2D8D5F0A">
                  <w:pPr>
                    <w:adjustRightInd w:val="0"/>
                    <w:snapToGrid w:val="0"/>
                    <w:spacing w:line="280" w:lineRule="exact"/>
                    <w:ind w:left="-63" w:leftChars="-30" w:right="-63" w:rightChars="-30"/>
                    <w:jc w:val="center"/>
                    <w:rPr>
                      <w:b/>
                      <w:bCs/>
                      <w:snapToGrid w:val="0"/>
                      <w:color w:val="auto"/>
                      <w:kern w:val="0"/>
                      <w:highlight w:val="none"/>
                      <w:lang w:val="zh-CN"/>
                    </w:rPr>
                  </w:pPr>
                  <w:r>
                    <w:rPr>
                      <w:b/>
                      <w:bCs/>
                      <w:snapToGrid w:val="0"/>
                      <w:color w:val="auto"/>
                      <w:kern w:val="0"/>
                      <w:highlight w:val="none"/>
                      <w:lang w:val="zh-CN"/>
                    </w:rPr>
                    <w:t>污染源</w:t>
                  </w:r>
                </w:p>
              </w:tc>
              <w:tc>
                <w:tcPr>
                  <w:tcW w:w="587" w:type="pct"/>
                  <w:vAlign w:val="center"/>
                </w:tcPr>
                <w:p w14:paraId="2AD8CCF7">
                  <w:pPr>
                    <w:adjustRightInd w:val="0"/>
                    <w:snapToGrid w:val="0"/>
                    <w:spacing w:line="280" w:lineRule="exact"/>
                    <w:ind w:left="-63" w:leftChars="-30" w:right="-63" w:rightChars="-30"/>
                    <w:jc w:val="center"/>
                    <w:rPr>
                      <w:b/>
                      <w:bCs/>
                      <w:snapToGrid w:val="0"/>
                      <w:color w:val="auto"/>
                      <w:kern w:val="0"/>
                      <w:highlight w:val="none"/>
                      <w:lang w:val="zh-CN"/>
                    </w:rPr>
                  </w:pPr>
                  <w:r>
                    <w:rPr>
                      <w:b/>
                      <w:bCs/>
                      <w:snapToGrid w:val="0"/>
                      <w:color w:val="auto"/>
                      <w:kern w:val="0"/>
                      <w:highlight w:val="none"/>
                      <w:lang w:val="zh-CN"/>
                    </w:rPr>
                    <w:t>监测指标</w:t>
                  </w:r>
                </w:p>
              </w:tc>
              <w:tc>
                <w:tcPr>
                  <w:tcW w:w="989" w:type="pct"/>
                  <w:vAlign w:val="center"/>
                </w:tcPr>
                <w:p w14:paraId="7E8426F8">
                  <w:pPr>
                    <w:adjustRightInd w:val="0"/>
                    <w:snapToGrid w:val="0"/>
                    <w:spacing w:line="280" w:lineRule="exact"/>
                    <w:ind w:left="-63" w:leftChars="-30" w:right="-63" w:rightChars="-30"/>
                    <w:jc w:val="center"/>
                    <w:rPr>
                      <w:b/>
                      <w:bCs/>
                      <w:snapToGrid w:val="0"/>
                      <w:color w:val="auto"/>
                      <w:kern w:val="0"/>
                      <w:highlight w:val="none"/>
                      <w:lang w:val="zh-CN"/>
                    </w:rPr>
                  </w:pPr>
                  <w:r>
                    <w:rPr>
                      <w:b/>
                      <w:bCs/>
                      <w:snapToGrid w:val="0"/>
                      <w:color w:val="auto"/>
                      <w:kern w:val="0"/>
                      <w:highlight w:val="none"/>
                      <w:lang w:val="zh-CN"/>
                    </w:rPr>
                    <w:t>环境保护措施</w:t>
                  </w:r>
                </w:p>
              </w:tc>
              <w:tc>
                <w:tcPr>
                  <w:tcW w:w="618" w:type="pct"/>
                  <w:vAlign w:val="center"/>
                </w:tcPr>
                <w:p w14:paraId="2F3A0605">
                  <w:pPr>
                    <w:adjustRightInd w:val="0"/>
                    <w:snapToGrid w:val="0"/>
                    <w:spacing w:line="280" w:lineRule="exact"/>
                    <w:ind w:left="-63" w:leftChars="-30" w:right="-63" w:rightChars="-30"/>
                    <w:jc w:val="center"/>
                    <w:rPr>
                      <w:b/>
                      <w:bCs/>
                      <w:snapToGrid w:val="0"/>
                      <w:color w:val="auto"/>
                      <w:kern w:val="0"/>
                      <w:highlight w:val="none"/>
                      <w:lang w:val="zh-CN"/>
                    </w:rPr>
                  </w:pPr>
                  <w:r>
                    <w:rPr>
                      <w:b/>
                      <w:bCs/>
                      <w:snapToGrid w:val="0"/>
                      <w:color w:val="auto"/>
                      <w:kern w:val="0"/>
                      <w:highlight w:val="none"/>
                      <w:lang w:val="zh-CN"/>
                    </w:rPr>
                    <w:t>监测点位</w:t>
                  </w:r>
                </w:p>
              </w:tc>
              <w:tc>
                <w:tcPr>
                  <w:tcW w:w="1423" w:type="pct"/>
                  <w:vAlign w:val="center"/>
                </w:tcPr>
                <w:p w14:paraId="674FA87E">
                  <w:pPr>
                    <w:adjustRightInd w:val="0"/>
                    <w:snapToGrid w:val="0"/>
                    <w:spacing w:line="280" w:lineRule="exact"/>
                    <w:ind w:left="-63" w:leftChars="-30" w:right="-63" w:rightChars="-30"/>
                    <w:jc w:val="center"/>
                    <w:rPr>
                      <w:b/>
                      <w:bCs/>
                      <w:snapToGrid w:val="0"/>
                      <w:color w:val="auto"/>
                      <w:kern w:val="0"/>
                      <w:highlight w:val="none"/>
                      <w:lang w:val="zh-CN"/>
                    </w:rPr>
                  </w:pPr>
                  <w:r>
                    <w:rPr>
                      <w:b/>
                      <w:bCs/>
                      <w:snapToGrid w:val="0"/>
                      <w:color w:val="auto"/>
                      <w:kern w:val="0"/>
                      <w:highlight w:val="none"/>
                      <w:lang w:val="zh-CN"/>
                    </w:rPr>
                    <w:t>执行标准</w:t>
                  </w:r>
                </w:p>
              </w:tc>
              <w:tc>
                <w:tcPr>
                  <w:tcW w:w="595" w:type="pct"/>
                  <w:vAlign w:val="center"/>
                </w:tcPr>
                <w:p w14:paraId="40C567D0">
                  <w:pPr>
                    <w:adjustRightInd w:val="0"/>
                    <w:snapToGrid w:val="0"/>
                    <w:spacing w:line="280" w:lineRule="exact"/>
                    <w:ind w:left="-63" w:leftChars="-30" w:right="-63" w:rightChars="-30"/>
                    <w:jc w:val="center"/>
                    <w:rPr>
                      <w:b/>
                      <w:bCs/>
                      <w:snapToGrid w:val="0"/>
                      <w:color w:val="auto"/>
                      <w:kern w:val="0"/>
                      <w:highlight w:val="none"/>
                      <w:lang w:val="zh-CN"/>
                    </w:rPr>
                  </w:pPr>
                  <w:r>
                    <w:rPr>
                      <w:b/>
                      <w:bCs/>
                      <w:snapToGrid w:val="0"/>
                      <w:color w:val="auto"/>
                      <w:kern w:val="0"/>
                      <w:highlight w:val="none"/>
                      <w:lang w:val="zh-CN"/>
                    </w:rPr>
                    <w:t>监测频次</w:t>
                  </w:r>
                </w:p>
              </w:tc>
            </w:tr>
            <w:tr w14:paraId="2E81C3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23" w:type="pct"/>
                  <w:vMerge w:val="restart"/>
                  <w:vAlign w:val="center"/>
                </w:tcPr>
                <w:p w14:paraId="0850CDB9">
                  <w:pPr>
                    <w:adjustRightInd w:val="0"/>
                    <w:snapToGrid w:val="0"/>
                    <w:spacing w:line="280" w:lineRule="exact"/>
                    <w:ind w:left="-63" w:leftChars="-30" w:right="-63" w:rightChars="-30"/>
                    <w:jc w:val="center"/>
                    <w:rPr>
                      <w:snapToGrid w:val="0"/>
                      <w:color w:val="auto"/>
                      <w:kern w:val="0"/>
                      <w:highlight w:val="none"/>
                      <w:lang w:val="zh-CN"/>
                    </w:rPr>
                  </w:pPr>
                  <w:r>
                    <w:rPr>
                      <w:rFonts w:hint="eastAsia"/>
                      <w:snapToGrid w:val="0"/>
                      <w:color w:val="auto"/>
                      <w:kern w:val="0"/>
                      <w:highlight w:val="none"/>
                      <w:lang w:val="zh-CN"/>
                    </w:rPr>
                    <w:t>废气</w:t>
                  </w:r>
                </w:p>
              </w:tc>
              <w:tc>
                <w:tcPr>
                  <w:tcW w:w="225" w:type="pct"/>
                  <w:vMerge w:val="restart"/>
                  <w:vAlign w:val="center"/>
                </w:tcPr>
                <w:p w14:paraId="6F7B201B">
                  <w:pPr>
                    <w:adjustRightInd w:val="0"/>
                    <w:snapToGrid w:val="0"/>
                    <w:spacing w:line="280" w:lineRule="exact"/>
                    <w:ind w:left="-63" w:leftChars="-30" w:right="-63" w:rightChars="-30"/>
                    <w:jc w:val="center"/>
                    <w:rPr>
                      <w:color w:val="auto"/>
                      <w:highlight w:val="none"/>
                      <w:lang w:val="en-GB"/>
                    </w:rPr>
                  </w:pPr>
                  <w:r>
                    <w:rPr>
                      <w:rFonts w:hint="eastAsia"/>
                      <w:color w:val="auto"/>
                      <w:highlight w:val="none"/>
                      <w:lang w:val="en-GB"/>
                    </w:rPr>
                    <w:t>塑料包装袋加工厂房</w:t>
                  </w:r>
                </w:p>
              </w:tc>
              <w:tc>
                <w:tcPr>
                  <w:tcW w:w="234" w:type="pct"/>
                  <w:vMerge w:val="restart"/>
                  <w:vAlign w:val="center"/>
                </w:tcPr>
                <w:p w14:paraId="58DF94DE">
                  <w:pPr>
                    <w:adjustRightInd w:val="0"/>
                    <w:snapToGrid w:val="0"/>
                    <w:spacing w:line="280" w:lineRule="exact"/>
                    <w:ind w:left="-63" w:leftChars="-30" w:right="-63" w:rightChars="-30"/>
                    <w:jc w:val="center"/>
                    <w:rPr>
                      <w:rFonts w:hint="eastAsia" w:eastAsia="宋体"/>
                      <w:color w:val="auto"/>
                      <w:highlight w:val="none"/>
                      <w:lang w:val="en-US" w:eastAsia="zh-CN"/>
                    </w:rPr>
                  </w:pPr>
                  <w:r>
                    <w:rPr>
                      <w:rFonts w:hint="eastAsia"/>
                      <w:color w:val="auto"/>
                      <w:highlight w:val="none"/>
                      <w:lang w:val="en-US" w:eastAsia="zh-CN"/>
                    </w:rPr>
                    <w:t>有组织</w:t>
                  </w:r>
                </w:p>
              </w:tc>
              <w:tc>
                <w:tcPr>
                  <w:tcW w:w="587" w:type="pct"/>
                  <w:vAlign w:val="center"/>
                </w:tcPr>
                <w:p w14:paraId="593D4AA6">
                  <w:pPr>
                    <w:adjustRightInd w:val="0"/>
                    <w:snapToGrid w:val="0"/>
                    <w:spacing w:line="280" w:lineRule="exact"/>
                    <w:ind w:left="-63" w:leftChars="-30" w:right="-63" w:rightChars="-30"/>
                    <w:jc w:val="center"/>
                    <w:rPr>
                      <w:rFonts w:hint="eastAsia"/>
                      <w:color w:val="auto"/>
                      <w:sz w:val="21"/>
                      <w:szCs w:val="21"/>
                      <w:highlight w:val="none"/>
                      <w:lang w:val="en-GB"/>
                    </w:rPr>
                  </w:pPr>
                  <w:r>
                    <w:rPr>
                      <w:rFonts w:hint="eastAsia"/>
                      <w:color w:val="auto"/>
                      <w:sz w:val="21"/>
                      <w:szCs w:val="21"/>
                      <w:highlight w:val="none"/>
                      <w:lang w:val="en-US" w:eastAsia="zh-CN"/>
                    </w:rPr>
                    <w:t>粉尘</w:t>
                  </w:r>
                </w:p>
              </w:tc>
              <w:tc>
                <w:tcPr>
                  <w:tcW w:w="989" w:type="pct"/>
                  <w:vAlign w:val="center"/>
                </w:tcPr>
                <w:p w14:paraId="599D0313">
                  <w:pPr>
                    <w:adjustRightInd w:val="0"/>
                    <w:snapToGrid w:val="0"/>
                    <w:spacing w:line="280" w:lineRule="exact"/>
                    <w:ind w:left="-63" w:leftChars="-30" w:right="-63" w:rightChars="-30"/>
                    <w:jc w:val="center"/>
                    <w:rPr>
                      <w:rFonts w:hint="eastAsia" w:ascii="Times New Roman" w:hAnsi="Times New Roman" w:eastAsiaTheme="minorEastAsia"/>
                      <w:color w:val="auto"/>
                      <w:sz w:val="21"/>
                      <w:szCs w:val="21"/>
                      <w:highlight w:val="none"/>
                      <w:lang w:val="en-US" w:eastAsia="zh-CN"/>
                    </w:rPr>
                  </w:pPr>
                  <w:r>
                    <w:rPr>
                      <w:rFonts w:hint="eastAsia" w:eastAsiaTheme="minorEastAsia"/>
                      <w:color w:val="auto"/>
                      <w:sz w:val="21"/>
                      <w:szCs w:val="21"/>
                      <w:highlight w:val="none"/>
                      <w:lang w:val="en-US" w:eastAsia="zh-CN"/>
                    </w:rPr>
                    <w:t>布袋除尘器</w:t>
                  </w:r>
                </w:p>
              </w:tc>
              <w:tc>
                <w:tcPr>
                  <w:tcW w:w="618" w:type="pct"/>
                  <w:vMerge w:val="restart"/>
                  <w:vAlign w:val="center"/>
                </w:tcPr>
                <w:p w14:paraId="31943290">
                  <w:pPr>
                    <w:adjustRightInd w:val="0"/>
                    <w:snapToGrid w:val="0"/>
                    <w:spacing w:line="280" w:lineRule="exact"/>
                    <w:ind w:left="-63" w:leftChars="-30" w:right="-63" w:rightChars="-30"/>
                    <w:jc w:val="center"/>
                    <w:rPr>
                      <w:rFonts w:hint="eastAsia"/>
                      <w:snapToGrid w:val="0"/>
                      <w:color w:val="auto"/>
                      <w:kern w:val="0"/>
                      <w:highlight w:val="none"/>
                      <w:lang w:val="zh-CN"/>
                    </w:rPr>
                  </w:pPr>
                  <w:r>
                    <w:rPr>
                      <w:rFonts w:hint="eastAsia"/>
                      <w:snapToGrid w:val="0"/>
                      <w:color w:val="auto"/>
                      <w:kern w:val="0"/>
                      <w:highlight w:val="none"/>
                      <w:lang w:val="en-US" w:eastAsia="zh-CN"/>
                    </w:rPr>
                    <w:t>DA001</w:t>
                  </w:r>
                </w:p>
              </w:tc>
              <w:tc>
                <w:tcPr>
                  <w:tcW w:w="1423" w:type="pct"/>
                  <w:vMerge w:val="restart"/>
                  <w:vAlign w:val="center"/>
                </w:tcPr>
                <w:p w14:paraId="60FD0BBC">
                  <w:pPr>
                    <w:adjustRightInd w:val="0"/>
                    <w:snapToGrid w:val="0"/>
                    <w:spacing w:line="280" w:lineRule="exact"/>
                    <w:ind w:left="-63" w:leftChars="-30" w:right="-63" w:rightChars="-30"/>
                    <w:rPr>
                      <w:rFonts w:hint="eastAsia"/>
                      <w:snapToGrid w:val="0"/>
                      <w:color w:val="auto"/>
                      <w:kern w:val="0"/>
                      <w:highlight w:val="none"/>
                      <w:lang w:eastAsia="zh-CN"/>
                    </w:rPr>
                  </w:pPr>
                  <w:r>
                    <w:rPr>
                      <w:rFonts w:hint="eastAsia"/>
                      <w:snapToGrid w:val="0"/>
                      <w:color w:val="auto"/>
                      <w:kern w:val="0"/>
                      <w:highlight w:val="none"/>
                      <w:lang w:eastAsia="zh-CN"/>
                    </w:rPr>
                    <w:t>《合成树脂工业污染物排放标准》（GB31572-2015，含2024年修改单）</w:t>
                  </w:r>
                  <w:r>
                    <w:rPr>
                      <w:rFonts w:hint="eastAsia"/>
                      <w:snapToGrid w:val="0"/>
                      <w:color w:val="auto"/>
                      <w:kern w:val="0"/>
                      <w:highlight w:val="none"/>
                      <w:lang w:val="en-US" w:eastAsia="zh-CN"/>
                    </w:rPr>
                    <w:t>表4排放限值</w:t>
                  </w:r>
                </w:p>
                <w:p w14:paraId="578F85E8">
                  <w:pPr>
                    <w:adjustRightInd w:val="0"/>
                    <w:snapToGrid w:val="0"/>
                    <w:spacing w:line="280" w:lineRule="exact"/>
                    <w:ind w:left="-63" w:leftChars="-30" w:right="-63" w:rightChars="-30"/>
                    <w:rPr>
                      <w:rFonts w:hint="default" w:ascii="Times New Roman" w:hAnsi="Times New Roman" w:eastAsia="宋体" w:cs="Times New Roman"/>
                      <w:snapToGrid w:val="0"/>
                      <w:color w:val="auto"/>
                      <w:kern w:val="0"/>
                      <w:sz w:val="21"/>
                      <w:szCs w:val="24"/>
                      <w:highlight w:val="none"/>
                      <w:lang w:val="en-US" w:eastAsia="zh-CN" w:bidi="ar-SA"/>
                    </w:rPr>
                  </w:pPr>
                  <w:r>
                    <w:rPr>
                      <w:rFonts w:hint="eastAsia"/>
                      <w:snapToGrid w:val="0"/>
                      <w:color w:val="auto"/>
                      <w:kern w:val="0"/>
                      <w:highlight w:val="none"/>
                      <w:lang w:val="en-US" w:eastAsia="zh-CN"/>
                    </w:rPr>
                    <w:t>.</w:t>
                  </w:r>
                </w:p>
              </w:tc>
              <w:tc>
                <w:tcPr>
                  <w:tcW w:w="595" w:type="pct"/>
                  <w:vAlign w:val="center"/>
                </w:tcPr>
                <w:p w14:paraId="534615BB">
                  <w:pPr>
                    <w:adjustRightInd w:val="0"/>
                    <w:snapToGrid w:val="0"/>
                    <w:spacing w:line="280" w:lineRule="exact"/>
                    <w:ind w:left="-63" w:leftChars="-30" w:right="-63" w:rightChars="-30"/>
                    <w:jc w:val="center"/>
                    <w:rPr>
                      <w:snapToGrid w:val="0"/>
                      <w:color w:val="auto"/>
                      <w:highlight w:val="none"/>
                      <w:lang w:val="zh-CN"/>
                    </w:rPr>
                  </w:pPr>
                  <w:r>
                    <w:rPr>
                      <w:snapToGrid w:val="0"/>
                      <w:color w:val="auto"/>
                      <w:highlight w:val="none"/>
                      <w:lang w:val="zh-CN"/>
                    </w:rPr>
                    <w:t>每</w:t>
                  </w:r>
                  <w:r>
                    <w:rPr>
                      <w:rFonts w:hint="eastAsia"/>
                      <w:snapToGrid w:val="0"/>
                      <w:color w:val="auto"/>
                      <w:highlight w:val="none"/>
                      <w:lang w:val="zh-CN"/>
                    </w:rPr>
                    <w:t>半</w:t>
                  </w:r>
                  <w:r>
                    <w:rPr>
                      <w:snapToGrid w:val="0"/>
                      <w:color w:val="auto"/>
                      <w:highlight w:val="none"/>
                      <w:lang w:val="zh-CN"/>
                    </w:rPr>
                    <w:t>年1次</w:t>
                  </w:r>
                </w:p>
              </w:tc>
            </w:tr>
            <w:tr w14:paraId="715360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23" w:type="pct"/>
                  <w:vMerge w:val="continue"/>
                  <w:vAlign w:val="center"/>
                </w:tcPr>
                <w:p w14:paraId="7E8CABCA">
                  <w:pPr>
                    <w:adjustRightInd w:val="0"/>
                    <w:snapToGrid w:val="0"/>
                    <w:spacing w:line="280" w:lineRule="exact"/>
                    <w:ind w:left="-63" w:leftChars="-30" w:right="-63" w:rightChars="-30"/>
                    <w:jc w:val="center"/>
                    <w:rPr>
                      <w:rFonts w:hint="eastAsia"/>
                      <w:snapToGrid w:val="0"/>
                      <w:color w:val="auto"/>
                      <w:kern w:val="0"/>
                      <w:highlight w:val="none"/>
                      <w:lang w:val="zh-CN"/>
                    </w:rPr>
                  </w:pPr>
                </w:p>
              </w:tc>
              <w:tc>
                <w:tcPr>
                  <w:tcW w:w="225" w:type="pct"/>
                  <w:vMerge w:val="continue"/>
                  <w:vAlign w:val="center"/>
                </w:tcPr>
                <w:p w14:paraId="7FEF8E22">
                  <w:pPr>
                    <w:adjustRightInd w:val="0"/>
                    <w:snapToGrid w:val="0"/>
                    <w:spacing w:line="280" w:lineRule="exact"/>
                    <w:ind w:left="-63" w:leftChars="-30" w:right="-63" w:rightChars="-30"/>
                    <w:jc w:val="center"/>
                    <w:rPr>
                      <w:rFonts w:hint="eastAsia"/>
                      <w:color w:val="auto"/>
                      <w:highlight w:val="none"/>
                      <w:lang w:val="en-GB"/>
                    </w:rPr>
                  </w:pPr>
                </w:p>
              </w:tc>
              <w:tc>
                <w:tcPr>
                  <w:tcW w:w="234" w:type="pct"/>
                  <w:vMerge w:val="continue"/>
                  <w:vAlign w:val="center"/>
                </w:tcPr>
                <w:p w14:paraId="3312564B">
                  <w:pPr>
                    <w:adjustRightInd w:val="0"/>
                    <w:snapToGrid w:val="0"/>
                    <w:spacing w:line="280" w:lineRule="exact"/>
                    <w:ind w:left="-63" w:leftChars="-30" w:right="-63" w:rightChars="-30"/>
                    <w:jc w:val="center"/>
                    <w:rPr>
                      <w:rFonts w:hint="eastAsia"/>
                      <w:color w:val="auto"/>
                      <w:highlight w:val="none"/>
                      <w:lang w:val="en-US" w:eastAsia="zh-CN"/>
                    </w:rPr>
                  </w:pPr>
                </w:p>
              </w:tc>
              <w:tc>
                <w:tcPr>
                  <w:tcW w:w="587" w:type="pct"/>
                  <w:shd w:val="clear" w:color="auto" w:fill="auto"/>
                  <w:vAlign w:val="center"/>
                </w:tcPr>
                <w:p w14:paraId="3F700919">
                  <w:pPr>
                    <w:adjustRightInd w:val="0"/>
                    <w:snapToGrid w:val="0"/>
                    <w:spacing w:line="280" w:lineRule="exact"/>
                    <w:ind w:left="-63" w:leftChars="-30" w:right="-63" w:rightChars="-3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GB"/>
                    </w:rPr>
                    <w:t>非甲烷总烃</w:t>
                  </w:r>
                </w:p>
              </w:tc>
              <w:tc>
                <w:tcPr>
                  <w:tcW w:w="989" w:type="pct"/>
                  <w:shd w:val="clear" w:color="auto" w:fill="auto"/>
                  <w:vAlign w:val="center"/>
                </w:tcPr>
                <w:p w14:paraId="69277227">
                  <w:pPr>
                    <w:adjustRightInd w:val="0"/>
                    <w:snapToGrid w:val="0"/>
                    <w:spacing w:line="280" w:lineRule="exact"/>
                    <w:ind w:left="-63" w:leftChars="-30" w:right="-63" w:rightChars="-30"/>
                    <w:jc w:val="center"/>
                    <w:rPr>
                      <w:rFonts w:hint="eastAsia" w:ascii="Times New Roman" w:hAnsi="Times New Roman" w:cs="Times New Roman" w:eastAsiaTheme="minorEastAsia"/>
                      <w:color w:val="auto"/>
                      <w:kern w:val="2"/>
                      <w:sz w:val="21"/>
                      <w:szCs w:val="21"/>
                      <w:highlight w:val="none"/>
                      <w:lang w:val="en-US" w:eastAsia="zh-CN" w:bidi="ar-SA"/>
                    </w:rPr>
                  </w:pPr>
                  <w:r>
                    <w:rPr>
                      <w:rFonts w:hint="eastAsia"/>
                      <w:snapToGrid w:val="0"/>
                      <w:color w:val="auto"/>
                      <w:kern w:val="0"/>
                      <w:highlight w:val="none"/>
                      <w:lang w:eastAsia="zh-CN"/>
                    </w:rPr>
                    <w:t>活性炭吸附-脱附-催化燃烧设备+15m排气筒</w:t>
                  </w:r>
                </w:p>
              </w:tc>
              <w:tc>
                <w:tcPr>
                  <w:tcW w:w="618" w:type="pct"/>
                  <w:vMerge w:val="continue"/>
                  <w:vAlign w:val="center"/>
                </w:tcPr>
                <w:p w14:paraId="4DF4385F">
                  <w:pPr>
                    <w:adjustRightInd w:val="0"/>
                    <w:snapToGrid w:val="0"/>
                    <w:spacing w:line="280" w:lineRule="exact"/>
                    <w:ind w:left="-63" w:leftChars="-30" w:right="-63" w:rightChars="-30"/>
                    <w:jc w:val="center"/>
                    <w:rPr>
                      <w:rFonts w:hint="eastAsia"/>
                      <w:snapToGrid w:val="0"/>
                      <w:color w:val="auto"/>
                      <w:kern w:val="0"/>
                      <w:highlight w:val="none"/>
                      <w:lang w:val="en-US" w:eastAsia="zh-CN"/>
                    </w:rPr>
                  </w:pPr>
                </w:p>
              </w:tc>
              <w:tc>
                <w:tcPr>
                  <w:tcW w:w="1423" w:type="pct"/>
                  <w:vMerge w:val="continue"/>
                  <w:shd w:val="clear" w:color="auto" w:fill="auto"/>
                  <w:vAlign w:val="center"/>
                </w:tcPr>
                <w:p w14:paraId="62BB483B">
                  <w:pPr>
                    <w:adjustRightInd w:val="0"/>
                    <w:snapToGrid w:val="0"/>
                    <w:spacing w:line="280" w:lineRule="exact"/>
                    <w:ind w:left="-63" w:leftChars="-30" w:right="-63" w:rightChars="-30"/>
                    <w:rPr>
                      <w:rFonts w:hint="default" w:ascii="Times New Roman" w:hAnsi="Times New Roman" w:eastAsia="宋体" w:cs="Times New Roman"/>
                      <w:snapToGrid w:val="0"/>
                      <w:color w:val="auto"/>
                      <w:kern w:val="0"/>
                      <w:sz w:val="21"/>
                      <w:szCs w:val="24"/>
                      <w:highlight w:val="none"/>
                      <w:lang w:val="en-US" w:eastAsia="zh-CN" w:bidi="ar-SA"/>
                    </w:rPr>
                  </w:pPr>
                </w:p>
              </w:tc>
              <w:tc>
                <w:tcPr>
                  <w:tcW w:w="595" w:type="pct"/>
                  <w:shd w:val="clear" w:color="auto" w:fill="auto"/>
                  <w:vAlign w:val="center"/>
                </w:tcPr>
                <w:p w14:paraId="0802F0E7">
                  <w:pPr>
                    <w:adjustRightInd w:val="0"/>
                    <w:snapToGrid w:val="0"/>
                    <w:spacing w:line="280" w:lineRule="exact"/>
                    <w:ind w:left="-63" w:leftChars="-30" w:right="-63" w:rightChars="-30"/>
                    <w:jc w:val="center"/>
                    <w:rPr>
                      <w:rFonts w:ascii="Times New Roman" w:hAnsi="Times New Roman" w:eastAsia="宋体" w:cs="Times New Roman"/>
                      <w:snapToGrid w:val="0"/>
                      <w:color w:val="auto"/>
                      <w:kern w:val="2"/>
                      <w:sz w:val="21"/>
                      <w:szCs w:val="24"/>
                      <w:highlight w:val="none"/>
                      <w:lang w:val="zh-CN" w:eastAsia="zh-CN" w:bidi="ar-SA"/>
                    </w:rPr>
                  </w:pPr>
                  <w:r>
                    <w:rPr>
                      <w:snapToGrid w:val="0"/>
                      <w:color w:val="auto"/>
                      <w:highlight w:val="none"/>
                      <w:lang w:val="zh-CN"/>
                    </w:rPr>
                    <w:t>每</w:t>
                  </w:r>
                  <w:r>
                    <w:rPr>
                      <w:rFonts w:hint="eastAsia"/>
                      <w:snapToGrid w:val="0"/>
                      <w:color w:val="auto"/>
                      <w:highlight w:val="none"/>
                      <w:lang w:val="zh-CN"/>
                    </w:rPr>
                    <w:t>半</w:t>
                  </w:r>
                  <w:r>
                    <w:rPr>
                      <w:snapToGrid w:val="0"/>
                      <w:color w:val="auto"/>
                      <w:highlight w:val="none"/>
                      <w:lang w:val="zh-CN"/>
                    </w:rPr>
                    <w:t>年1次</w:t>
                  </w:r>
                </w:p>
              </w:tc>
            </w:tr>
            <w:tr w14:paraId="51B7A52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23" w:type="pct"/>
                  <w:vMerge w:val="continue"/>
                  <w:vAlign w:val="center"/>
                </w:tcPr>
                <w:p w14:paraId="5AE53969">
                  <w:pPr>
                    <w:adjustRightInd w:val="0"/>
                    <w:snapToGrid w:val="0"/>
                    <w:spacing w:line="280" w:lineRule="exact"/>
                    <w:ind w:left="-63" w:leftChars="-30" w:right="-63" w:rightChars="-30"/>
                    <w:jc w:val="center"/>
                    <w:rPr>
                      <w:rFonts w:hint="eastAsia"/>
                      <w:snapToGrid w:val="0"/>
                      <w:color w:val="auto"/>
                      <w:kern w:val="0"/>
                      <w:highlight w:val="none"/>
                      <w:lang w:val="zh-CN"/>
                    </w:rPr>
                  </w:pPr>
                </w:p>
              </w:tc>
              <w:tc>
                <w:tcPr>
                  <w:tcW w:w="225" w:type="pct"/>
                  <w:vMerge w:val="restart"/>
                  <w:vAlign w:val="center"/>
                </w:tcPr>
                <w:p w14:paraId="11F3CA96">
                  <w:pPr>
                    <w:adjustRightInd w:val="0"/>
                    <w:snapToGrid w:val="0"/>
                    <w:spacing w:line="280" w:lineRule="exact"/>
                    <w:ind w:left="-63" w:leftChars="-30" w:right="-63" w:rightChars="-30"/>
                    <w:jc w:val="center"/>
                    <w:rPr>
                      <w:rFonts w:hint="eastAsia"/>
                      <w:color w:val="auto"/>
                      <w:highlight w:val="none"/>
                      <w:lang w:val="en-GB"/>
                    </w:rPr>
                  </w:pPr>
                  <w:r>
                    <w:rPr>
                      <w:rFonts w:hint="eastAsia"/>
                      <w:color w:val="auto"/>
                      <w:highlight w:val="none"/>
                      <w:lang w:val="en-GB"/>
                    </w:rPr>
                    <w:t>农用贴片滴灌带加工厂房</w:t>
                  </w:r>
                </w:p>
              </w:tc>
              <w:tc>
                <w:tcPr>
                  <w:tcW w:w="234" w:type="pct"/>
                  <w:vMerge w:val="continue"/>
                  <w:vAlign w:val="center"/>
                </w:tcPr>
                <w:p w14:paraId="631747A8">
                  <w:pPr>
                    <w:adjustRightInd w:val="0"/>
                    <w:snapToGrid w:val="0"/>
                    <w:spacing w:line="280" w:lineRule="exact"/>
                    <w:ind w:left="-63" w:leftChars="-30" w:right="-63" w:rightChars="-30"/>
                    <w:jc w:val="center"/>
                    <w:rPr>
                      <w:rFonts w:hint="eastAsia"/>
                      <w:color w:val="auto"/>
                      <w:highlight w:val="none"/>
                      <w:lang w:val="en-US" w:eastAsia="zh-CN"/>
                    </w:rPr>
                  </w:pPr>
                </w:p>
              </w:tc>
              <w:tc>
                <w:tcPr>
                  <w:tcW w:w="587" w:type="pct"/>
                  <w:shd w:val="clear" w:color="auto" w:fill="auto"/>
                  <w:vAlign w:val="center"/>
                </w:tcPr>
                <w:p w14:paraId="49949FEA">
                  <w:pPr>
                    <w:adjustRightInd w:val="0"/>
                    <w:snapToGrid w:val="0"/>
                    <w:spacing w:line="280" w:lineRule="exact"/>
                    <w:ind w:left="-63" w:leftChars="-30" w:right="-63" w:rightChars="-3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粉尘</w:t>
                  </w:r>
                </w:p>
              </w:tc>
              <w:tc>
                <w:tcPr>
                  <w:tcW w:w="989" w:type="pct"/>
                  <w:shd w:val="clear" w:color="auto" w:fill="auto"/>
                  <w:vAlign w:val="center"/>
                </w:tcPr>
                <w:p w14:paraId="7ABF324B">
                  <w:pPr>
                    <w:adjustRightInd w:val="0"/>
                    <w:snapToGrid w:val="0"/>
                    <w:spacing w:line="280" w:lineRule="exact"/>
                    <w:ind w:left="-63" w:leftChars="-30" w:right="-63" w:rightChars="-30"/>
                    <w:jc w:val="center"/>
                    <w:rPr>
                      <w:rFonts w:hint="eastAsia" w:ascii="Times New Roman" w:hAnsi="Times New Roman" w:cs="Times New Roman" w:eastAsiaTheme="minorEastAsia"/>
                      <w:color w:val="auto"/>
                      <w:kern w:val="2"/>
                      <w:sz w:val="21"/>
                      <w:szCs w:val="21"/>
                      <w:highlight w:val="none"/>
                      <w:lang w:val="en-US" w:eastAsia="zh-CN" w:bidi="ar-SA"/>
                    </w:rPr>
                  </w:pPr>
                  <w:r>
                    <w:rPr>
                      <w:rFonts w:hint="eastAsia" w:eastAsiaTheme="minorEastAsia"/>
                      <w:color w:val="auto"/>
                      <w:sz w:val="21"/>
                      <w:szCs w:val="21"/>
                      <w:highlight w:val="none"/>
                      <w:lang w:val="en-US" w:eastAsia="zh-CN"/>
                    </w:rPr>
                    <w:t>布袋除尘器</w:t>
                  </w:r>
                </w:p>
              </w:tc>
              <w:tc>
                <w:tcPr>
                  <w:tcW w:w="618" w:type="pct"/>
                  <w:vMerge w:val="restart"/>
                  <w:vAlign w:val="center"/>
                </w:tcPr>
                <w:p w14:paraId="5FE6161F">
                  <w:pPr>
                    <w:adjustRightInd w:val="0"/>
                    <w:snapToGrid w:val="0"/>
                    <w:spacing w:line="280" w:lineRule="exact"/>
                    <w:ind w:left="-63" w:leftChars="-30" w:right="-63" w:rightChars="-30"/>
                    <w:jc w:val="center"/>
                    <w:rPr>
                      <w:rFonts w:hint="eastAsia" w:eastAsia="宋体"/>
                      <w:snapToGrid w:val="0"/>
                      <w:color w:val="auto"/>
                      <w:kern w:val="0"/>
                      <w:highlight w:val="none"/>
                      <w:lang w:val="zh-CN" w:eastAsia="zh-CN"/>
                    </w:rPr>
                  </w:pPr>
                  <w:r>
                    <w:rPr>
                      <w:rFonts w:hint="eastAsia"/>
                      <w:snapToGrid w:val="0"/>
                      <w:color w:val="auto"/>
                      <w:kern w:val="0"/>
                      <w:highlight w:val="none"/>
                      <w:lang w:val="zh-CN"/>
                    </w:rPr>
                    <w:t>DA00</w:t>
                  </w:r>
                  <w:r>
                    <w:rPr>
                      <w:rFonts w:hint="eastAsia"/>
                      <w:snapToGrid w:val="0"/>
                      <w:color w:val="auto"/>
                      <w:kern w:val="0"/>
                      <w:highlight w:val="none"/>
                      <w:lang w:val="en-US" w:eastAsia="zh-CN"/>
                    </w:rPr>
                    <w:t>2</w:t>
                  </w:r>
                </w:p>
              </w:tc>
              <w:tc>
                <w:tcPr>
                  <w:tcW w:w="1423" w:type="pct"/>
                  <w:vMerge w:val="continue"/>
                  <w:shd w:val="clear" w:color="auto" w:fill="auto"/>
                  <w:vAlign w:val="center"/>
                </w:tcPr>
                <w:p w14:paraId="799BEC86">
                  <w:pPr>
                    <w:adjustRightInd w:val="0"/>
                    <w:snapToGrid w:val="0"/>
                    <w:spacing w:line="280" w:lineRule="exact"/>
                    <w:ind w:left="-63" w:leftChars="-30" w:right="-63" w:rightChars="-30"/>
                    <w:rPr>
                      <w:rFonts w:hint="eastAsia" w:ascii="Times New Roman" w:hAnsi="Times New Roman" w:eastAsia="宋体" w:cs="Times New Roman"/>
                      <w:snapToGrid w:val="0"/>
                      <w:color w:val="auto"/>
                      <w:kern w:val="0"/>
                      <w:sz w:val="21"/>
                      <w:szCs w:val="24"/>
                      <w:highlight w:val="none"/>
                      <w:lang w:val="en-US" w:eastAsia="zh-CN" w:bidi="ar-SA"/>
                    </w:rPr>
                  </w:pPr>
                </w:p>
              </w:tc>
              <w:tc>
                <w:tcPr>
                  <w:tcW w:w="595" w:type="pct"/>
                  <w:shd w:val="clear" w:color="auto" w:fill="auto"/>
                  <w:vAlign w:val="center"/>
                </w:tcPr>
                <w:p w14:paraId="2206A6BA">
                  <w:pPr>
                    <w:adjustRightInd w:val="0"/>
                    <w:snapToGrid w:val="0"/>
                    <w:spacing w:line="280" w:lineRule="exact"/>
                    <w:ind w:left="-63" w:leftChars="-30" w:right="-63" w:rightChars="-30"/>
                    <w:jc w:val="center"/>
                    <w:rPr>
                      <w:rFonts w:ascii="Times New Roman" w:hAnsi="Times New Roman" w:eastAsia="宋体" w:cs="Times New Roman"/>
                      <w:snapToGrid w:val="0"/>
                      <w:color w:val="auto"/>
                      <w:kern w:val="2"/>
                      <w:sz w:val="21"/>
                      <w:szCs w:val="24"/>
                      <w:highlight w:val="none"/>
                      <w:lang w:val="zh-CN" w:eastAsia="zh-CN" w:bidi="ar-SA"/>
                    </w:rPr>
                  </w:pPr>
                  <w:r>
                    <w:rPr>
                      <w:snapToGrid w:val="0"/>
                      <w:color w:val="auto"/>
                      <w:highlight w:val="none"/>
                      <w:lang w:val="zh-CN"/>
                    </w:rPr>
                    <w:t>每年1次</w:t>
                  </w:r>
                </w:p>
              </w:tc>
            </w:tr>
            <w:tr w14:paraId="3F24B4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23" w:type="pct"/>
                  <w:vMerge w:val="continue"/>
                  <w:vAlign w:val="center"/>
                </w:tcPr>
                <w:p w14:paraId="539B7A44">
                  <w:pPr>
                    <w:adjustRightInd w:val="0"/>
                    <w:snapToGrid w:val="0"/>
                    <w:spacing w:line="280" w:lineRule="exact"/>
                    <w:ind w:left="-63" w:leftChars="-30" w:right="-63" w:rightChars="-30"/>
                    <w:jc w:val="center"/>
                    <w:rPr>
                      <w:snapToGrid w:val="0"/>
                      <w:color w:val="auto"/>
                      <w:kern w:val="0"/>
                      <w:highlight w:val="none"/>
                      <w:lang w:val="zh-CN"/>
                    </w:rPr>
                  </w:pPr>
                </w:p>
              </w:tc>
              <w:tc>
                <w:tcPr>
                  <w:tcW w:w="225" w:type="pct"/>
                  <w:vMerge w:val="continue"/>
                  <w:vAlign w:val="center"/>
                </w:tcPr>
                <w:p w14:paraId="75B8A2DB">
                  <w:pPr>
                    <w:adjustRightInd w:val="0"/>
                    <w:snapToGrid w:val="0"/>
                    <w:spacing w:line="280" w:lineRule="exact"/>
                    <w:ind w:left="-63" w:leftChars="-30" w:right="-63" w:rightChars="-30"/>
                    <w:jc w:val="center"/>
                    <w:rPr>
                      <w:color w:val="auto"/>
                      <w:highlight w:val="none"/>
                      <w:lang w:val="en-GB"/>
                    </w:rPr>
                  </w:pPr>
                </w:p>
              </w:tc>
              <w:tc>
                <w:tcPr>
                  <w:tcW w:w="234" w:type="pct"/>
                  <w:vMerge w:val="continue"/>
                  <w:vAlign w:val="center"/>
                </w:tcPr>
                <w:p w14:paraId="7E78A7EA">
                  <w:pPr>
                    <w:adjustRightInd w:val="0"/>
                    <w:snapToGrid w:val="0"/>
                    <w:spacing w:line="280" w:lineRule="exact"/>
                    <w:ind w:left="-63" w:leftChars="-30" w:right="-63" w:rightChars="-30"/>
                    <w:jc w:val="center"/>
                    <w:rPr>
                      <w:color w:val="auto"/>
                      <w:highlight w:val="none"/>
                      <w:lang w:val="en-GB"/>
                    </w:rPr>
                  </w:pPr>
                </w:p>
              </w:tc>
              <w:tc>
                <w:tcPr>
                  <w:tcW w:w="587" w:type="pct"/>
                  <w:vAlign w:val="center"/>
                </w:tcPr>
                <w:p w14:paraId="5524F910">
                  <w:pPr>
                    <w:adjustRightInd w:val="0"/>
                    <w:snapToGrid w:val="0"/>
                    <w:spacing w:line="280" w:lineRule="exact"/>
                    <w:ind w:left="-63" w:leftChars="-30" w:right="-63" w:rightChars="-30"/>
                    <w:jc w:val="center"/>
                    <w:rPr>
                      <w:color w:val="auto"/>
                      <w:sz w:val="21"/>
                      <w:szCs w:val="21"/>
                      <w:highlight w:val="none"/>
                      <w:lang w:val="en-GB"/>
                    </w:rPr>
                  </w:pPr>
                  <w:r>
                    <w:rPr>
                      <w:rFonts w:hint="eastAsia"/>
                      <w:color w:val="auto"/>
                      <w:sz w:val="21"/>
                      <w:szCs w:val="21"/>
                      <w:highlight w:val="none"/>
                      <w:lang w:val="en-GB"/>
                    </w:rPr>
                    <w:t>非甲烷总烃</w:t>
                  </w:r>
                </w:p>
              </w:tc>
              <w:tc>
                <w:tcPr>
                  <w:tcW w:w="989" w:type="pct"/>
                  <w:vAlign w:val="center"/>
                </w:tcPr>
                <w:p w14:paraId="1128690A">
                  <w:pPr>
                    <w:adjustRightInd w:val="0"/>
                    <w:snapToGrid w:val="0"/>
                    <w:spacing w:line="280" w:lineRule="exact"/>
                    <w:ind w:left="-63" w:leftChars="-30" w:right="-63" w:rightChars="-30"/>
                    <w:jc w:val="center"/>
                    <w:rPr>
                      <w:rFonts w:eastAsiaTheme="minorEastAsia"/>
                      <w:color w:val="auto"/>
                      <w:sz w:val="21"/>
                      <w:szCs w:val="21"/>
                      <w:highlight w:val="none"/>
                    </w:rPr>
                  </w:pPr>
                  <w:r>
                    <w:rPr>
                      <w:rFonts w:hint="eastAsia"/>
                      <w:snapToGrid w:val="0"/>
                      <w:color w:val="auto"/>
                      <w:kern w:val="0"/>
                      <w:highlight w:val="none"/>
                      <w:lang w:eastAsia="zh-CN"/>
                    </w:rPr>
                    <w:t>活性炭吸附-脱附-催化燃烧设备+15m排气筒</w:t>
                  </w:r>
                </w:p>
              </w:tc>
              <w:tc>
                <w:tcPr>
                  <w:tcW w:w="618" w:type="pct"/>
                  <w:vMerge w:val="continue"/>
                  <w:vAlign w:val="center"/>
                </w:tcPr>
                <w:p w14:paraId="56F373A0">
                  <w:pPr>
                    <w:adjustRightInd w:val="0"/>
                    <w:snapToGrid w:val="0"/>
                    <w:spacing w:line="280" w:lineRule="exact"/>
                    <w:ind w:left="-63" w:leftChars="-30" w:right="-63" w:rightChars="-30"/>
                    <w:jc w:val="center"/>
                    <w:rPr>
                      <w:rFonts w:hint="eastAsia" w:eastAsia="宋体"/>
                      <w:snapToGrid w:val="0"/>
                      <w:color w:val="auto"/>
                      <w:kern w:val="0"/>
                      <w:highlight w:val="none"/>
                      <w:lang w:val="zh-CN" w:eastAsia="zh-CN"/>
                    </w:rPr>
                  </w:pPr>
                </w:p>
              </w:tc>
              <w:tc>
                <w:tcPr>
                  <w:tcW w:w="1423" w:type="pct"/>
                  <w:vMerge w:val="continue"/>
                  <w:vAlign w:val="center"/>
                </w:tcPr>
                <w:p w14:paraId="3C02C426">
                  <w:pPr>
                    <w:adjustRightInd w:val="0"/>
                    <w:snapToGrid w:val="0"/>
                    <w:spacing w:line="280" w:lineRule="exact"/>
                    <w:ind w:left="-63" w:leftChars="-30" w:right="-63" w:rightChars="-30"/>
                    <w:rPr>
                      <w:rFonts w:hint="default" w:eastAsia="宋体"/>
                      <w:snapToGrid w:val="0"/>
                      <w:color w:val="auto"/>
                      <w:kern w:val="0"/>
                      <w:highlight w:val="none"/>
                      <w:lang w:val="en-US" w:eastAsia="zh-CN"/>
                    </w:rPr>
                  </w:pPr>
                </w:p>
              </w:tc>
              <w:tc>
                <w:tcPr>
                  <w:tcW w:w="595" w:type="pct"/>
                  <w:vAlign w:val="center"/>
                </w:tcPr>
                <w:p w14:paraId="22CDF8FB">
                  <w:pPr>
                    <w:adjustRightInd w:val="0"/>
                    <w:snapToGrid w:val="0"/>
                    <w:spacing w:line="280" w:lineRule="exact"/>
                    <w:ind w:left="-63" w:leftChars="-30" w:right="-63" w:rightChars="-30"/>
                    <w:jc w:val="center"/>
                    <w:rPr>
                      <w:snapToGrid w:val="0"/>
                      <w:color w:val="auto"/>
                      <w:highlight w:val="none"/>
                      <w:lang w:val="zh-CN"/>
                    </w:rPr>
                  </w:pPr>
                  <w:r>
                    <w:rPr>
                      <w:snapToGrid w:val="0"/>
                      <w:color w:val="auto"/>
                      <w:highlight w:val="none"/>
                      <w:lang w:val="zh-CN"/>
                    </w:rPr>
                    <w:t>每</w:t>
                  </w:r>
                  <w:r>
                    <w:rPr>
                      <w:rFonts w:hint="eastAsia"/>
                      <w:snapToGrid w:val="0"/>
                      <w:color w:val="auto"/>
                      <w:highlight w:val="none"/>
                      <w:lang w:val="zh-CN"/>
                    </w:rPr>
                    <w:t>半</w:t>
                  </w:r>
                  <w:r>
                    <w:rPr>
                      <w:snapToGrid w:val="0"/>
                      <w:color w:val="auto"/>
                      <w:highlight w:val="none"/>
                      <w:lang w:val="zh-CN"/>
                    </w:rPr>
                    <w:t>年1次</w:t>
                  </w:r>
                </w:p>
              </w:tc>
            </w:tr>
            <w:tr w14:paraId="66076E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23" w:type="pct"/>
                  <w:vMerge w:val="continue"/>
                  <w:vAlign w:val="center"/>
                </w:tcPr>
                <w:p w14:paraId="25786CC0">
                  <w:pPr>
                    <w:adjustRightInd w:val="0"/>
                    <w:snapToGrid w:val="0"/>
                    <w:spacing w:line="280" w:lineRule="exact"/>
                    <w:ind w:left="-63" w:leftChars="-30" w:right="-63" w:rightChars="-30"/>
                    <w:jc w:val="center"/>
                    <w:rPr>
                      <w:snapToGrid w:val="0"/>
                      <w:color w:val="auto"/>
                      <w:kern w:val="0"/>
                      <w:highlight w:val="none"/>
                      <w:lang w:val="zh-CN"/>
                    </w:rPr>
                  </w:pPr>
                </w:p>
              </w:tc>
              <w:tc>
                <w:tcPr>
                  <w:tcW w:w="225" w:type="pct"/>
                  <w:vMerge w:val="restart"/>
                  <w:vAlign w:val="center"/>
                </w:tcPr>
                <w:p w14:paraId="2989BBFB">
                  <w:pPr>
                    <w:adjustRightInd w:val="0"/>
                    <w:snapToGrid w:val="0"/>
                    <w:spacing w:line="280" w:lineRule="exact"/>
                    <w:ind w:left="-63" w:leftChars="-30" w:right="-63" w:rightChars="-30"/>
                    <w:jc w:val="center"/>
                    <w:rPr>
                      <w:color w:val="auto"/>
                      <w:highlight w:val="none"/>
                      <w:lang w:val="en-GB"/>
                    </w:rPr>
                  </w:pPr>
                  <w:r>
                    <w:rPr>
                      <w:rFonts w:hint="eastAsia"/>
                      <w:color w:val="auto"/>
                      <w:highlight w:val="none"/>
                      <w:lang w:val="en-GB"/>
                    </w:rPr>
                    <w:t>生产车间</w:t>
                  </w:r>
                </w:p>
              </w:tc>
              <w:tc>
                <w:tcPr>
                  <w:tcW w:w="234" w:type="pct"/>
                  <w:vMerge w:val="restart"/>
                  <w:vAlign w:val="center"/>
                </w:tcPr>
                <w:p w14:paraId="59103BD2">
                  <w:pPr>
                    <w:adjustRightInd w:val="0"/>
                    <w:snapToGrid w:val="0"/>
                    <w:spacing w:line="280" w:lineRule="exact"/>
                    <w:ind w:left="-63" w:leftChars="-30" w:right="-63" w:rightChars="-30"/>
                    <w:jc w:val="center"/>
                    <w:rPr>
                      <w:rFonts w:hint="eastAsia" w:eastAsia="宋体"/>
                      <w:color w:val="auto"/>
                      <w:highlight w:val="none"/>
                      <w:lang w:val="en-US" w:eastAsia="zh-CN"/>
                    </w:rPr>
                  </w:pPr>
                  <w:r>
                    <w:rPr>
                      <w:rFonts w:hint="eastAsia"/>
                      <w:color w:val="auto"/>
                      <w:highlight w:val="none"/>
                      <w:lang w:val="en-US" w:eastAsia="zh-CN"/>
                    </w:rPr>
                    <w:t>无组织</w:t>
                  </w:r>
                </w:p>
              </w:tc>
              <w:tc>
                <w:tcPr>
                  <w:tcW w:w="587" w:type="pct"/>
                  <w:vAlign w:val="center"/>
                </w:tcPr>
                <w:p w14:paraId="048AFBAB">
                  <w:pPr>
                    <w:adjustRightInd w:val="0"/>
                    <w:snapToGrid w:val="0"/>
                    <w:spacing w:line="280" w:lineRule="exact"/>
                    <w:ind w:left="-63" w:leftChars="-30" w:right="-63" w:rightChars="-30"/>
                    <w:jc w:val="center"/>
                    <w:rPr>
                      <w:rFonts w:hint="eastAsia" w:eastAsia="宋体"/>
                      <w:color w:val="auto"/>
                      <w:highlight w:val="none"/>
                      <w:lang w:val="en-US" w:eastAsia="zh-CN"/>
                    </w:rPr>
                  </w:pPr>
                  <w:r>
                    <w:rPr>
                      <w:rFonts w:hint="eastAsia"/>
                      <w:color w:val="auto"/>
                      <w:highlight w:val="none"/>
                      <w:lang w:val="en-US" w:eastAsia="zh-CN"/>
                    </w:rPr>
                    <w:t>粉尘</w:t>
                  </w:r>
                </w:p>
              </w:tc>
              <w:tc>
                <w:tcPr>
                  <w:tcW w:w="989" w:type="pct"/>
                  <w:vAlign w:val="center"/>
                </w:tcPr>
                <w:p w14:paraId="23BE2D61">
                  <w:pPr>
                    <w:adjustRightInd w:val="0"/>
                    <w:snapToGrid w:val="0"/>
                    <w:spacing w:line="280" w:lineRule="exact"/>
                    <w:ind w:left="-63" w:leftChars="-30" w:right="-63" w:rightChars="-30"/>
                    <w:jc w:val="center"/>
                    <w:rPr>
                      <w:rFonts w:hint="eastAsia" w:eastAsia="宋体"/>
                      <w:color w:val="auto"/>
                      <w:highlight w:val="none"/>
                      <w:lang w:val="en-US" w:eastAsia="zh-CN"/>
                    </w:rPr>
                  </w:pPr>
                  <w:r>
                    <w:rPr>
                      <w:rFonts w:hint="eastAsia"/>
                      <w:color w:val="auto"/>
                      <w:highlight w:val="none"/>
                      <w:lang w:val="en-US" w:eastAsia="zh-CN"/>
                    </w:rPr>
                    <w:t>/</w:t>
                  </w:r>
                </w:p>
              </w:tc>
              <w:tc>
                <w:tcPr>
                  <w:tcW w:w="618" w:type="pct"/>
                  <w:vAlign w:val="center"/>
                </w:tcPr>
                <w:p w14:paraId="2C15EE96">
                  <w:pPr>
                    <w:adjustRightInd w:val="0"/>
                    <w:snapToGrid w:val="0"/>
                    <w:spacing w:line="280" w:lineRule="exact"/>
                    <w:ind w:left="-63" w:leftChars="-30" w:right="-63" w:rightChars="-30"/>
                    <w:jc w:val="center"/>
                    <w:rPr>
                      <w:rFonts w:hint="default" w:eastAsia="宋体"/>
                      <w:snapToGrid w:val="0"/>
                      <w:color w:val="auto"/>
                      <w:kern w:val="0"/>
                      <w:highlight w:val="none"/>
                      <w:lang w:val="en-US" w:eastAsia="zh-CN"/>
                    </w:rPr>
                  </w:pPr>
                  <w:r>
                    <w:rPr>
                      <w:rFonts w:hint="eastAsia"/>
                      <w:snapToGrid w:val="0"/>
                      <w:color w:val="auto"/>
                      <w:kern w:val="0"/>
                      <w:highlight w:val="none"/>
                      <w:lang w:val="en-US" w:eastAsia="zh-CN"/>
                    </w:rPr>
                    <w:t>企业边界</w:t>
                  </w:r>
                </w:p>
              </w:tc>
              <w:tc>
                <w:tcPr>
                  <w:tcW w:w="1423" w:type="pct"/>
                  <w:vMerge w:val="restart"/>
                  <w:vAlign w:val="center"/>
                </w:tcPr>
                <w:p w14:paraId="4BC7D061">
                  <w:pPr>
                    <w:adjustRightInd w:val="0"/>
                    <w:snapToGrid w:val="0"/>
                    <w:spacing w:line="280" w:lineRule="exact"/>
                    <w:ind w:left="-63" w:leftChars="-30" w:right="-63" w:rightChars="-30"/>
                    <w:rPr>
                      <w:rFonts w:hint="default"/>
                      <w:color w:val="auto"/>
                      <w:highlight w:val="none"/>
                      <w:lang w:val="en-US" w:eastAsia="zh-CN"/>
                    </w:rPr>
                  </w:pPr>
                  <w:r>
                    <w:rPr>
                      <w:rFonts w:hint="eastAsia"/>
                      <w:color w:val="auto"/>
                      <w:highlight w:val="none"/>
                      <w:lang w:eastAsia="zh-CN"/>
                    </w:rPr>
                    <w:t>《</w:t>
                  </w:r>
                  <w:r>
                    <w:rPr>
                      <w:rFonts w:hint="eastAsia" w:ascii="Times New Roman" w:hAnsi="Times New Roman" w:cs="Times New Roman"/>
                      <w:snapToGrid w:val="0"/>
                      <w:color w:val="auto"/>
                      <w:kern w:val="0"/>
                      <w:highlight w:val="none"/>
                      <w:lang w:eastAsia="zh-CN"/>
                    </w:rPr>
                    <w:t>合成树脂工业污染物排放标准》（GB31572-2015，含2024年修改单）</w:t>
                  </w:r>
                  <w:r>
                    <w:rPr>
                      <w:rFonts w:hint="eastAsia" w:ascii="Times New Roman" w:hAnsi="Times New Roman" w:cs="Times New Roman"/>
                      <w:snapToGrid w:val="0"/>
                      <w:color w:val="auto"/>
                      <w:kern w:val="0"/>
                      <w:highlight w:val="none"/>
                      <w:lang w:val="en-US" w:eastAsia="zh-CN"/>
                    </w:rPr>
                    <w:t>表9企业边界限值要求</w:t>
                  </w:r>
                </w:p>
              </w:tc>
              <w:tc>
                <w:tcPr>
                  <w:tcW w:w="595" w:type="pct"/>
                  <w:vAlign w:val="center"/>
                </w:tcPr>
                <w:p w14:paraId="075A7AF1">
                  <w:pPr>
                    <w:adjustRightInd w:val="0"/>
                    <w:snapToGrid w:val="0"/>
                    <w:spacing w:line="280" w:lineRule="exact"/>
                    <w:ind w:left="-63" w:leftChars="-30" w:right="-63" w:rightChars="-30"/>
                    <w:jc w:val="center"/>
                    <w:rPr>
                      <w:snapToGrid w:val="0"/>
                      <w:color w:val="auto"/>
                      <w:highlight w:val="none"/>
                      <w:lang w:val="zh-CN"/>
                    </w:rPr>
                  </w:pPr>
                </w:p>
              </w:tc>
            </w:tr>
            <w:tr w14:paraId="1FFC481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23" w:type="pct"/>
                  <w:vMerge w:val="continue"/>
                  <w:vAlign w:val="center"/>
                </w:tcPr>
                <w:p w14:paraId="2F56A82C">
                  <w:pPr>
                    <w:adjustRightInd w:val="0"/>
                    <w:snapToGrid w:val="0"/>
                    <w:spacing w:line="280" w:lineRule="exact"/>
                    <w:ind w:left="-63" w:leftChars="-30" w:right="-63" w:rightChars="-30"/>
                    <w:jc w:val="center"/>
                    <w:rPr>
                      <w:snapToGrid w:val="0"/>
                      <w:color w:val="auto"/>
                      <w:kern w:val="0"/>
                      <w:highlight w:val="none"/>
                      <w:lang w:val="zh-CN"/>
                    </w:rPr>
                  </w:pPr>
                </w:p>
              </w:tc>
              <w:tc>
                <w:tcPr>
                  <w:tcW w:w="225" w:type="pct"/>
                  <w:vMerge w:val="continue"/>
                  <w:vAlign w:val="center"/>
                </w:tcPr>
                <w:p w14:paraId="7ABD2294">
                  <w:pPr>
                    <w:adjustRightInd w:val="0"/>
                    <w:snapToGrid w:val="0"/>
                    <w:spacing w:line="280" w:lineRule="exact"/>
                    <w:ind w:left="-63" w:leftChars="-30" w:right="-63" w:rightChars="-30"/>
                    <w:jc w:val="center"/>
                    <w:rPr>
                      <w:color w:val="auto"/>
                      <w:highlight w:val="none"/>
                      <w:lang w:val="en-GB"/>
                    </w:rPr>
                  </w:pPr>
                </w:p>
              </w:tc>
              <w:tc>
                <w:tcPr>
                  <w:tcW w:w="234" w:type="pct"/>
                  <w:vMerge w:val="continue"/>
                  <w:vAlign w:val="center"/>
                </w:tcPr>
                <w:p w14:paraId="0C948156">
                  <w:pPr>
                    <w:adjustRightInd w:val="0"/>
                    <w:snapToGrid w:val="0"/>
                    <w:spacing w:line="280" w:lineRule="exact"/>
                    <w:ind w:left="-63" w:leftChars="-30" w:right="-63" w:rightChars="-30"/>
                    <w:jc w:val="center"/>
                    <w:rPr>
                      <w:color w:val="auto"/>
                      <w:highlight w:val="none"/>
                      <w:lang w:val="en-GB"/>
                    </w:rPr>
                  </w:pPr>
                </w:p>
              </w:tc>
              <w:tc>
                <w:tcPr>
                  <w:tcW w:w="587" w:type="pct"/>
                  <w:vMerge w:val="restart"/>
                  <w:vAlign w:val="center"/>
                </w:tcPr>
                <w:p w14:paraId="06C4A93B">
                  <w:pPr>
                    <w:adjustRightInd w:val="0"/>
                    <w:snapToGrid w:val="0"/>
                    <w:spacing w:line="280" w:lineRule="exact"/>
                    <w:ind w:left="-63" w:leftChars="-30" w:right="-63" w:rightChars="-30"/>
                    <w:jc w:val="center"/>
                    <w:rPr>
                      <w:color w:val="auto"/>
                      <w:highlight w:val="none"/>
                      <w:lang w:val="en-GB"/>
                    </w:rPr>
                  </w:pPr>
                  <w:r>
                    <w:rPr>
                      <w:rFonts w:hint="eastAsia"/>
                      <w:color w:val="auto"/>
                      <w:highlight w:val="none"/>
                      <w:lang w:val="en-GB"/>
                    </w:rPr>
                    <w:t>非甲烷总烃</w:t>
                  </w:r>
                </w:p>
              </w:tc>
              <w:tc>
                <w:tcPr>
                  <w:tcW w:w="989" w:type="pct"/>
                  <w:vMerge w:val="restart"/>
                  <w:vAlign w:val="center"/>
                </w:tcPr>
                <w:p w14:paraId="50D687F6">
                  <w:pPr>
                    <w:adjustRightInd w:val="0"/>
                    <w:snapToGrid w:val="0"/>
                    <w:spacing w:line="280" w:lineRule="exact"/>
                    <w:ind w:left="-63" w:leftChars="-30" w:right="-63" w:rightChars="-30"/>
                    <w:jc w:val="center"/>
                    <w:rPr>
                      <w:color w:val="auto"/>
                      <w:highlight w:val="none"/>
                      <w:lang w:val="en-GB"/>
                    </w:rPr>
                  </w:pPr>
                  <w:r>
                    <w:rPr>
                      <w:rFonts w:hint="eastAsia"/>
                      <w:color w:val="auto"/>
                      <w:highlight w:val="none"/>
                    </w:rPr>
                    <w:t>/</w:t>
                  </w:r>
                </w:p>
              </w:tc>
              <w:tc>
                <w:tcPr>
                  <w:tcW w:w="618" w:type="pct"/>
                  <w:vAlign w:val="center"/>
                </w:tcPr>
                <w:p w14:paraId="7646D843">
                  <w:pPr>
                    <w:adjustRightInd w:val="0"/>
                    <w:snapToGrid w:val="0"/>
                    <w:spacing w:line="280" w:lineRule="exact"/>
                    <w:ind w:left="-63" w:leftChars="-30" w:right="-63" w:rightChars="-30"/>
                    <w:jc w:val="center"/>
                    <w:rPr>
                      <w:snapToGrid w:val="0"/>
                      <w:color w:val="auto"/>
                      <w:kern w:val="0"/>
                      <w:highlight w:val="none"/>
                      <w:lang w:val="zh-CN"/>
                    </w:rPr>
                  </w:pPr>
                  <w:r>
                    <w:rPr>
                      <w:rFonts w:hint="eastAsia"/>
                      <w:snapToGrid w:val="0"/>
                      <w:color w:val="auto"/>
                      <w:kern w:val="0"/>
                      <w:highlight w:val="none"/>
                      <w:lang w:val="zh-CN"/>
                    </w:rPr>
                    <w:t>企业边界</w:t>
                  </w:r>
                </w:p>
              </w:tc>
              <w:tc>
                <w:tcPr>
                  <w:tcW w:w="1423" w:type="pct"/>
                  <w:vMerge w:val="continue"/>
                  <w:vAlign w:val="center"/>
                </w:tcPr>
                <w:p w14:paraId="495308C5">
                  <w:pPr>
                    <w:adjustRightInd w:val="0"/>
                    <w:snapToGrid w:val="0"/>
                    <w:spacing w:line="280" w:lineRule="exact"/>
                    <w:ind w:left="-63" w:leftChars="-30" w:right="-63" w:rightChars="-30"/>
                    <w:rPr>
                      <w:rFonts w:hint="default" w:eastAsia="宋体"/>
                      <w:color w:val="auto"/>
                      <w:highlight w:val="none"/>
                      <w:lang w:val="en-US" w:eastAsia="zh-CN"/>
                    </w:rPr>
                  </w:pPr>
                </w:p>
              </w:tc>
              <w:tc>
                <w:tcPr>
                  <w:tcW w:w="595" w:type="pct"/>
                  <w:vAlign w:val="center"/>
                </w:tcPr>
                <w:p w14:paraId="139971D6">
                  <w:pPr>
                    <w:adjustRightInd w:val="0"/>
                    <w:snapToGrid w:val="0"/>
                    <w:spacing w:line="280" w:lineRule="exact"/>
                    <w:ind w:left="-63" w:leftChars="-30" w:right="-63" w:rightChars="-30"/>
                    <w:jc w:val="center"/>
                    <w:rPr>
                      <w:snapToGrid w:val="0"/>
                      <w:color w:val="auto"/>
                      <w:highlight w:val="none"/>
                      <w:lang w:val="zh-CN"/>
                    </w:rPr>
                  </w:pPr>
                  <w:r>
                    <w:rPr>
                      <w:snapToGrid w:val="0"/>
                      <w:color w:val="auto"/>
                      <w:highlight w:val="none"/>
                      <w:lang w:val="zh-CN"/>
                    </w:rPr>
                    <w:t>每年</w:t>
                  </w:r>
                </w:p>
                <w:p w14:paraId="02DEA84B">
                  <w:pPr>
                    <w:adjustRightInd w:val="0"/>
                    <w:snapToGrid w:val="0"/>
                    <w:spacing w:line="280" w:lineRule="exact"/>
                    <w:ind w:left="-63" w:leftChars="-30" w:right="-63" w:rightChars="-30"/>
                    <w:jc w:val="center"/>
                    <w:rPr>
                      <w:snapToGrid w:val="0"/>
                      <w:color w:val="auto"/>
                      <w:highlight w:val="none"/>
                      <w:lang w:val="zh-CN"/>
                    </w:rPr>
                  </w:pPr>
                  <w:r>
                    <w:rPr>
                      <w:snapToGrid w:val="0"/>
                      <w:color w:val="auto"/>
                      <w:highlight w:val="none"/>
                      <w:lang w:val="zh-CN"/>
                    </w:rPr>
                    <w:t>1次</w:t>
                  </w:r>
                </w:p>
              </w:tc>
            </w:tr>
            <w:tr w14:paraId="534241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23" w:type="pct"/>
                  <w:vMerge w:val="continue"/>
                  <w:vAlign w:val="center"/>
                </w:tcPr>
                <w:p w14:paraId="3B4726B4">
                  <w:pPr>
                    <w:adjustRightInd w:val="0"/>
                    <w:snapToGrid w:val="0"/>
                    <w:spacing w:line="280" w:lineRule="exact"/>
                    <w:ind w:left="-63" w:leftChars="-30" w:right="-63" w:rightChars="-30"/>
                    <w:jc w:val="center"/>
                    <w:rPr>
                      <w:snapToGrid w:val="0"/>
                      <w:color w:val="auto"/>
                      <w:kern w:val="0"/>
                      <w:highlight w:val="none"/>
                      <w:lang w:val="zh-CN"/>
                    </w:rPr>
                  </w:pPr>
                </w:p>
              </w:tc>
              <w:tc>
                <w:tcPr>
                  <w:tcW w:w="225" w:type="pct"/>
                  <w:vMerge w:val="continue"/>
                  <w:vAlign w:val="center"/>
                </w:tcPr>
                <w:p w14:paraId="13F8B648">
                  <w:pPr>
                    <w:adjustRightInd w:val="0"/>
                    <w:snapToGrid w:val="0"/>
                    <w:spacing w:line="280" w:lineRule="exact"/>
                    <w:ind w:left="-63" w:leftChars="-30" w:right="-63" w:rightChars="-30"/>
                    <w:jc w:val="center"/>
                    <w:rPr>
                      <w:rFonts w:hint="eastAsia"/>
                      <w:color w:val="auto"/>
                      <w:highlight w:val="none"/>
                      <w:lang w:val="en-GB"/>
                    </w:rPr>
                  </w:pPr>
                </w:p>
              </w:tc>
              <w:tc>
                <w:tcPr>
                  <w:tcW w:w="234" w:type="pct"/>
                  <w:vMerge w:val="continue"/>
                  <w:vAlign w:val="center"/>
                </w:tcPr>
                <w:p w14:paraId="2D1BC003">
                  <w:pPr>
                    <w:adjustRightInd w:val="0"/>
                    <w:snapToGrid w:val="0"/>
                    <w:spacing w:line="280" w:lineRule="exact"/>
                    <w:ind w:left="-63" w:leftChars="-30" w:right="-63" w:rightChars="-30"/>
                    <w:jc w:val="center"/>
                    <w:rPr>
                      <w:rFonts w:hint="eastAsia"/>
                      <w:color w:val="auto"/>
                      <w:highlight w:val="none"/>
                      <w:lang w:val="en-GB"/>
                    </w:rPr>
                  </w:pPr>
                </w:p>
              </w:tc>
              <w:tc>
                <w:tcPr>
                  <w:tcW w:w="587" w:type="pct"/>
                  <w:vMerge w:val="continue"/>
                  <w:vAlign w:val="center"/>
                </w:tcPr>
                <w:p w14:paraId="4FA93FBC">
                  <w:pPr>
                    <w:adjustRightInd w:val="0"/>
                    <w:snapToGrid w:val="0"/>
                    <w:spacing w:line="280" w:lineRule="exact"/>
                    <w:ind w:left="-63" w:leftChars="-30" w:right="-63" w:rightChars="-30"/>
                    <w:jc w:val="center"/>
                    <w:rPr>
                      <w:rFonts w:hint="eastAsia"/>
                      <w:color w:val="auto"/>
                      <w:highlight w:val="none"/>
                      <w:lang w:val="en-GB"/>
                    </w:rPr>
                  </w:pPr>
                </w:p>
              </w:tc>
              <w:tc>
                <w:tcPr>
                  <w:tcW w:w="989" w:type="pct"/>
                  <w:vMerge w:val="continue"/>
                  <w:vAlign w:val="center"/>
                </w:tcPr>
                <w:p w14:paraId="68DD2EFB">
                  <w:pPr>
                    <w:adjustRightInd w:val="0"/>
                    <w:snapToGrid w:val="0"/>
                    <w:spacing w:line="280" w:lineRule="exact"/>
                    <w:ind w:left="-63" w:leftChars="-30" w:right="-63" w:rightChars="-30"/>
                    <w:jc w:val="center"/>
                    <w:rPr>
                      <w:rFonts w:hint="eastAsia"/>
                      <w:color w:val="auto"/>
                      <w:highlight w:val="none"/>
                    </w:rPr>
                  </w:pPr>
                </w:p>
              </w:tc>
              <w:tc>
                <w:tcPr>
                  <w:tcW w:w="618" w:type="pct"/>
                  <w:vAlign w:val="center"/>
                </w:tcPr>
                <w:p w14:paraId="238DD731">
                  <w:pPr>
                    <w:adjustRightInd w:val="0"/>
                    <w:snapToGrid w:val="0"/>
                    <w:spacing w:line="280" w:lineRule="exact"/>
                    <w:ind w:left="-63" w:leftChars="-30" w:right="-63" w:rightChars="-30"/>
                    <w:jc w:val="center"/>
                    <w:rPr>
                      <w:rFonts w:hint="eastAsia"/>
                      <w:snapToGrid w:val="0"/>
                      <w:color w:val="auto"/>
                      <w:kern w:val="0"/>
                      <w:highlight w:val="none"/>
                      <w:lang w:val="zh-CN"/>
                    </w:rPr>
                  </w:pPr>
                  <w:r>
                    <w:rPr>
                      <w:rFonts w:hint="eastAsia"/>
                      <w:snapToGrid w:val="0"/>
                      <w:color w:val="auto"/>
                      <w:kern w:val="0"/>
                      <w:highlight w:val="none"/>
                      <w:lang w:val="zh-CN"/>
                    </w:rPr>
                    <w:t>厂区内</w:t>
                  </w:r>
                </w:p>
              </w:tc>
              <w:tc>
                <w:tcPr>
                  <w:tcW w:w="1423" w:type="pct"/>
                  <w:vAlign w:val="center"/>
                </w:tcPr>
                <w:p w14:paraId="18F5E360">
                  <w:pPr>
                    <w:adjustRightInd w:val="0"/>
                    <w:snapToGrid w:val="0"/>
                    <w:spacing w:line="280" w:lineRule="exact"/>
                    <w:ind w:left="-63" w:leftChars="-30" w:right="-63" w:rightChars="-30"/>
                    <w:rPr>
                      <w:rFonts w:hint="eastAsia"/>
                      <w:color w:val="auto"/>
                      <w:highlight w:val="none"/>
                    </w:rPr>
                  </w:pPr>
                  <w:r>
                    <w:rPr>
                      <w:rFonts w:hint="eastAsia"/>
                      <w:color w:val="auto"/>
                      <w:highlight w:val="none"/>
                    </w:rPr>
                    <w:t>《挥发性有机物无组织排放控制标准》</w:t>
                  </w:r>
                  <w:r>
                    <w:rPr>
                      <w:rFonts w:hint="eastAsia"/>
                      <w:color w:val="auto"/>
                      <w:highlight w:val="none"/>
                      <w:lang w:eastAsia="zh-CN"/>
                    </w:rPr>
                    <w:t>（</w:t>
                  </w:r>
                  <w:r>
                    <w:rPr>
                      <w:rFonts w:hint="eastAsia"/>
                      <w:color w:val="auto"/>
                      <w:highlight w:val="none"/>
                    </w:rPr>
                    <w:t>GB37822-2019)</w:t>
                  </w:r>
                </w:p>
              </w:tc>
              <w:tc>
                <w:tcPr>
                  <w:tcW w:w="595" w:type="pct"/>
                  <w:vAlign w:val="center"/>
                </w:tcPr>
                <w:p w14:paraId="4DB09A5F">
                  <w:pPr>
                    <w:adjustRightInd w:val="0"/>
                    <w:snapToGrid w:val="0"/>
                    <w:spacing w:line="280" w:lineRule="exact"/>
                    <w:ind w:left="-63" w:leftChars="-30" w:right="-63" w:rightChars="-30"/>
                    <w:jc w:val="center"/>
                    <w:rPr>
                      <w:snapToGrid w:val="0"/>
                      <w:color w:val="auto"/>
                      <w:highlight w:val="none"/>
                      <w:lang w:val="zh-CN"/>
                    </w:rPr>
                  </w:pPr>
                  <w:r>
                    <w:rPr>
                      <w:snapToGrid w:val="0"/>
                      <w:color w:val="auto"/>
                      <w:highlight w:val="none"/>
                      <w:lang w:val="zh-CN"/>
                    </w:rPr>
                    <w:t>每年</w:t>
                  </w:r>
                </w:p>
                <w:p w14:paraId="2401ECE9">
                  <w:pPr>
                    <w:adjustRightInd w:val="0"/>
                    <w:snapToGrid w:val="0"/>
                    <w:spacing w:line="280" w:lineRule="exact"/>
                    <w:ind w:left="-63" w:leftChars="-30" w:right="-63" w:rightChars="-30"/>
                    <w:jc w:val="center"/>
                    <w:rPr>
                      <w:snapToGrid w:val="0"/>
                      <w:color w:val="auto"/>
                      <w:highlight w:val="none"/>
                      <w:lang w:val="zh-CN"/>
                    </w:rPr>
                  </w:pPr>
                  <w:r>
                    <w:rPr>
                      <w:snapToGrid w:val="0"/>
                      <w:color w:val="auto"/>
                      <w:highlight w:val="none"/>
                      <w:lang w:val="zh-CN"/>
                    </w:rPr>
                    <w:t>1次</w:t>
                  </w:r>
                </w:p>
              </w:tc>
            </w:tr>
          </w:tbl>
          <w:p w14:paraId="06AA917F">
            <w:pPr>
              <w:pStyle w:val="116"/>
              <w:adjustRightInd/>
              <w:snapToGrid/>
              <w:spacing w:line="500" w:lineRule="exact"/>
              <w:ind w:firstLine="0" w:firstLineChars="0"/>
              <w:rPr>
                <w:rStyle w:val="39"/>
                <w:rFonts w:eastAsiaTheme="minorEastAsia"/>
                <w:b/>
                <w:bCs/>
                <w:snapToGrid w:val="0"/>
                <w:color w:val="auto"/>
                <w:kern w:val="0"/>
                <w:highlight w:val="none"/>
              </w:rPr>
            </w:pPr>
            <w:r>
              <w:rPr>
                <w:rStyle w:val="39"/>
                <w:rFonts w:eastAsiaTheme="minorEastAsia"/>
                <w:b/>
                <w:bCs/>
                <w:snapToGrid w:val="0"/>
                <w:color w:val="auto"/>
                <w:kern w:val="0"/>
                <w:highlight w:val="none"/>
              </w:rPr>
              <w:t>2</w:t>
            </w:r>
            <w:r>
              <w:rPr>
                <w:rStyle w:val="39"/>
                <w:rFonts w:hAnsiTheme="minorEastAsia" w:eastAsiaTheme="minorEastAsia"/>
                <w:b/>
                <w:bCs/>
                <w:snapToGrid w:val="0"/>
                <w:color w:val="auto"/>
                <w:kern w:val="0"/>
                <w:highlight w:val="none"/>
              </w:rPr>
              <w:t>、</w:t>
            </w:r>
            <w:r>
              <w:rPr>
                <w:rStyle w:val="39"/>
                <w:rFonts w:hint="eastAsia" w:hAnsiTheme="minorEastAsia" w:eastAsiaTheme="minorEastAsia"/>
                <w:b/>
                <w:bCs/>
                <w:snapToGrid w:val="0"/>
                <w:color w:val="auto"/>
                <w:kern w:val="0"/>
                <w:highlight w:val="none"/>
              </w:rPr>
              <w:t>废</w:t>
            </w:r>
            <w:r>
              <w:rPr>
                <w:rStyle w:val="39"/>
                <w:rFonts w:hAnsiTheme="minorEastAsia" w:eastAsiaTheme="minorEastAsia"/>
                <w:b/>
                <w:bCs/>
                <w:snapToGrid w:val="0"/>
                <w:color w:val="auto"/>
                <w:kern w:val="0"/>
                <w:highlight w:val="none"/>
              </w:rPr>
              <w:t>水环境影响分析及保护措施</w:t>
            </w:r>
          </w:p>
          <w:p w14:paraId="6C379A2E">
            <w:pPr>
              <w:topLinePunct/>
              <w:spacing w:line="500" w:lineRule="exact"/>
              <w:textAlignment w:val="baseline"/>
              <w:rPr>
                <w:b/>
                <w:color w:val="auto"/>
                <w:kern w:val="0"/>
                <w:sz w:val="24"/>
                <w:highlight w:val="none"/>
              </w:rPr>
            </w:pPr>
            <w:r>
              <w:rPr>
                <w:rFonts w:hint="eastAsia"/>
                <w:b/>
                <w:color w:val="auto"/>
                <w:kern w:val="0"/>
                <w:sz w:val="24"/>
                <w:highlight w:val="none"/>
              </w:rPr>
              <w:t>2.1 废水产生及排放情况</w:t>
            </w:r>
          </w:p>
          <w:p w14:paraId="71C19BFD">
            <w:pPr>
              <w:topLinePunct/>
              <w:spacing w:line="500" w:lineRule="exact"/>
              <w:ind w:firstLine="480" w:firstLineChars="200"/>
              <w:textAlignment w:val="baseline"/>
              <w:rPr>
                <w:color w:val="auto"/>
                <w:sz w:val="24"/>
                <w:highlight w:val="none"/>
              </w:rPr>
            </w:pPr>
            <w:r>
              <w:rPr>
                <w:rFonts w:hint="eastAsia"/>
                <w:snapToGrid w:val="0"/>
                <w:color w:val="auto"/>
                <w:sz w:val="24"/>
                <w:highlight w:val="none"/>
              </w:rPr>
              <w:t>项目生产</w:t>
            </w:r>
            <w:r>
              <w:rPr>
                <w:rFonts w:hint="eastAsia"/>
                <w:snapToGrid w:val="0"/>
                <w:color w:val="auto"/>
                <w:sz w:val="24"/>
                <w:highlight w:val="none"/>
                <w:lang w:val="en-US" w:eastAsia="zh-CN"/>
              </w:rPr>
              <w:t>用水为冷却水，循环使用定期添加不外排</w:t>
            </w:r>
            <w:r>
              <w:rPr>
                <w:rFonts w:hint="eastAsia"/>
                <w:snapToGrid w:val="0"/>
                <w:color w:val="auto"/>
                <w:sz w:val="24"/>
                <w:highlight w:val="none"/>
              </w:rPr>
              <w:t>，项目排放废水仅为生活污水。</w:t>
            </w:r>
            <w:r>
              <w:rPr>
                <w:color w:val="auto"/>
                <w:kern w:val="0"/>
                <w:sz w:val="24"/>
                <w:highlight w:val="none"/>
              </w:rPr>
              <w:t>生活污水</w:t>
            </w:r>
            <w:r>
              <w:rPr>
                <w:rFonts w:hint="eastAsia"/>
                <w:color w:val="auto"/>
                <w:kern w:val="0"/>
                <w:sz w:val="24"/>
                <w:highlight w:val="none"/>
              </w:rPr>
              <w:t>排放量</w:t>
            </w:r>
            <w:r>
              <w:rPr>
                <w:color w:val="auto"/>
                <w:kern w:val="0"/>
                <w:sz w:val="24"/>
                <w:highlight w:val="none"/>
              </w:rPr>
              <w:t>为</w:t>
            </w:r>
            <w:r>
              <w:rPr>
                <w:rFonts w:hint="eastAsia"/>
                <w:color w:val="auto"/>
                <w:kern w:val="0"/>
                <w:sz w:val="24"/>
                <w:highlight w:val="none"/>
                <w:lang w:val="en-US" w:eastAsia="zh-CN"/>
              </w:rPr>
              <w:t>2</w:t>
            </w:r>
            <w:r>
              <w:rPr>
                <w:color w:val="auto"/>
                <w:kern w:val="0"/>
                <w:sz w:val="24"/>
                <w:highlight w:val="none"/>
              </w:rPr>
              <w:t>m</w:t>
            </w:r>
            <w:r>
              <w:rPr>
                <w:color w:val="auto"/>
                <w:kern w:val="0"/>
                <w:sz w:val="24"/>
                <w:highlight w:val="none"/>
                <w:vertAlign w:val="superscript"/>
              </w:rPr>
              <w:t>3</w:t>
            </w:r>
            <w:r>
              <w:rPr>
                <w:color w:val="auto"/>
                <w:kern w:val="0"/>
                <w:sz w:val="24"/>
                <w:highlight w:val="none"/>
              </w:rPr>
              <w:t>/d（</w:t>
            </w:r>
            <w:r>
              <w:rPr>
                <w:rFonts w:hint="eastAsia"/>
                <w:color w:val="auto"/>
                <w:kern w:val="0"/>
                <w:sz w:val="24"/>
                <w:highlight w:val="none"/>
                <w:lang w:val="en-US" w:eastAsia="zh-CN"/>
              </w:rPr>
              <w:t>600</w:t>
            </w:r>
            <w:r>
              <w:rPr>
                <w:color w:val="auto"/>
                <w:kern w:val="0"/>
                <w:sz w:val="24"/>
                <w:highlight w:val="none"/>
              </w:rPr>
              <w:t>m</w:t>
            </w:r>
            <w:r>
              <w:rPr>
                <w:color w:val="auto"/>
                <w:kern w:val="0"/>
                <w:sz w:val="24"/>
                <w:highlight w:val="none"/>
                <w:vertAlign w:val="superscript"/>
              </w:rPr>
              <w:t>3</w:t>
            </w:r>
            <w:r>
              <w:rPr>
                <w:color w:val="auto"/>
                <w:kern w:val="0"/>
                <w:sz w:val="24"/>
                <w:highlight w:val="none"/>
              </w:rPr>
              <w:t>/a）</w:t>
            </w:r>
            <w:r>
              <w:rPr>
                <w:rFonts w:hint="eastAsia"/>
                <w:color w:val="auto"/>
                <w:kern w:val="0"/>
                <w:sz w:val="24"/>
                <w:highlight w:val="none"/>
              </w:rPr>
              <w:t>，</w:t>
            </w:r>
            <w:r>
              <w:rPr>
                <w:rFonts w:hint="eastAsia"/>
                <w:color w:val="auto"/>
                <w:sz w:val="24"/>
                <w:highlight w:val="none"/>
              </w:rPr>
              <w:t>排入污水管网，进入</w:t>
            </w:r>
            <w:r>
              <w:rPr>
                <w:rFonts w:hint="eastAsia"/>
                <w:color w:val="auto"/>
                <w:sz w:val="24"/>
                <w:highlight w:val="none"/>
                <w:lang w:val="en-US" w:eastAsia="zh-CN"/>
              </w:rPr>
              <w:t>和静</w:t>
            </w:r>
            <w:r>
              <w:rPr>
                <w:rFonts w:hint="eastAsia"/>
                <w:color w:val="auto"/>
                <w:sz w:val="24"/>
                <w:highlight w:val="none"/>
              </w:rPr>
              <w:t>县城</w:t>
            </w:r>
            <w:r>
              <w:rPr>
                <w:rFonts w:hint="eastAsia"/>
                <w:color w:val="auto"/>
                <w:sz w:val="24"/>
                <w:highlight w:val="none"/>
                <w:lang w:val="en-US" w:eastAsia="zh-CN"/>
              </w:rPr>
              <w:t>镇</w:t>
            </w:r>
            <w:r>
              <w:rPr>
                <w:rFonts w:hint="eastAsia"/>
                <w:color w:val="auto"/>
                <w:sz w:val="24"/>
                <w:highlight w:val="none"/>
              </w:rPr>
              <w:t>污水处理厂处理。生活</w:t>
            </w:r>
            <w:r>
              <w:rPr>
                <w:color w:val="auto"/>
                <w:sz w:val="24"/>
                <w:highlight w:val="none"/>
              </w:rPr>
              <w:t>污水</w:t>
            </w:r>
            <w:r>
              <w:rPr>
                <w:rFonts w:hint="eastAsia"/>
                <w:color w:val="auto"/>
                <w:sz w:val="24"/>
                <w:highlight w:val="none"/>
              </w:rPr>
              <w:t>产生及排放情况见</w:t>
            </w:r>
            <w:r>
              <w:rPr>
                <w:color w:val="auto"/>
                <w:sz w:val="24"/>
                <w:highlight w:val="none"/>
              </w:rPr>
              <w:t>表</w:t>
            </w:r>
            <w:r>
              <w:rPr>
                <w:rFonts w:hint="eastAsia"/>
                <w:color w:val="auto"/>
                <w:sz w:val="24"/>
                <w:highlight w:val="none"/>
                <w:lang w:val="en-US" w:eastAsia="zh-CN"/>
              </w:rPr>
              <w:t>4-8</w:t>
            </w:r>
            <w:r>
              <w:rPr>
                <w:color w:val="auto"/>
                <w:sz w:val="24"/>
                <w:highlight w:val="none"/>
              </w:rPr>
              <w:t>。</w:t>
            </w:r>
          </w:p>
          <w:p w14:paraId="1520B6BA">
            <w:pPr>
              <w:jc w:val="center"/>
              <w:rPr>
                <w:color w:val="auto"/>
                <w:szCs w:val="21"/>
                <w:highlight w:val="none"/>
              </w:rPr>
            </w:pPr>
            <w:r>
              <w:rPr>
                <w:b/>
                <w:bCs/>
                <w:color w:val="auto"/>
                <w:szCs w:val="21"/>
                <w:highlight w:val="none"/>
              </w:rPr>
              <mc:AlternateContent>
                <mc:Choice Requires="wps">
                  <w:drawing>
                    <wp:anchor distT="0" distB="0" distL="114300" distR="114300" simplePos="0" relativeHeight="251662336" behindDoc="0" locked="0" layoutInCell="1" allowOverlap="1">
                      <wp:simplePos x="0" y="0"/>
                      <wp:positionH relativeFrom="column">
                        <wp:posOffset>5179695</wp:posOffset>
                      </wp:positionH>
                      <wp:positionV relativeFrom="paragraph">
                        <wp:posOffset>76200</wp:posOffset>
                      </wp:positionV>
                      <wp:extent cx="0" cy="102235"/>
                      <wp:effectExtent l="0" t="0" r="0" b="0"/>
                      <wp:wrapNone/>
                      <wp:docPr id="104" name="直线 23"/>
                      <wp:cNvGraphicFramePr/>
                      <a:graphic xmlns:a="http://schemas.openxmlformats.org/drawingml/2006/main">
                        <a:graphicData uri="http://schemas.microsoft.com/office/word/2010/wordprocessingShape">
                          <wps:wsp>
                            <wps:cNvCnPr/>
                            <wps:spPr>
                              <a:xfrm>
                                <a:off x="0" y="0"/>
                                <a:ext cx="0" cy="102235"/>
                              </a:xfrm>
                              <a:prstGeom prst="line">
                                <a:avLst/>
                              </a:prstGeom>
                              <a:ln w="9525">
                                <a:noFill/>
                              </a:ln>
                              <a:effectLst/>
                            </wps:spPr>
                            <wps:bodyPr upright="1"/>
                          </wps:wsp>
                        </a:graphicData>
                      </a:graphic>
                    </wp:anchor>
                  </w:drawing>
                </mc:Choice>
                <mc:Fallback>
                  <w:pict>
                    <v:line id="直线 23" o:spid="_x0000_s1026" o:spt="20" style="position:absolute;left:0pt;margin-left:407.85pt;margin-top:6pt;height:8.05pt;width:0pt;z-index:251662336;mso-width-relative:page;mso-height-relative:page;" filled="f" stroked="f" coordsize="21600,21600" o:gfxdata="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oK189NcAAAAJAQAADwAAAAAA&#10;AAABACAAAAAiAAAAZHJzL2Rvd25yZXYueG1sUEsBAhQAFAAAAAgAh07iQJiglF2iAQAAPwMAAA4A&#10;AAAAAAAAAQAgAAAAJgEAAGRycy9lMm9Eb2MueG1sUEsFBgAAAAAGAAYAWQEAADoFAAAAAA==&#10;">
                      <v:fill on="f" focussize="0,0"/>
                      <v:stroke on="f"/>
                      <v:imagedata o:title=""/>
                      <o:lock v:ext="edit" aspectratio="f"/>
                    </v:line>
                  </w:pict>
                </mc:Fallback>
              </mc:AlternateContent>
            </w:r>
            <w:r>
              <w:rPr>
                <w:b/>
                <w:bCs/>
                <w:color w:val="auto"/>
                <w:szCs w:val="21"/>
                <w:highlight w:val="none"/>
              </w:rPr>
              <w:t>表</w:t>
            </w:r>
            <w:r>
              <w:rPr>
                <w:rFonts w:hint="eastAsia"/>
                <w:b/>
                <w:bCs/>
                <w:color w:val="auto"/>
                <w:szCs w:val="21"/>
                <w:highlight w:val="none"/>
                <w:lang w:val="en-US" w:eastAsia="zh-CN"/>
              </w:rPr>
              <w:t>4-8</w:t>
            </w:r>
            <w:r>
              <w:rPr>
                <w:b/>
                <w:bCs/>
                <w:color w:val="auto"/>
                <w:szCs w:val="21"/>
                <w:highlight w:val="none"/>
              </w:rPr>
              <w:t xml:space="preserve">       项目污水排放浓度及排放量</w:t>
            </w:r>
          </w:p>
          <w:tbl>
            <w:tblPr>
              <w:tblStyle w:val="34"/>
              <w:tblW w:w="83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0"/>
              <w:gridCol w:w="1332"/>
              <w:gridCol w:w="1332"/>
              <w:gridCol w:w="1332"/>
              <w:gridCol w:w="1335"/>
            </w:tblGrid>
            <w:tr w14:paraId="43A6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92" w:type="pct"/>
                  <w:vAlign w:val="center"/>
                </w:tcPr>
                <w:p w14:paraId="2359AAB3">
                  <w:pPr>
                    <w:autoSpaceDE w:val="0"/>
                    <w:autoSpaceDN w:val="0"/>
                    <w:jc w:val="center"/>
                    <w:rPr>
                      <w:color w:val="auto"/>
                      <w:szCs w:val="21"/>
                      <w:highlight w:val="none"/>
                    </w:rPr>
                  </w:pPr>
                  <w:r>
                    <w:rPr>
                      <w:color w:val="auto"/>
                      <w:szCs w:val="21"/>
                      <w:highlight w:val="none"/>
                    </w:rPr>
                    <w:t>项   目</w:t>
                  </w:r>
                </w:p>
              </w:tc>
              <w:tc>
                <w:tcPr>
                  <w:tcW w:w="801" w:type="pct"/>
                  <w:vAlign w:val="center"/>
                </w:tcPr>
                <w:p w14:paraId="400AA0C4">
                  <w:pPr>
                    <w:autoSpaceDE w:val="0"/>
                    <w:autoSpaceDN w:val="0"/>
                    <w:jc w:val="center"/>
                    <w:rPr>
                      <w:color w:val="auto"/>
                      <w:szCs w:val="21"/>
                      <w:highlight w:val="none"/>
                    </w:rPr>
                  </w:pPr>
                  <w:r>
                    <w:rPr>
                      <w:color w:val="auto"/>
                      <w:szCs w:val="21"/>
                      <w:highlight w:val="none"/>
                    </w:rPr>
                    <w:t>COD</w:t>
                  </w:r>
                  <w:r>
                    <w:rPr>
                      <w:color w:val="auto"/>
                      <w:szCs w:val="21"/>
                      <w:highlight w:val="none"/>
                      <w:vertAlign w:val="subscript"/>
                    </w:rPr>
                    <w:t>Cr</w:t>
                  </w:r>
                </w:p>
              </w:tc>
              <w:tc>
                <w:tcPr>
                  <w:tcW w:w="801" w:type="pct"/>
                  <w:vAlign w:val="center"/>
                </w:tcPr>
                <w:p w14:paraId="0B3DF7D8">
                  <w:pPr>
                    <w:autoSpaceDE w:val="0"/>
                    <w:autoSpaceDN w:val="0"/>
                    <w:jc w:val="center"/>
                    <w:rPr>
                      <w:color w:val="auto"/>
                      <w:szCs w:val="21"/>
                      <w:highlight w:val="none"/>
                    </w:rPr>
                  </w:pPr>
                  <w:r>
                    <w:rPr>
                      <w:color w:val="auto"/>
                      <w:szCs w:val="21"/>
                      <w:highlight w:val="none"/>
                    </w:rPr>
                    <w:t>BOD</w:t>
                  </w:r>
                  <w:r>
                    <w:rPr>
                      <w:color w:val="auto"/>
                      <w:szCs w:val="21"/>
                      <w:highlight w:val="none"/>
                      <w:vertAlign w:val="subscript"/>
                    </w:rPr>
                    <w:t>5</w:t>
                  </w:r>
                </w:p>
              </w:tc>
              <w:tc>
                <w:tcPr>
                  <w:tcW w:w="801" w:type="pct"/>
                  <w:vAlign w:val="center"/>
                </w:tcPr>
                <w:p w14:paraId="3BFDB689">
                  <w:pPr>
                    <w:autoSpaceDE w:val="0"/>
                    <w:autoSpaceDN w:val="0"/>
                    <w:jc w:val="center"/>
                    <w:rPr>
                      <w:color w:val="auto"/>
                      <w:szCs w:val="21"/>
                      <w:highlight w:val="none"/>
                    </w:rPr>
                  </w:pPr>
                  <w:r>
                    <w:rPr>
                      <w:color w:val="auto"/>
                      <w:szCs w:val="21"/>
                      <w:highlight w:val="none"/>
                    </w:rPr>
                    <w:t>SS</w:t>
                  </w:r>
                </w:p>
              </w:tc>
              <w:tc>
                <w:tcPr>
                  <w:tcW w:w="803" w:type="pct"/>
                  <w:vAlign w:val="center"/>
                </w:tcPr>
                <w:p w14:paraId="5C662C05">
                  <w:pPr>
                    <w:autoSpaceDE w:val="0"/>
                    <w:autoSpaceDN w:val="0"/>
                    <w:jc w:val="center"/>
                    <w:rPr>
                      <w:color w:val="auto"/>
                      <w:szCs w:val="21"/>
                      <w:highlight w:val="none"/>
                    </w:rPr>
                  </w:pPr>
                  <w:r>
                    <w:rPr>
                      <w:color w:val="auto"/>
                      <w:szCs w:val="21"/>
                      <w:highlight w:val="none"/>
                    </w:rPr>
                    <w:t>NH</w:t>
                  </w:r>
                  <w:r>
                    <w:rPr>
                      <w:color w:val="auto"/>
                      <w:szCs w:val="21"/>
                      <w:highlight w:val="none"/>
                      <w:vertAlign w:val="subscript"/>
                    </w:rPr>
                    <w:t>3</w:t>
                  </w:r>
                  <w:r>
                    <w:rPr>
                      <w:color w:val="auto"/>
                      <w:szCs w:val="21"/>
                      <w:highlight w:val="none"/>
                    </w:rPr>
                    <w:t>-N</w:t>
                  </w:r>
                </w:p>
              </w:tc>
            </w:tr>
            <w:tr w14:paraId="3632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92" w:type="pct"/>
                  <w:vAlign w:val="center"/>
                </w:tcPr>
                <w:p w14:paraId="15D07C1D">
                  <w:pPr>
                    <w:autoSpaceDE w:val="0"/>
                    <w:autoSpaceDN w:val="0"/>
                    <w:jc w:val="center"/>
                    <w:rPr>
                      <w:color w:val="auto"/>
                      <w:szCs w:val="21"/>
                      <w:highlight w:val="none"/>
                    </w:rPr>
                  </w:pPr>
                  <w:r>
                    <w:rPr>
                      <w:color w:val="auto"/>
                      <w:szCs w:val="21"/>
                      <w:highlight w:val="none"/>
                    </w:rPr>
                    <w:t>废水量</w:t>
                  </w:r>
                  <w:r>
                    <w:rPr>
                      <w:rFonts w:hint="eastAsia"/>
                      <w:color w:val="auto"/>
                      <w:szCs w:val="21"/>
                      <w:highlight w:val="none"/>
                      <w:lang w:eastAsia="zh-CN"/>
                    </w:rPr>
                    <w:t>（</w:t>
                  </w:r>
                  <w:r>
                    <w:rPr>
                      <w:color w:val="auto"/>
                      <w:szCs w:val="21"/>
                      <w:highlight w:val="none"/>
                    </w:rPr>
                    <w:t>m</w:t>
                  </w:r>
                  <w:r>
                    <w:rPr>
                      <w:color w:val="auto"/>
                      <w:szCs w:val="21"/>
                      <w:highlight w:val="none"/>
                      <w:vertAlign w:val="superscript"/>
                    </w:rPr>
                    <w:t>3</w:t>
                  </w:r>
                  <w:r>
                    <w:rPr>
                      <w:color w:val="auto"/>
                      <w:szCs w:val="21"/>
                      <w:highlight w:val="none"/>
                    </w:rPr>
                    <w:t>/a</w:t>
                  </w:r>
                  <w:r>
                    <w:rPr>
                      <w:rFonts w:hint="eastAsia"/>
                      <w:color w:val="auto"/>
                      <w:szCs w:val="21"/>
                      <w:highlight w:val="none"/>
                      <w:lang w:eastAsia="zh-CN"/>
                    </w:rPr>
                    <w:t>）</w:t>
                  </w:r>
                </w:p>
              </w:tc>
              <w:tc>
                <w:tcPr>
                  <w:tcW w:w="3207" w:type="pct"/>
                  <w:gridSpan w:val="4"/>
                  <w:vAlign w:val="center"/>
                </w:tcPr>
                <w:p w14:paraId="7BE23718">
                  <w:pPr>
                    <w:autoSpaceDE w:val="0"/>
                    <w:autoSpaceDN w:val="0"/>
                    <w:jc w:val="center"/>
                    <w:rPr>
                      <w:rFonts w:hint="default"/>
                      <w:color w:val="auto"/>
                      <w:szCs w:val="21"/>
                      <w:highlight w:val="none"/>
                      <w:lang w:val="en-US" w:eastAsia="zh-CN"/>
                    </w:rPr>
                  </w:pPr>
                  <w:r>
                    <w:rPr>
                      <w:rFonts w:hint="eastAsia"/>
                      <w:color w:val="auto"/>
                      <w:szCs w:val="21"/>
                      <w:highlight w:val="none"/>
                      <w:lang w:val="en-US" w:eastAsia="zh-CN"/>
                    </w:rPr>
                    <w:t>600</w:t>
                  </w:r>
                </w:p>
              </w:tc>
            </w:tr>
            <w:tr w14:paraId="0A85F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92" w:type="pct"/>
                  <w:vAlign w:val="center"/>
                </w:tcPr>
                <w:p w14:paraId="3A8E013A">
                  <w:pPr>
                    <w:autoSpaceDE w:val="0"/>
                    <w:autoSpaceDN w:val="0"/>
                    <w:jc w:val="center"/>
                    <w:rPr>
                      <w:color w:val="auto"/>
                      <w:szCs w:val="21"/>
                      <w:highlight w:val="none"/>
                    </w:rPr>
                  </w:pPr>
                  <w:r>
                    <w:rPr>
                      <w:color w:val="auto"/>
                      <w:szCs w:val="21"/>
                      <w:highlight w:val="none"/>
                    </w:rPr>
                    <w:t>产生浓度（mg/L）</w:t>
                  </w:r>
                </w:p>
              </w:tc>
              <w:tc>
                <w:tcPr>
                  <w:tcW w:w="801" w:type="pct"/>
                  <w:vAlign w:val="center"/>
                </w:tcPr>
                <w:p w14:paraId="60487623">
                  <w:pPr>
                    <w:autoSpaceDE w:val="0"/>
                    <w:autoSpaceDN w:val="0"/>
                    <w:jc w:val="center"/>
                    <w:rPr>
                      <w:color w:val="auto"/>
                      <w:szCs w:val="21"/>
                      <w:highlight w:val="none"/>
                    </w:rPr>
                  </w:pPr>
                  <w:r>
                    <w:rPr>
                      <w:color w:val="auto"/>
                      <w:szCs w:val="21"/>
                      <w:highlight w:val="none"/>
                    </w:rPr>
                    <w:t>400</w:t>
                  </w:r>
                </w:p>
              </w:tc>
              <w:tc>
                <w:tcPr>
                  <w:tcW w:w="801" w:type="pct"/>
                  <w:vAlign w:val="center"/>
                </w:tcPr>
                <w:p w14:paraId="1CCD38D7">
                  <w:pPr>
                    <w:autoSpaceDE w:val="0"/>
                    <w:autoSpaceDN w:val="0"/>
                    <w:jc w:val="center"/>
                    <w:rPr>
                      <w:color w:val="auto"/>
                      <w:szCs w:val="21"/>
                      <w:highlight w:val="none"/>
                    </w:rPr>
                  </w:pPr>
                  <w:r>
                    <w:rPr>
                      <w:color w:val="auto"/>
                      <w:szCs w:val="21"/>
                      <w:highlight w:val="none"/>
                    </w:rPr>
                    <w:t>200</w:t>
                  </w:r>
                </w:p>
              </w:tc>
              <w:tc>
                <w:tcPr>
                  <w:tcW w:w="801" w:type="pct"/>
                  <w:vAlign w:val="center"/>
                </w:tcPr>
                <w:p w14:paraId="6DDF4DC0">
                  <w:pPr>
                    <w:autoSpaceDE w:val="0"/>
                    <w:autoSpaceDN w:val="0"/>
                    <w:jc w:val="center"/>
                    <w:rPr>
                      <w:color w:val="auto"/>
                      <w:szCs w:val="21"/>
                      <w:highlight w:val="none"/>
                    </w:rPr>
                  </w:pPr>
                  <w:r>
                    <w:rPr>
                      <w:color w:val="auto"/>
                      <w:szCs w:val="21"/>
                      <w:highlight w:val="none"/>
                    </w:rPr>
                    <w:t>220</w:t>
                  </w:r>
                </w:p>
              </w:tc>
              <w:tc>
                <w:tcPr>
                  <w:tcW w:w="803" w:type="pct"/>
                  <w:vAlign w:val="center"/>
                </w:tcPr>
                <w:p w14:paraId="6B449E3C">
                  <w:pPr>
                    <w:autoSpaceDE w:val="0"/>
                    <w:autoSpaceDN w:val="0"/>
                    <w:jc w:val="center"/>
                    <w:rPr>
                      <w:color w:val="auto"/>
                      <w:szCs w:val="21"/>
                      <w:highlight w:val="none"/>
                    </w:rPr>
                  </w:pPr>
                  <w:r>
                    <w:rPr>
                      <w:color w:val="auto"/>
                      <w:szCs w:val="21"/>
                      <w:highlight w:val="none"/>
                    </w:rPr>
                    <w:t>35</w:t>
                  </w:r>
                </w:p>
              </w:tc>
            </w:tr>
            <w:tr w14:paraId="6748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92" w:type="pct"/>
                  <w:vAlign w:val="center"/>
                </w:tcPr>
                <w:p w14:paraId="30065438">
                  <w:pPr>
                    <w:autoSpaceDE w:val="0"/>
                    <w:autoSpaceDN w:val="0"/>
                    <w:jc w:val="center"/>
                    <w:rPr>
                      <w:color w:val="auto"/>
                      <w:szCs w:val="21"/>
                      <w:highlight w:val="none"/>
                    </w:rPr>
                  </w:pPr>
                  <w:r>
                    <w:rPr>
                      <w:color w:val="auto"/>
                      <w:szCs w:val="21"/>
                      <w:highlight w:val="none"/>
                    </w:rPr>
                    <w:t>产生量（t/a）</w:t>
                  </w:r>
                </w:p>
              </w:tc>
              <w:tc>
                <w:tcPr>
                  <w:tcW w:w="801" w:type="pct"/>
                  <w:vAlign w:val="center"/>
                </w:tcPr>
                <w:p w14:paraId="506E3F26">
                  <w:pPr>
                    <w:spacing w:line="240" w:lineRule="atLeast"/>
                    <w:jc w:val="center"/>
                    <w:rPr>
                      <w:rFonts w:hint="default" w:eastAsia="宋体"/>
                      <w:color w:val="auto"/>
                      <w:szCs w:val="21"/>
                      <w:highlight w:val="none"/>
                      <w:lang w:val="en-US" w:eastAsia="zh-CN"/>
                    </w:rPr>
                  </w:pPr>
                  <w:r>
                    <w:rPr>
                      <w:rFonts w:hint="eastAsia"/>
                      <w:color w:val="auto"/>
                      <w:szCs w:val="21"/>
                      <w:highlight w:val="none"/>
                    </w:rPr>
                    <w:t>0.</w:t>
                  </w:r>
                  <w:r>
                    <w:rPr>
                      <w:rFonts w:hint="eastAsia"/>
                      <w:color w:val="auto"/>
                      <w:szCs w:val="21"/>
                      <w:highlight w:val="none"/>
                      <w:lang w:val="en-US" w:eastAsia="zh-CN"/>
                    </w:rPr>
                    <w:t>24</w:t>
                  </w:r>
                </w:p>
              </w:tc>
              <w:tc>
                <w:tcPr>
                  <w:tcW w:w="801" w:type="pct"/>
                  <w:vAlign w:val="center"/>
                </w:tcPr>
                <w:p w14:paraId="68837A52">
                  <w:pPr>
                    <w:spacing w:line="240" w:lineRule="atLeast"/>
                    <w:jc w:val="center"/>
                    <w:rPr>
                      <w:rFonts w:hint="default" w:eastAsia="宋体"/>
                      <w:color w:val="auto"/>
                      <w:szCs w:val="21"/>
                      <w:highlight w:val="none"/>
                      <w:lang w:val="en-US" w:eastAsia="zh-CN"/>
                    </w:rPr>
                  </w:pPr>
                  <w:r>
                    <w:rPr>
                      <w:rFonts w:hint="eastAsia"/>
                      <w:color w:val="auto"/>
                      <w:szCs w:val="21"/>
                      <w:highlight w:val="none"/>
                    </w:rPr>
                    <w:t>0.</w:t>
                  </w:r>
                  <w:r>
                    <w:rPr>
                      <w:rFonts w:hint="eastAsia"/>
                      <w:color w:val="auto"/>
                      <w:szCs w:val="21"/>
                      <w:highlight w:val="none"/>
                      <w:lang w:val="en-US" w:eastAsia="zh-CN"/>
                    </w:rPr>
                    <w:t>12</w:t>
                  </w:r>
                </w:p>
              </w:tc>
              <w:tc>
                <w:tcPr>
                  <w:tcW w:w="801" w:type="pct"/>
                  <w:vAlign w:val="center"/>
                </w:tcPr>
                <w:p w14:paraId="75572712">
                  <w:pPr>
                    <w:spacing w:line="240" w:lineRule="atLeast"/>
                    <w:jc w:val="center"/>
                    <w:rPr>
                      <w:rFonts w:hint="default" w:eastAsia="宋体"/>
                      <w:color w:val="auto"/>
                      <w:szCs w:val="21"/>
                      <w:highlight w:val="none"/>
                      <w:lang w:val="en-US" w:eastAsia="zh-CN"/>
                    </w:rPr>
                  </w:pPr>
                  <w:r>
                    <w:rPr>
                      <w:rFonts w:hint="eastAsia"/>
                      <w:color w:val="auto"/>
                      <w:szCs w:val="21"/>
                      <w:highlight w:val="none"/>
                    </w:rPr>
                    <w:t>0.</w:t>
                  </w:r>
                  <w:r>
                    <w:rPr>
                      <w:rFonts w:hint="eastAsia"/>
                      <w:color w:val="auto"/>
                      <w:szCs w:val="21"/>
                      <w:highlight w:val="none"/>
                      <w:lang w:val="en-US" w:eastAsia="zh-CN"/>
                    </w:rPr>
                    <w:t>132</w:t>
                  </w:r>
                </w:p>
              </w:tc>
              <w:tc>
                <w:tcPr>
                  <w:tcW w:w="803" w:type="pct"/>
                  <w:vAlign w:val="center"/>
                </w:tcPr>
                <w:p w14:paraId="4BD16603">
                  <w:pPr>
                    <w:spacing w:line="240" w:lineRule="atLeast"/>
                    <w:jc w:val="center"/>
                    <w:rPr>
                      <w:rFonts w:hint="default" w:eastAsia="宋体"/>
                      <w:color w:val="auto"/>
                      <w:szCs w:val="21"/>
                      <w:highlight w:val="none"/>
                      <w:lang w:val="en-US" w:eastAsia="zh-CN"/>
                    </w:rPr>
                  </w:pPr>
                  <w:r>
                    <w:rPr>
                      <w:rFonts w:hint="eastAsia"/>
                      <w:color w:val="auto"/>
                      <w:szCs w:val="21"/>
                      <w:highlight w:val="none"/>
                    </w:rPr>
                    <w:t>0.0</w:t>
                  </w:r>
                  <w:r>
                    <w:rPr>
                      <w:rFonts w:hint="eastAsia"/>
                      <w:color w:val="auto"/>
                      <w:szCs w:val="21"/>
                      <w:highlight w:val="none"/>
                      <w:lang w:val="en-US" w:eastAsia="zh-CN"/>
                    </w:rPr>
                    <w:t>21</w:t>
                  </w:r>
                </w:p>
              </w:tc>
            </w:tr>
            <w:tr w14:paraId="0325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92" w:type="pct"/>
                  <w:vAlign w:val="center"/>
                </w:tcPr>
                <w:p w14:paraId="23C7EC6D">
                  <w:pPr>
                    <w:autoSpaceDE w:val="0"/>
                    <w:autoSpaceDN w:val="0"/>
                    <w:jc w:val="center"/>
                    <w:rPr>
                      <w:color w:val="auto"/>
                      <w:szCs w:val="21"/>
                      <w:highlight w:val="none"/>
                    </w:rPr>
                  </w:pPr>
                  <w:r>
                    <w:rPr>
                      <w:color w:val="auto"/>
                      <w:szCs w:val="21"/>
                      <w:highlight w:val="none"/>
                    </w:rPr>
                    <w:t>处理效率（%）</w:t>
                  </w:r>
                </w:p>
              </w:tc>
              <w:tc>
                <w:tcPr>
                  <w:tcW w:w="801" w:type="pct"/>
                  <w:vAlign w:val="center"/>
                </w:tcPr>
                <w:p w14:paraId="32FB298F">
                  <w:pPr>
                    <w:autoSpaceDE w:val="0"/>
                    <w:autoSpaceDN w:val="0"/>
                    <w:jc w:val="center"/>
                    <w:rPr>
                      <w:rFonts w:hint="eastAsia" w:eastAsia="宋体"/>
                      <w:color w:val="auto"/>
                      <w:szCs w:val="21"/>
                      <w:highlight w:val="none"/>
                      <w:lang w:eastAsia="zh-CN"/>
                    </w:rPr>
                  </w:pPr>
                  <w:r>
                    <w:rPr>
                      <w:rFonts w:hint="eastAsia"/>
                      <w:color w:val="auto"/>
                      <w:szCs w:val="21"/>
                      <w:highlight w:val="none"/>
                      <w:lang w:val="en-US" w:eastAsia="zh-CN"/>
                    </w:rPr>
                    <w:t>0</w:t>
                  </w:r>
                </w:p>
              </w:tc>
              <w:tc>
                <w:tcPr>
                  <w:tcW w:w="801" w:type="pct"/>
                  <w:vAlign w:val="center"/>
                </w:tcPr>
                <w:p w14:paraId="46248BD0">
                  <w:pPr>
                    <w:autoSpaceDE w:val="0"/>
                    <w:autoSpaceDN w:val="0"/>
                    <w:jc w:val="center"/>
                    <w:rPr>
                      <w:rFonts w:hint="eastAsia" w:eastAsia="宋体"/>
                      <w:color w:val="auto"/>
                      <w:szCs w:val="21"/>
                      <w:highlight w:val="none"/>
                      <w:lang w:eastAsia="zh-CN"/>
                    </w:rPr>
                  </w:pPr>
                  <w:r>
                    <w:rPr>
                      <w:rFonts w:hint="eastAsia"/>
                      <w:color w:val="auto"/>
                      <w:szCs w:val="21"/>
                      <w:highlight w:val="none"/>
                      <w:lang w:val="en-US" w:eastAsia="zh-CN"/>
                    </w:rPr>
                    <w:t>0</w:t>
                  </w:r>
                </w:p>
              </w:tc>
              <w:tc>
                <w:tcPr>
                  <w:tcW w:w="801" w:type="pct"/>
                  <w:vAlign w:val="center"/>
                </w:tcPr>
                <w:p w14:paraId="1E6F2F90">
                  <w:pPr>
                    <w:autoSpaceDE w:val="0"/>
                    <w:autoSpaceDN w:val="0"/>
                    <w:jc w:val="center"/>
                    <w:rPr>
                      <w:rFonts w:hint="eastAsia" w:eastAsia="宋体"/>
                      <w:color w:val="auto"/>
                      <w:szCs w:val="21"/>
                      <w:highlight w:val="none"/>
                      <w:lang w:eastAsia="zh-CN"/>
                    </w:rPr>
                  </w:pPr>
                  <w:r>
                    <w:rPr>
                      <w:rFonts w:hint="eastAsia"/>
                      <w:color w:val="auto"/>
                      <w:szCs w:val="21"/>
                      <w:highlight w:val="none"/>
                      <w:lang w:val="en-US" w:eastAsia="zh-CN"/>
                    </w:rPr>
                    <w:t>0</w:t>
                  </w:r>
                </w:p>
              </w:tc>
              <w:tc>
                <w:tcPr>
                  <w:tcW w:w="803" w:type="pct"/>
                  <w:vAlign w:val="center"/>
                </w:tcPr>
                <w:p w14:paraId="72C4F934">
                  <w:pPr>
                    <w:autoSpaceDE w:val="0"/>
                    <w:autoSpaceDN w:val="0"/>
                    <w:jc w:val="center"/>
                    <w:rPr>
                      <w:rFonts w:hint="eastAsia" w:eastAsia="宋体"/>
                      <w:color w:val="auto"/>
                      <w:szCs w:val="21"/>
                      <w:highlight w:val="none"/>
                      <w:lang w:eastAsia="zh-CN"/>
                    </w:rPr>
                  </w:pPr>
                  <w:r>
                    <w:rPr>
                      <w:rFonts w:hint="eastAsia"/>
                      <w:color w:val="auto"/>
                      <w:szCs w:val="21"/>
                      <w:highlight w:val="none"/>
                      <w:lang w:val="en-US" w:eastAsia="zh-CN"/>
                    </w:rPr>
                    <w:t>0</w:t>
                  </w:r>
                </w:p>
              </w:tc>
            </w:tr>
            <w:tr w14:paraId="4E89D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92" w:type="pct"/>
                  <w:vAlign w:val="center"/>
                </w:tcPr>
                <w:p w14:paraId="0A652C59">
                  <w:pPr>
                    <w:autoSpaceDE w:val="0"/>
                    <w:autoSpaceDN w:val="0"/>
                    <w:jc w:val="center"/>
                    <w:rPr>
                      <w:color w:val="auto"/>
                      <w:szCs w:val="21"/>
                      <w:highlight w:val="none"/>
                    </w:rPr>
                  </w:pPr>
                  <w:r>
                    <w:rPr>
                      <w:color w:val="auto"/>
                      <w:szCs w:val="21"/>
                      <w:highlight w:val="none"/>
                    </w:rPr>
                    <w:t>排放浓度（mg/L）</w:t>
                  </w:r>
                </w:p>
              </w:tc>
              <w:tc>
                <w:tcPr>
                  <w:tcW w:w="801" w:type="pct"/>
                  <w:vAlign w:val="center"/>
                </w:tcPr>
                <w:p w14:paraId="370C2A94">
                  <w:pPr>
                    <w:autoSpaceDE w:val="0"/>
                    <w:autoSpaceDN w:val="0"/>
                    <w:jc w:val="center"/>
                    <w:rPr>
                      <w:color w:val="auto"/>
                      <w:szCs w:val="21"/>
                      <w:highlight w:val="none"/>
                    </w:rPr>
                  </w:pPr>
                  <w:r>
                    <w:rPr>
                      <w:color w:val="auto"/>
                      <w:szCs w:val="21"/>
                      <w:highlight w:val="none"/>
                    </w:rPr>
                    <w:t>400</w:t>
                  </w:r>
                </w:p>
              </w:tc>
              <w:tc>
                <w:tcPr>
                  <w:tcW w:w="801" w:type="pct"/>
                  <w:vAlign w:val="center"/>
                </w:tcPr>
                <w:p w14:paraId="33DE08C9">
                  <w:pPr>
                    <w:autoSpaceDE w:val="0"/>
                    <w:autoSpaceDN w:val="0"/>
                    <w:jc w:val="center"/>
                    <w:rPr>
                      <w:color w:val="auto"/>
                      <w:szCs w:val="21"/>
                      <w:highlight w:val="none"/>
                    </w:rPr>
                  </w:pPr>
                  <w:r>
                    <w:rPr>
                      <w:color w:val="auto"/>
                      <w:szCs w:val="21"/>
                      <w:highlight w:val="none"/>
                    </w:rPr>
                    <w:t>200</w:t>
                  </w:r>
                </w:p>
              </w:tc>
              <w:tc>
                <w:tcPr>
                  <w:tcW w:w="801" w:type="pct"/>
                  <w:vAlign w:val="center"/>
                </w:tcPr>
                <w:p w14:paraId="7548B06A">
                  <w:pPr>
                    <w:autoSpaceDE w:val="0"/>
                    <w:autoSpaceDN w:val="0"/>
                    <w:jc w:val="center"/>
                    <w:rPr>
                      <w:color w:val="auto"/>
                      <w:szCs w:val="21"/>
                      <w:highlight w:val="none"/>
                    </w:rPr>
                  </w:pPr>
                  <w:r>
                    <w:rPr>
                      <w:color w:val="auto"/>
                      <w:szCs w:val="21"/>
                      <w:highlight w:val="none"/>
                    </w:rPr>
                    <w:t>154</w:t>
                  </w:r>
                </w:p>
              </w:tc>
              <w:tc>
                <w:tcPr>
                  <w:tcW w:w="803" w:type="pct"/>
                  <w:vAlign w:val="center"/>
                </w:tcPr>
                <w:p w14:paraId="08D4600C">
                  <w:pPr>
                    <w:autoSpaceDE w:val="0"/>
                    <w:autoSpaceDN w:val="0"/>
                    <w:jc w:val="center"/>
                    <w:rPr>
                      <w:rFonts w:hint="default" w:eastAsia="宋体"/>
                      <w:color w:val="auto"/>
                      <w:szCs w:val="21"/>
                      <w:highlight w:val="none"/>
                      <w:lang w:val="en-US" w:eastAsia="zh-CN"/>
                    </w:rPr>
                  </w:pPr>
                  <w:r>
                    <w:rPr>
                      <w:rFonts w:hint="eastAsia"/>
                      <w:color w:val="auto"/>
                      <w:szCs w:val="21"/>
                      <w:highlight w:val="none"/>
                      <w:lang w:val="en-US" w:eastAsia="zh-CN"/>
                    </w:rPr>
                    <w:t>35</w:t>
                  </w:r>
                </w:p>
              </w:tc>
            </w:tr>
            <w:tr w14:paraId="56AA9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92" w:type="pct"/>
                  <w:vAlign w:val="center"/>
                </w:tcPr>
                <w:p w14:paraId="12D0D872">
                  <w:pPr>
                    <w:autoSpaceDE w:val="0"/>
                    <w:autoSpaceDN w:val="0"/>
                    <w:jc w:val="center"/>
                    <w:rPr>
                      <w:color w:val="auto"/>
                      <w:szCs w:val="21"/>
                      <w:highlight w:val="none"/>
                    </w:rPr>
                  </w:pPr>
                  <w:r>
                    <w:rPr>
                      <w:color w:val="auto"/>
                      <w:szCs w:val="21"/>
                      <w:highlight w:val="none"/>
                    </w:rPr>
                    <w:t>排放量（t/a）</w:t>
                  </w:r>
                </w:p>
              </w:tc>
              <w:tc>
                <w:tcPr>
                  <w:tcW w:w="801" w:type="pct"/>
                  <w:shd w:val="clear" w:color="auto" w:fill="auto"/>
                  <w:vAlign w:val="center"/>
                </w:tcPr>
                <w:p w14:paraId="2A1A8FB4">
                  <w:pPr>
                    <w:spacing w:line="24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w:t>
                  </w:r>
                  <w:r>
                    <w:rPr>
                      <w:rFonts w:hint="eastAsia"/>
                      <w:color w:val="auto"/>
                      <w:szCs w:val="21"/>
                      <w:highlight w:val="none"/>
                      <w:lang w:val="en-US" w:eastAsia="zh-CN"/>
                    </w:rPr>
                    <w:t>24</w:t>
                  </w:r>
                </w:p>
              </w:tc>
              <w:tc>
                <w:tcPr>
                  <w:tcW w:w="801" w:type="pct"/>
                  <w:shd w:val="clear" w:color="auto" w:fill="auto"/>
                  <w:vAlign w:val="center"/>
                </w:tcPr>
                <w:p w14:paraId="1316DB01">
                  <w:pPr>
                    <w:spacing w:line="24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w:t>
                  </w:r>
                  <w:r>
                    <w:rPr>
                      <w:rFonts w:hint="eastAsia"/>
                      <w:color w:val="auto"/>
                      <w:szCs w:val="21"/>
                      <w:highlight w:val="none"/>
                      <w:lang w:val="en-US" w:eastAsia="zh-CN"/>
                    </w:rPr>
                    <w:t>12</w:t>
                  </w:r>
                </w:p>
              </w:tc>
              <w:tc>
                <w:tcPr>
                  <w:tcW w:w="801" w:type="pct"/>
                  <w:shd w:val="clear" w:color="auto" w:fill="auto"/>
                  <w:vAlign w:val="center"/>
                </w:tcPr>
                <w:p w14:paraId="5F18A219">
                  <w:pPr>
                    <w:spacing w:line="24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w:t>
                  </w:r>
                  <w:r>
                    <w:rPr>
                      <w:rFonts w:hint="eastAsia"/>
                      <w:color w:val="auto"/>
                      <w:szCs w:val="21"/>
                      <w:highlight w:val="none"/>
                      <w:lang w:val="en-US" w:eastAsia="zh-CN"/>
                    </w:rPr>
                    <w:t>132</w:t>
                  </w:r>
                </w:p>
              </w:tc>
              <w:tc>
                <w:tcPr>
                  <w:tcW w:w="803" w:type="pct"/>
                  <w:shd w:val="clear" w:color="auto" w:fill="auto"/>
                  <w:vAlign w:val="center"/>
                </w:tcPr>
                <w:p w14:paraId="3BB1B176">
                  <w:pPr>
                    <w:spacing w:line="24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0.0</w:t>
                  </w:r>
                  <w:r>
                    <w:rPr>
                      <w:rFonts w:hint="eastAsia"/>
                      <w:color w:val="auto"/>
                      <w:szCs w:val="21"/>
                      <w:highlight w:val="none"/>
                      <w:lang w:val="en-US" w:eastAsia="zh-CN"/>
                    </w:rPr>
                    <w:t>21</w:t>
                  </w:r>
                </w:p>
              </w:tc>
            </w:tr>
            <w:tr w14:paraId="22A32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92" w:type="pct"/>
                  <w:vAlign w:val="center"/>
                </w:tcPr>
                <w:p w14:paraId="3D8BD40E">
                  <w:pPr>
                    <w:spacing w:line="240" w:lineRule="atLeast"/>
                    <w:jc w:val="center"/>
                    <w:rPr>
                      <w:color w:val="auto"/>
                      <w:szCs w:val="21"/>
                      <w:highlight w:val="none"/>
                    </w:rPr>
                  </w:pPr>
                  <w:r>
                    <w:rPr>
                      <w:color w:val="auto"/>
                      <w:szCs w:val="21"/>
                      <w:highlight w:val="none"/>
                    </w:rPr>
                    <w:t>GB8978-1996三级标准（mg/L）</w:t>
                  </w:r>
                </w:p>
              </w:tc>
              <w:tc>
                <w:tcPr>
                  <w:tcW w:w="801" w:type="pct"/>
                  <w:vAlign w:val="center"/>
                </w:tcPr>
                <w:p w14:paraId="504329DE">
                  <w:pPr>
                    <w:spacing w:line="240" w:lineRule="atLeast"/>
                    <w:jc w:val="center"/>
                    <w:rPr>
                      <w:color w:val="auto"/>
                      <w:szCs w:val="21"/>
                      <w:highlight w:val="none"/>
                    </w:rPr>
                  </w:pPr>
                  <w:r>
                    <w:rPr>
                      <w:color w:val="auto"/>
                      <w:szCs w:val="21"/>
                      <w:highlight w:val="none"/>
                    </w:rPr>
                    <w:t>500</w:t>
                  </w:r>
                </w:p>
              </w:tc>
              <w:tc>
                <w:tcPr>
                  <w:tcW w:w="801" w:type="pct"/>
                  <w:vAlign w:val="center"/>
                </w:tcPr>
                <w:p w14:paraId="09549992">
                  <w:pPr>
                    <w:spacing w:line="240" w:lineRule="atLeast"/>
                    <w:jc w:val="center"/>
                    <w:rPr>
                      <w:color w:val="auto"/>
                      <w:szCs w:val="21"/>
                      <w:highlight w:val="none"/>
                    </w:rPr>
                  </w:pPr>
                  <w:r>
                    <w:rPr>
                      <w:color w:val="auto"/>
                      <w:szCs w:val="21"/>
                      <w:highlight w:val="none"/>
                    </w:rPr>
                    <w:t>300</w:t>
                  </w:r>
                </w:p>
              </w:tc>
              <w:tc>
                <w:tcPr>
                  <w:tcW w:w="801" w:type="pct"/>
                  <w:vAlign w:val="center"/>
                </w:tcPr>
                <w:p w14:paraId="2FBD447C">
                  <w:pPr>
                    <w:spacing w:line="240" w:lineRule="atLeast"/>
                    <w:jc w:val="center"/>
                    <w:rPr>
                      <w:color w:val="auto"/>
                      <w:szCs w:val="21"/>
                      <w:highlight w:val="none"/>
                    </w:rPr>
                  </w:pPr>
                  <w:r>
                    <w:rPr>
                      <w:color w:val="auto"/>
                      <w:szCs w:val="21"/>
                      <w:highlight w:val="none"/>
                    </w:rPr>
                    <w:t>400</w:t>
                  </w:r>
                </w:p>
              </w:tc>
              <w:tc>
                <w:tcPr>
                  <w:tcW w:w="803" w:type="pct"/>
                  <w:vAlign w:val="center"/>
                </w:tcPr>
                <w:p w14:paraId="7592FBA6">
                  <w:pPr>
                    <w:spacing w:line="240" w:lineRule="atLeast"/>
                    <w:jc w:val="center"/>
                    <w:rPr>
                      <w:color w:val="auto"/>
                      <w:szCs w:val="21"/>
                      <w:highlight w:val="none"/>
                    </w:rPr>
                  </w:pPr>
                  <w:r>
                    <w:rPr>
                      <w:color w:val="auto"/>
                      <w:szCs w:val="21"/>
                      <w:highlight w:val="none"/>
                    </w:rPr>
                    <w:t>--</w:t>
                  </w:r>
                </w:p>
              </w:tc>
            </w:tr>
          </w:tbl>
          <w:p w14:paraId="538E1D8B">
            <w:pPr>
              <w:topLinePunct/>
              <w:spacing w:line="500" w:lineRule="exact"/>
              <w:ind w:firstLine="480" w:firstLineChars="200"/>
              <w:textAlignment w:val="baseline"/>
              <w:rPr>
                <w:color w:val="auto"/>
                <w:kern w:val="0"/>
                <w:sz w:val="24"/>
                <w:highlight w:val="none"/>
              </w:rPr>
            </w:pPr>
            <w:r>
              <w:rPr>
                <w:rFonts w:hAnsiTheme="minorEastAsia"/>
                <w:color w:val="auto"/>
                <w:sz w:val="24"/>
                <w:highlight w:val="none"/>
              </w:rPr>
              <w:t>生活污水</w:t>
            </w:r>
            <w:r>
              <w:rPr>
                <w:rFonts w:hint="eastAsia" w:hAnsiTheme="minorEastAsia"/>
                <w:color w:val="auto"/>
                <w:sz w:val="24"/>
                <w:highlight w:val="none"/>
              </w:rPr>
              <w:t>各污染物排放浓度满足《污水综合排放标准》</w:t>
            </w:r>
            <w:r>
              <w:rPr>
                <w:rFonts w:hint="eastAsia" w:hAnsiTheme="minorEastAsia"/>
                <w:color w:val="auto"/>
                <w:sz w:val="24"/>
                <w:highlight w:val="none"/>
                <w:lang w:eastAsia="zh-CN"/>
              </w:rPr>
              <w:t>（</w:t>
            </w:r>
            <w:r>
              <w:rPr>
                <w:rFonts w:hint="eastAsia" w:hAnsiTheme="minorEastAsia"/>
                <w:color w:val="auto"/>
                <w:sz w:val="24"/>
                <w:highlight w:val="none"/>
              </w:rPr>
              <w:t>GB8978-1996</w:t>
            </w:r>
            <w:r>
              <w:rPr>
                <w:rFonts w:hint="eastAsia" w:hAnsiTheme="minorEastAsia"/>
                <w:color w:val="auto"/>
                <w:sz w:val="24"/>
                <w:highlight w:val="none"/>
                <w:lang w:eastAsia="zh-CN"/>
              </w:rPr>
              <w:t>）</w:t>
            </w:r>
            <w:r>
              <w:rPr>
                <w:rFonts w:hint="eastAsia" w:hAnsiTheme="minorEastAsia"/>
                <w:color w:val="auto"/>
                <w:sz w:val="24"/>
                <w:highlight w:val="none"/>
              </w:rPr>
              <w:t>表4中的三级标准，经污水管网排入</w:t>
            </w:r>
            <w:r>
              <w:rPr>
                <w:rFonts w:hint="eastAsia" w:hAnsiTheme="minorEastAsia"/>
                <w:color w:val="auto"/>
                <w:sz w:val="24"/>
                <w:highlight w:val="none"/>
                <w:lang w:val="en-US" w:eastAsia="zh-CN"/>
              </w:rPr>
              <w:t>和静</w:t>
            </w:r>
            <w:r>
              <w:rPr>
                <w:rFonts w:hint="eastAsia" w:hAnsiTheme="minorEastAsia"/>
                <w:color w:val="auto"/>
                <w:sz w:val="24"/>
                <w:highlight w:val="none"/>
              </w:rPr>
              <w:t>县城</w:t>
            </w:r>
            <w:r>
              <w:rPr>
                <w:rFonts w:hint="eastAsia" w:hAnsiTheme="minorEastAsia"/>
                <w:color w:val="auto"/>
                <w:sz w:val="24"/>
                <w:highlight w:val="none"/>
                <w:lang w:val="en-US" w:eastAsia="zh-CN"/>
              </w:rPr>
              <w:t>镇</w:t>
            </w:r>
            <w:r>
              <w:rPr>
                <w:rFonts w:hint="eastAsia" w:hAnsiTheme="minorEastAsia"/>
                <w:color w:val="auto"/>
                <w:sz w:val="24"/>
                <w:highlight w:val="none"/>
              </w:rPr>
              <w:t>污水处理厂。</w:t>
            </w:r>
          </w:p>
          <w:p w14:paraId="0DF670E1">
            <w:pPr>
              <w:autoSpaceDE w:val="0"/>
              <w:autoSpaceDN w:val="0"/>
              <w:spacing w:line="500" w:lineRule="exact"/>
              <w:ind w:firstLine="480" w:firstLineChars="200"/>
              <w:textAlignment w:val="baseline"/>
              <w:rPr>
                <w:color w:val="auto"/>
                <w:sz w:val="24"/>
                <w:highlight w:val="none"/>
              </w:rPr>
            </w:pPr>
            <w:r>
              <w:rPr>
                <w:color w:val="auto"/>
                <w:sz w:val="24"/>
                <w:highlight w:val="none"/>
              </w:rPr>
              <w:t>本项目废水排放情况见表</w:t>
            </w:r>
            <w:r>
              <w:rPr>
                <w:rFonts w:hint="eastAsia"/>
                <w:color w:val="auto"/>
                <w:sz w:val="24"/>
                <w:highlight w:val="none"/>
                <w:lang w:val="en-US" w:eastAsia="zh-CN"/>
              </w:rPr>
              <w:t>4-8</w:t>
            </w:r>
            <w:r>
              <w:rPr>
                <w:color w:val="auto"/>
                <w:sz w:val="24"/>
                <w:highlight w:val="none"/>
              </w:rPr>
              <w:t>。</w:t>
            </w:r>
          </w:p>
          <w:p w14:paraId="1CD818B2">
            <w:pPr>
              <w:pStyle w:val="4"/>
              <w:numPr>
                <w:ilvl w:val="2"/>
                <w:numId w:val="0"/>
              </w:numPr>
              <w:tabs>
                <w:tab w:val="left" w:pos="720"/>
                <w:tab w:val="left" w:pos="851"/>
              </w:tabs>
              <w:spacing w:line="500" w:lineRule="exact"/>
              <w:jc w:val="center"/>
              <w:rPr>
                <w:bCs w:val="0"/>
                <w:color w:val="auto"/>
                <w:sz w:val="21"/>
                <w:szCs w:val="21"/>
                <w:highlight w:val="none"/>
              </w:rPr>
            </w:pPr>
            <w:r>
              <w:rPr>
                <w:bCs w:val="0"/>
                <w:color w:val="auto"/>
                <w:sz w:val="21"/>
                <w:szCs w:val="21"/>
                <w:highlight w:val="none"/>
              </w:rPr>
              <w:t>表</w:t>
            </w:r>
            <w:r>
              <w:rPr>
                <w:rFonts w:hint="eastAsia"/>
                <w:bCs w:val="0"/>
                <w:color w:val="auto"/>
                <w:sz w:val="21"/>
                <w:szCs w:val="21"/>
                <w:highlight w:val="none"/>
                <w:lang w:val="en-US" w:eastAsia="zh-CN"/>
              </w:rPr>
              <w:t>4-9</w:t>
            </w:r>
            <w:r>
              <w:rPr>
                <w:b w:val="0"/>
                <w:bCs w:val="0"/>
                <w:color w:val="auto"/>
                <w:szCs w:val="21"/>
                <w:highlight w:val="none"/>
              </w:rPr>
              <w:t xml:space="preserve">      </w:t>
            </w:r>
            <w:r>
              <w:rPr>
                <w:bCs w:val="0"/>
                <w:color w:val="auto"/>
                <w:sz w:val="21"/>
                <w:szCs w:val="21"/>
                <w:highlight w:val="none"/>
              </w:rPr>
              <w:t>废水污染物排放口情况</w:t>
            </w:r>
          </w:p>
          <w:tbl>
            <w:tblPr>
              <w:tblStyle w:val="3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752"/>
              <w:gridCol w:w="1588"/>
              <w:gridCol w:w="1607"/>
              <w:gridCol w:w="1211"/>
              <w:gridCol w:w="1152"/>
              <w:gridCol w:w="1988"/>
            </w:tblGrid>
            <w:tr w14:paraId="1571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453" w:type="pct"/>
                  <w:vAlign w:val="center"/>
                </w:tcPr>
                <w:p w14:paraId="73F50B95">
                  <w:pPr>
                    <w:pStyle w:val="4"/>
                    <w:numPr>
                      <w:ilvl w:val="2"/>
                      <w:numId w:val="0"/>
                    </w:numPr>
                    <w:tabs>
                      <w:tab w:val="left" w:pos="720"/>
                      <w:tab w:val="left" w:pos="851"/>
                    </w:tabs>
                    <w:spacing w:line="240" w:lineRule="auto"/>
                    <w:jc w:val="center"/>
                    <w:rPr>
                      <w:b w:val="0"/>
                      <w:bCs w:val="0"/>
                      <w:color w:val="auto"/>
                      <w:sz w:val="21"/>
                      <w:szCs w:val="21"/>
                      <w:highlight w:val="none"/>
                    </w:rPr>
                  </w:pPr>
                  <w:r>
                    <w:rPr>
                      <w:b w:val="0"/>
                      <w:bCs w:val="0"/>
                      <w:color w:val="auto"/>
                      <w:sz w:val="21"/>
                      <w:szCs w:val="21"/>
                      <w:highlight w:val="none"/>
                    </w:rPr>
                    <w:t>编号</w:t>
                  </w:r>
                </w:p>
              </w:tc>
              <w:tc>
                <w:tcPr>
                  <w:tcW w:w="956" w:type="pct"/>
                  <w:vAlign w:val="center"/>
                </w:tcPr>
                <w:p w14:paraId="2E0DB3EA">
                  <w:pPr>
                    <w:pStyle w:val="4"/>
                    <w:numPr>
                      <w:ilvl w:val="2"/>
                      <w:numId w:val="0"/>
                    </w:numPr>
                    <w:tabs>
                      <w:tab w:val="left" w:pos="720"/>
                      <w:tab w:val="left" w:pos="851"/>
                    </w:tabs>
                    <w:spacing w:line="240" w:lineRule="auto"/>
                    <w:jc w:val="center"/>
                    <w:rPr>
                      <w:b w:val="0"/>
                      <w:bCs w:val="0"/>
                      <w:color w:val="auto"/>
                      <w:sz w:val="21"/>
                      <w:szCs w:val="21"/>
                      <w:highlight w:val="none"/>
                    </w:rPr>
                  </w:pPr>
                  <w:r>
                    <w:rPr>
                      <w:b w:val="0"/>
                      <w:bCs w:val="0"/>
                      <w:color w:val="auto"/>
                      <w:sz w:val="21"/>
                      <w:szCs w:val="21"/>
                      <w:highlight w:val="none"/>
                    </w:rPr>
                    <w:t>名称</w:t>
                  </w:r>
                </w:p>
              </w:tc>
              <w:tc>
                <w:tcPr>
                  <w:tcW w:w="968" w:type="pct"/>
                  <w:vAlign w:val="center"/>
                </w:tcPr>
                <w:p w14:paraId="7ABEA02C">
                  <w:pPr>
                    <w:pStyle w:val="4"/>
                    <w:numPr>
                      <w:ilvl w:val="2"/>
                      <w:numId w:val="0"/>
                    </w:numPr>
                    <w:tabs>
                      <w:tab w:val="left" w:pos="720"/>
                      <w:tab w:val="left" w:pos="851"/>
                    </w:tabs>
                    <w:spacing w:line="240" w:lineRule="auto"/>
                    <w:jc w:val="center"/>
                    <w:rPr>
                      <w:b w:val="0"/>
                      <w:bCs w:val="0"/>
                      <w:color w:val="auto"/>
                      <w:sz w:val="21"/>
                      <w:szCs w:val="21"/>
                      <w:highlight w:val="none"/>
                    </w:rPr>
                  </w:pPr>
                  <w:r>
                    <w:rPr>
                      <w:b w:val="0"/>
                      <w:bCs w:val="0"/>
                      <w:color w:val="auto"/>
                      <w:sz w:val="21"/>
                      <w:szCs w:val="21"/>
                      <w:highlight w:val="none"/>
                    </w:rPr>
                    <w:t>类型</w:t>
                  </w:r>
                </w:p>
              </w:tc>
              <w:tc>
                <w:tcPr>
                  <w:tcW w:w="729" w:type="pct"/>
                  <w:vAlign w:val="center"/>
                </w:tcPr>
                <w:p w14:paraId="073E72F0">
                  <w:pPr>
                    <w:pStyle w:val="4"/>
                    <w:numPr>
                      <w:ilvl w:val="2"/>
                      <w:numId w:val="0"/>
                    </w:numPr>
                    <w:tabs>
                      <w:tab w:val="left" w:pos="720"/>
                      <w:tab w:val="left" w:pos="851"/>
                    </w:tabs>
                    <w:spacing w:line="240" w:lineRule="auto"/>
                    <w:jc w:val="center"/>
                    <w:rPr>
                      <w:b w:val="0"/>
                      <w:bCs w:val="0"/>
                      <w:color w:val="auto"/>
                      <w:sz w:val="21"/>
                      <w:szCs w:val="21"/>
                      <w:highlight w:val="none"/>
                    </w:rPr>
                  </w:pPr>
                  <w:r>
                    <w:rPr>
                      <w:b w:val="0"/>
                      <w:bCs w:val="0"/>
                      <w:color w:val="auto"/>
                      <w:sz w:val="21"/>
                      <w:szCs w:val="21"/>
                      <w:highlight w:val="none"/>
                    </w:rPr>
                    <w:t>排放规律</w:t>
                  </w:r>
                </w:p>
              </w:tc>
              <w:tc>
                <w:tcPr>
                  <w:tcW w:w="694" w:type="pct"/>
                  <w:vAlign w:val="center"/>
                </w:tcPr>
                <w:p w14:paraId="27490B85">
                  <w:pPr>
                    <w:pStyle w:val="4"/>
                    <w:numPr>
                      <w:ilvl w:val="2"/>
                      <w:numId w:val="0"/>
                    </w:numPr>
                    <w:tabs>
                      <w:tab w:val="left" w:pos="720"/>
                      <w:tab w:val="left" w:pos="851"/>
                    </w:tabs>
                    <w:spacing w:line="240" w:lineRule="auto"/>
                    <w:jc w:val="center"/>
                    <w:rPr>
                      <w:b w:val="0"/>
                      <w:bCs w:val="0"/>
                      <w:color w:val="auto"/>
                      <w:sz w:val="21"/>
                      <w:szCs w:val="21"/>
                      <w:highlight w:val="none"/>
                    </w:rPr>
                  </w:pPr>
                  <w:r>
                    <w:rPr>
                      <w:b w:val="0"/>
                      <w:bCs w:val="0"/>
                      <w:color w:val="auto"/>
                      <w:sz w:val="21"/>
                      <w:szCs w:val="21"/>
                      <w:highlight w:val="none"/>
                    </w:rPr>
                    <w:t>排放方式</w:t>
                  </w:r>
                </w:p>
              </w:tc>
              <w:tc>
                <w:tcPr>
                  <w:tcW w:w="1197" w:type="pct"/>
                  <w:vAlign w:val="center"/>
                </w:tcPr>
                <w:p w14:paraId="1E067D6C">
                  <w:pPr>
                    <w:pStyle w:val="4"/>
                    <w:numPr>
                      <w:ilvl w:val="2"/>
                      <w:numId w:val="0"/>
                    </w:numPr>
                    <w:tabs>
                      <w:tab w:val="left" w:pos="720"/>
                      <w:tab w:val="left" w:pos="851"/>
                    </w:tabs>
                    <w:spacing w:line="240" w:lineRule="auto"/>
                    <w:jc w:val="center"/>
                    <w:rPr>
                      <w:b w:val="0"/>
                      <w:bCs w:val="0"/>
                      <w:color w:val="auto"/>
                      <w:sz w:val="21"/>
                      <w:szCs w:val="21"/>
                      <w:highlight w:val="none"/>
                    </w:rPr>
                  </w:pPr>
                  <w:r>
                    <w:rPr>
                      <w:b w:val="0"/>
                      <w:bCs w:val="0"/>
                      <w:color w:val="auto"/>
                      <w:sz w:val="21"/>
                      <w:szCs w:val="21"/>
                      <w:highlight w:val="none"/>
                    </w:rPr>
                    <w:t>排放去向</w:t>
                  </w:r>
                </w:p>
              </w:tc>
            </w:tr>
            <w:tr w14:paraId="74D0C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453" w:type="pct"/>
                  <w:vAlign w:val="center"/>
                </w:tcPr>
                <w:p w14:paraId="2608ADFA">
                  <w:pPr>
                    <w:pStyle w:val="4"/>
                    <w:numPr>
                      <w:ilvl w:val="2"/>
                      <w:numId w:val="0"/>
                    </w:numPr>
                    <w:tabs>
                      <w:tab w:val="left" w:pos="720"/>
                      <w:tab w:val="left" w:pos="851"/>
                    </w:tabs>
                    <w:spacing w:line="240" w:lineRule="auto"/>
                    <w:jc w:val="center"/>
                    <w:rPr>
                      <w:b w:val="0"/>
                      <w:color w:val="auto"/>
                      <w:sz w:val="21"/>
                      <w:szCs w:val="21"/>
                      <w:highlight w:val="none"/>
                    </w:rPr>
                  </w:pPr>
                  <w:r>
                    <w:rPr>
                      <w:b w:val="0"/>
                      <w:color w:val="auto"/>
                      <w:sz w:val="21"/>
                      <w:szCs w:val="21"/>
                      <w:highlight w:val="none"/>
                    </w:rPr>
                    <w:t>W1</w:t>
                  </w:r>
                </w:p>
              </w:tc>
              <w:tc>
                <w:tcPr>
                  <w:tcW w:w="956" w:type="pct"/>
                  <w:vAlign w:val="center"/>
                </w:tcPr>
                <w:p w14:paraId="479C23A3">
                  <w:pPr>
                    <w:pStyle w:val="4"/>
                    <w:numPr>
                      <w:ilvl w:val="2"/>
                      <w:numId w:val="0"/>
                    </w:numPr>
                    <w:tabs>
                      <w:tab w:val="left" w:pos="720"/>
                      <w:tab w:val="left" w:pos="851"/>
                    </w:tabs>
                    <w:spacing w:line="240" w:lineRule="auto"/>
                    <w:jc w:val="center"/>
                    <w:rPr>
                      <w:b w:val="0"/>
                      <w:color w:val="auto"/>
                      <w:sz w:val="21"/>
                      <w:szCs w:val="21"/>
                      <w:highlight w:val="none"/>
                    </w:rPr>
                  </w:pPr>
                  <w:r>
                    <w:rPr>
                      <w:rFonts w:hint="eastAsia"/>
                      <w:b w:val="0"/>
                      <w:color w:val="auto"/>
                      <w:sz w:val="21"/>
                      <w:szCs w:val="21"/>
                      <w:highlight w:val="none"/>
                    </w:rPr>
                    <w:t>废水排放口</w:t>
                  </w:r>
                </w:p>
              </w:tc>
              <w:tc>
                <w:tcPr>
                  <w:tcW w:w="968" w:type="pct"/>
                  <w:vAlign w:val="center"/>
                </w:tcPr>
                <w:p w14:paraId="524A38E0">
                  <w:pPr>
                    <w:pStyle w:val="4"/>
                    <w:numPr>
                      <w:ilvl w:val="2"/>
                      <w:numId w:val="0"/>
                    </w:numPr>
                    <w:tabs>
                      <w:tab w:val="left" w:pos="720"/>
                      <w:tab w:val="left" w:pos="851"/>
                    </w:tabs>
                    <w:spacing w:line="240" w:lineRule="auto"/>
                    <w:jc w:val="center"/>
                    <w:rPr>
                      <w:b w:val="0"/>
                      <w:color w:val="auto"/>
                      <w:sz w:val="21"/>
                      <w:szCs w:val="21"/>
                      <w:highlight w:val="none"/>
                    </w:rPr>
                  </w:pPr>
                  <w:r>
                    <w:rPr>
                      <w:rFonts w:hint="eastAsia"/>
                      <w:b w:val="0"/>
                      <w:color w:val="auto"/>
                      <w:sz w:val="21"/>
                      <w:szCs w:val="21"/>
                      <w:highlight w:val="none"/>
                    </w:rPr>
                    <w:t>生活污水总排口</w:t>
                  </w:r>
                </w:p>
              </w:tc>
              <w:tc>
                <w:tcPr>
                  <w:tcW w:w="729" w:type="pct"/>
                  <w:vAlign w:val="center"/>
                </w:tcPr>
                <w:p w14:paraId="265710EB">
                  <w:pPr>
                    <w:pStyle w:val="4"/>
                    <w:numPr>
                      <w:ilvl w:val="2"/>
                      <w:numId w:val="0"/>
                    </w:numPr>
                    <w:tabs>
                      <w:tab w:val="left" w:pos="720"/>
                      <w:tab w:val="left" w:pos="851"/>
                    </w:tabs>
                    <w:spacing w:line="240" w:lineRule="auto"/>
                    <w:jc w:val="center"/>
                    <w:rPr>
                      <w:b w:val="0"/>
                      <w:color w:val="auto"/>
                      <w:sz w:val="21"/>
                      <w:szCs w:val="21"/>
                      <w:highlight w:val="none"/>
                    </w:rPr>
                  </w:pPr>
                  <w:r>
                    <w:rPr>
                      <w:b w:val="0"/>
                      <w:color w:val="auto"/>
                      <w:sz w:val="21"/>
                      <w:szCs w:val="21"/>
                      <w:highlight w:val="none"/>
                    </w:rPr>
                    <w:t>/</w:t>
                  </w:r>
                </w:p>
              </w:tc>
              <w:tc>
                <w:tcPr>
                  <w:tcW w:w="694" w:type="pct"/>
                  <w:vAlign w:val="center"/>
                </w:tcPr>
                <w:p w14:paraId="621B4C72">
                  <w:pPr>
                    <w:jc w:val="center"/>
                    <w:rPr>
                      <w:color w:val="auto"/>
                      <w:szCs w:val="21"/>
                      <w:highlight w:val="none"/>
                    </w:rPr>
                  </w:pPr>
                  <w:r>
                    <w:rPr>
                      <w:rFonts w:hint="eastAsia"/>
                      <w:color w:val="auto"/>
                      <w:szCs w:val="21"/>
                      <w:highlight w:val="none"/>
                    </w:rPr>
                    <w:t>间断</w:t>
                  </w:r>
                  <w:r>
                    <w:rPr>
                      <w:color w:val="auto"/>
                      <w:szCs w:val="21"/>
                      <w:highlight w:val="none"/>
                    </w:rPr>
                    <w:t>排放</w:t>
                  </w:r>
                </w:p>
              </w:tc>
              <w:tc>
                <w:tcPr>
                  <w:tcW w:w="1197" w:type="pct"/>
                  <w:vAlign w:val="center"/>
                </w:tcPr>
                <w:p w14:paraId="43F26C71">
                  <w:pPr>
                    <w:jc w:val="center"/>
                    <w:rPr>
                      <w:color w:val="auto"/>
                      <w:szCs w:val="21"/>
                      <w:highlight w:val="none"/>
                    </w:rPr>
                  </w:pPr>
                  <w:r>
                    <w:rPr>
                      <w:rFonts w:hint="eastAsia"/>
                      <w:snapToGrid w:val="0"/>
                      <w:color w:val="auto"/>
                      <w:kern w:val="0"/>
                      <w:szCs w:val="21"/>
                      <w:highlight w:val="none"/>
                      <w:lang w:val="en-US" w:eastAsia="zh-CN"/>
                    </w:rPr>
                    <w:t>和静</w:t>
                  </w:r>
                  <w:r>
                    <w:rPr>
                      <w:rFonts w:hint="eastAsia"/>
                      <w:snapToGrid w:val="0"/>
                      <w:color w:val="auto"/>
                      <w:kern w:val="0"/>
                      <w:szCs w:val="21"/>
                      <w:highlight w:val="none"/>
                    </w:rPr>
                    <w:t>县城</w:t>
                  </w:r>
                  <w:r>
                    <w:rPr>
                      <w:rFonts w:hint="eastAsia"/>
                      <w:snapToGrid w:val="0"/>
                      <w:color w:val="auto"/>
                      <w:kern w:val="0"/>
                      <w:szCs w:val="21"/>
                      <w:highlight w:val="none"/>
                      <w:lang w:val="en-US" w:eastAsia="zh-CN"/>
                    </w:rPr>
                    <w:t>镇</w:t>
                  </w:r>
                  <w:r>
                    <w:rPr>
                      <w:rFonts w:hint="eastAsia"/>
                      <w:snapToGrid w:val="0"/>
                      <w:color w:val="auto"/>
                      <w:kern w:val="0"/>
                      <w:szCs w:val="21"/>
                      <w:highlight w:val="none"/>
                    </w:rPr>
                    <w:t>污水处理厂</w:t>
                  </w:r>
                </w:p>
              </w:tc>
            </w:tr>
          </w:tbl>
          <w:p w14:paraId="39555D36">
            <w:pPr>
              <w:autoSpaceDE w:val="0"/>
              <w:autoSpaceDN w:val="0"/>
              <w:spacing w:line="500" w:lineRule="exact"/>
              <w:rPr>
                <w:b/>
                <w:color w:val="auto"/>
                <w:sz w:val="24"/>
                <w:highlight w:val="none"/>
              </w:rPr>
            </w:pPr>
            <w:r>
              <w:rPr>
                <w:b/>
                <w:color w:val="auto"/>
                <w:sz w:val="24"/>
                <w:highlight w:val="none"/>
              </w:rPr>
              <w:t xml:space="preserve">2.2 </w:t>
            </w:r>
            <w:r>
              <w:rPr>
                <w:rFonts w:hint="eastAsia"/>
                <w:b/>
                <w:color w:val="auto"/>
                <w:sz w:val="24"/>
                <w:highlight w:val="none"/>
              </w:rPr>
              <w:t>生活污水处置可行性分析</w:t>
            </w:r>
          </w:p>
          <w:p w14:paraId="66CB99B8">
            <w:pPr>
              <w:topLinePunct/>
              <w:spacing w:line="500" w:lineRule="exact"/>
              <w:ind w:firstLine="480" w:firstLineChars="200"/>
              <w:textAlignment w:val="baseline"/>
              <w:rPr>
                <w:rFonts w:hint="eastAsia" w:hAnsiTheme="minorEastAsia"/>
                <w:color w:val="auto"/>
                <w:sz w:val="24"/>
                <w:highlight w:val="none"/>
                <w:lang w:val="en-US" w:eastAsia="zh-CN"/>
              </w:rPr>
            </w:pPr>
            <w:r>
              <w:rPr>
                <w:rFonts w:hint="eastAsia" w:hAnsiTheme="minorEastAsia"/>
                <w:color w:val="auto"/>
                <w:sz w:val="24"/>
                <w:highlight w:val="none"/>
                <w:lang w:val="en-US" w:eastAsia="zh-CN"/>
              </w:rPr>
              <w:t>和静</w:t>
            </w:r>
            <w:r>
              <w:rPr>
                <w:rFonts w:hAnsiTheme="minorEastAsia"/>
                <w:color w:val="auto"/>
                <w:sz w:val="24"/>
                <w:highlight w:val="none"/>
              </w:rPr>
              <w:t>县城</w:t>
            </w:r>
            <w:r>
              <w:rPr>
                <w:rFonts w:hint="eastAsia" w:hAnsiTheme="minorEastAsia"/>
                <w:color w:val="auto"/>
                <w:sz w:val="24"/>
                <w:highlight w:val="none"/>
                <w:lang w:val="en-US" w:eastAsia="zh-CN"/>
              </w:rPr>
              <w:t>镇</w:t>
            </w:r>
            <w:r>
              <w:rPr>
                <w:rFonts w:hAnsiTheme="minorEastAsia"/>
                <w:color w:val="auto"/>
                <w:sz w:val="24"/>
                <w:highlight w:val="none"/>
              </w:rPr>
              <w:t>污水处理厂位于</w:t>
            </w:r>
            <w:r>
              <w:rPr>
                <w:rFonts w:hint="eastAsia" w:hAnsiTheme="minorEastAsia"/>
                <w:color w:val="auto"/>
                <w:sz w:val="24"/>
                <w:highlight w:val="none"/>
                <w:lang w:val="en-US" w:eastAsia="zh-CN"/>
              </w:rPr>
              <w:t>夏尔布拉克村2组999号</w:t>
            </w:r>
            <w:r>
              <w:rPr>
                <w:rFonts w:hAnsiTheme="minorEastAsia"/>
                <w:color w:val="auto"/>
                <w:sz w:val="24"/>
                <w:highlight w:val="none"/>
              </w:rPr>
              <w:t>，</w:t>
            </w:r>
            <w:r>
              <w:rPr>
                <w:rFonts w:hint="eastAsia" w:hAnsiTheme="minorEastAsia"/>
                <w:color w:val="auto"/>
                <w:sz w:val="24"/>
                <w:highlight w:val="none"/>
                <w:lang w:val="en-US" w:eastAsia="zh-CN"/>
              </w:rPr>
              <w:t>占地约6.67公顷，处理规模为2.0万立方米/天（实际处理水量为1.0万立方米/天），采用预处理+氧化沟+二氧化氯消毒处理工艺，尾水可满足《城镇污水处理厂污染物排放标准》（GB18918-2002）中一级B标准要求。</w:t>
            </w:r>
            <w:r>
              <w:rPr>
                <w:rFonts w:hint="eastAsia"/>
                <w:b w:val="0"/>
                <w:bCs/>
                <w:color w:val="auto"/>
                <w:sz w:val="24"/>
                <w:highlight w:val="none"/>
              </w:rPr>
              <w:t>提标改造后，项目设计最大处理规模不变，仍为2.0万立方米/天，采用A</w:t>
            </w:r>
            <w:r>
              <w:rPr>
                <w:rFonts w:hint="eastAsia"/>
                <w:b w:val="0"/>
                <w:bCs/>
                <w:color w:val="auto"/>
                <w:sz w:val="24"/>
                <w:highlight w:val="none"/>
                <w:vertAlign w:val="superscript"/>
              </w:rPr>
              <w:t>2</w:t>
            </w:r>
            <w:r>
              <w:rPr>
                <w:rFonts w:hint="eastAsia"/>
                <w:b w:val="0"/>
                <w:bCs/>
                <w:color w:val="auto"/>
                <w:sz w:val="24"/>
                <w:highlight w:val="none"/>
              </w:rPr>
              <w:t>/O+MBR池处理工艺，</w:t>
            </w:r>
            <w:r>
              <w:rPr>
                <w:rFonts w:hint="eastAsia"/>
                <w:b w:val="0"/>
                <w:bCs/>
                <w:color w:val="auto"/>
                <w:sz w:val="24"/>
                <w:highlight w:val="none"/>
                <w:lang w:val="en-US" w:eastAsia="zh-CN"/>
              </w:rPr>
              <w:t>出水水质执行</w:t>
            </w:r>
            <w:r>
              <w:rPr>
                <w:rFonts w:hint="eastAsia" w:hAnsiTheme="minorEastAsia"/>
                <w:color w:val="auto"/>
                <w:sz w:val="24"/>
                <w:highlight w:val="none"/>
                <w:lang w:val="en-US" w:eastAsia="zh-CN"/>
              </w:rPr>
              <w:t>《城镇污水处理厂污染物排放标准》（GB18918-2002）中一级A标准要求；</w:t>
            </w:r>
            <w:r>
              <w:rPr>
                <w:rFonts w:hint="eastAsia"/>
                <w:b w:val="0"/>
                <w:bCs/>
                <w:color w:val="auto"/>
                <w:sz w:val="24"/>
                <w:highlight w:val="none"/>
              </w:rPr>
              <w:t>主要处理和静县中心城区、和静工业园区</w:t>
            </w:r>
            <w:r>
              <w:rPr>
                <w:rFonts w:hint="eastAsia"/>
                <w:b w:val="0"/>
                <w:bCs/>
                <w:color w:val="auto"/>
                <w:sz w:val="24"/>
                <w:highlight w:val="none"/>
                <w:lang w:eastAsia="zh-CN"/>
              </w:rPr>
              <w:t>（</w:t>
            </w:r>
            <w:r>
              <w:rPr>
                <w:rFonts w:hint="eastAsia"/>
                <w:b w:val="0"/>
                <w:bCs/>
                <w:color w:val="auto"/>
                <w:sz w:val="24"/>
                <w:highlight w:val="none"/>
              </w:rPr>
              <w:t>哈尔莫敦矿业片区、新兴产业区、额勒再特工业片区</w:t>
            </w:r>
            <w:r>
              <w:rPr>
                <w:rFonts w:hint="eastAsia"/>
                <w:b w:val="0"/>
                <w:bCs/>
                <w:color w:val="auto"/>
                <w:sz w:val="24"/>
                <w:highlight w:val="none"/>
                <w:lang w:eastAsia="zh-CN"/>
              </w:rPr>
              <w:t>）</w:t>
            </w:r>
            <w:r>
              <w:rPr>
                <w:rFonts w:hint="eastAsia"/>
                <w:b w:val="0"/>
                <w:bCs/>
                <w:color w:val="auto"/>
                <w:sz w:val="24"/>
                <w:highlight w:val="none"/>
              </w:rPr>
              <w:t>、县道279沿线额勒再特乡、养殖场、巩哈拉村小学、拉布润及夏尔布鲁克村周边乡镇的工业废水和生活污水。新增或改造主要工程内容包括：膜格栅间、氧化沟、二沉池、鼓风机房、污泥浓缩池、污泥脱水机房和离子除臭设备等，</w:t>
            </w:r>
          </w:p>
          <w:p w14:paraId="0245DBF6">
            <w:pPr>
              <w:topLinePunct/>
              <w:spacing w:line="500" w:lineRule="exact"/>
              <w:ind w:firstLine="480" w:firstLineChars="200"/>
              <w:textAlignment w:val="baseline"/>
              <w:rPr>
                <w:color w:val="auto"/>
                <w:sz w:val="24"/>
                <w:highlight w:val="none"/>
              </w:rPr>
            </w:pPr>
            <w:r>
              <w:rPr>
                <w:rFonts w:hint="eastAsia"/>
                <w:color w:val="auto"/>
                <w:sz w:val="24"/>
                <w:highlight w:val="none"/>
              </w:rPr>
              <w:t>本项目污水排放量为</w:t>
            </w:r>
            <w:r>
              <w:rPr>
                <w:rFonts w:hint="eastAsia"/>
                <w:color w:val="auto"/>
                <w:kern w:val="0"/>
                <w:sz w:val="24"/>
                <w:highlight w:val="none"/>
                <w:lang w:val="en-US" w:eastAsia="zh-CN"/>
              </w:rPr>
              <w:t>2</w:t>
            </w:r>
            <w:r>
              <w:rPr>
                <w:color w:val="auto"/>
                <w:kern w:val="0"/>
                <w:sz w:val="24"/>
                <w:highlight w:val="none"/>
              </w:rPr>
              <w:t>m</w:t>
            </w:r>
            <w:r>
              <w:rPr>
                <w:color w:val="auto"/>
                <w:kern w:val="0"/>
                <w:sz w:val="24"/>
                <w:highlight w:val="none"/>
                <w:vertAlign w:val="superscript"/>
              </w:rPr>
              <w:t>3</w:t>
            </w:r>
            <w:r>
              <w:rPr>
                <w:color w:val="auto"/>
                <w:kern w:val="0"/>
                <w:sz w:val="24"/>
                <w:highlight w:val="none"/>
              </w:rPr>
              <w:t>/d（</w:t>
            </w:r>
            <w:r>
              <w:rPr>
                <w:rFonts w:hint="eastAsia"/>
                <w:color w:val="auto"/>
                <w:kern w:val="0"/>
                <w:sz w:val="24"/>
                <w:highlight w:val="none"/>
                <w:lang w:val="en-US" w:eastAsia="zh-CN"/>
              </w:rPr>
              <w:t>600</w:t>
            </w:r>
            <w:r>
              <w:rPr>
                <w:color w:val="auto"/>
                <w:kern w:val="0"/>
                <w:sz w:val="24"/>
                <w:highlight w:val="none"/>
              </w:rPr>
              <w:t>m</w:t>
            </w:r>
            <w:r>
              <w:rPr>
                <w:color w:val="auto"/>
                <w:kern w:val="0"/>
                <w:sz w:val="24"/>
                <w:highlight w:val="none"/>
                <w:vertAlign w:val="superscript"/>
              </w:rPr>
              <w:t>3</w:t>
            </w:r>
            <w:r>
              <w:rPr>
                <w:color w:val="auto"/>
                <w:kern w:val="0"/>
                <w:sz w:val="24"/>
                <w:highlight w:val="none"/>
              </w:rPr>
              <w:t>/a）</w:t>
            </w:r>
            <w:r>
              <w:rPr>
                <w:rFonts w:hint="eastAsia"/>
                <w:color w:val="auto"/>
                <w:sz w:val="24"/>
                <w:highlight w:val="none"/>
              </w:rPr>
              <w:t>，占污水处理厂</w:t>
            </w:r>
            <w:r>
              <w:rPr>
                <w:rFonts w:hint="eastAsia"/>
                <w:color w:val="auto"/>
                <w:sz w:val="24"/>
                <w:highlight w:val="none"/>
                <w:lang w:val="en-US" w:eastAsia="zh-CN"/>
              </w:rPr>
              <w:t>日</w:t>
            </w:r>
            <w:r>
              <w:rPr>
                <w:rFonts w:hint="eastAsia"/>
                <w:color w:val="auto"/>
                <w:sz w:val="24"/>
                <w:highlight w:val="none"/>
              </w:rPr>
              <w:t>处理规模的0.0</w:t>
            </w:r>
            <w:r>
              <w:rPr>
                <w:rFonts w:hint="eastAsia"/>
                <w:color w:val="auto"/>
                <w:sz w:val="24"/>
                <w:highlight w:val="none"/>
                <w:lang w:val="en-US" w:eastAsia="zh-CN"/>
              </w:rPr>
              <w:t>1</w:t>
            </w:r>
            <w:r>
              <w:rPr>
                <w:rFonts w:hint="eastAsia"/>
                <w:color w:val="auto"/>
                <w:sz w:val="24"/>
                <w:highlight w:val="none"/>
              </w:rPr>
              <w:t>%，对污水处理厂的影响极小。</w:t>
            </w:r>
          </w:p>
          <w:p w14:paraId="3CD7DE2B">
            <w:pPr>
              <w:pStyle w:val="116"/>
              <w:spacing w:line="480" w:lineRule="exact"/>
              <w:ind w:firstLine="0" w:firstLineChars="0"/>
              <w:rPr>
                <w:rStyle w:val="39"/>
                <w:rFonts w:hint="eastAsia" w:eastAsiaTheme="minorEastAsia"/>
                <w:b/>
                <w:bCs/>
                <w:snapToGrid w:val="0"/>
                <w:color w:val="auto"/>
                <w:kern w:val="0"/>
                <w:highlight w:val="none"/>
              </w:rPr>
            </w:pPr>
          </w:p>
          <w:p w14:paraId="355BBB9F">
            <w:pPr>
              <w:pStyle w:val="116"/>
              <w:spacing w:line="480" w:lineRule="exact"/>
              <w:ind w:firstLine="0" w:firstLineChars="0"/>
              <w:rPr>
                <w:b/>
                <w:color w:val="auto"/>
                <w:spacing w:val="-10"/>
                <w:highlight w:val="none"/>
              </w:rPr>
            </w:pPr>
            <w:r>
              <w:rPr>
                <w:rStyle w:val="39"/>
                <w:rFonts w:hint="eastAsia" w:eastAsiaTheme="minorEastAsia"/>
                <w:b/>
                <w:bCs/>
                <w:snapToGrid w:val="0"/>
                <w:color w:val="auto"/>
                <w:kern w:val="0"/>
                <w:highlight w:val="none"/>
              </w:rPr>
              <w:t>3、</w:t>
            </w:r>
            <w:r>
              <w:rPr>
                <w:b/>
                <w:color w:val="auto"/>
                <w:spacing w:val="-10"/>
                <w:highlight w:val="none"/>
              </w:rPr>
              <w:t>地下水、土壤防治措施</w:t>
            </w:r>
          </w:p>
          <w:p w14:paraId="059B17A4">
            <w:pPr>
              <w:widowControl/>
              <w:suppressAutoHyphens/>
              <w:topLinePunct/>
              <w:spacing w:line="480" w:lineRule="exact"/>
              <w:ind w:firstLine="480" w:firstLineChars="200"/>
              <w:rPr>
                <w:color w:val="auto"/>
                <w:sz w:val="24"/>
                <w:highlight w:val="none"/>
              </w:rPr>
            </w:pPr>
            <w:r>
              <w:rPr>
                <w:color w:val="auto"/>
                <w:sz w:val="24"/>
                <w:highlight w:val="none"/>
              </w:rPr>
              <w:t>（1）地下水、土壤污染源及污染途径</w:t>
            </w:r>
          </w:p>
          <w:p w14:paraId="380AAC96">
            <w:pPr>
              <w:widowControl/>
              <w:suppressAutoHyphens/>
              <w:topLinePunct/>
              <w:spacing w:line="480" w:lineRule="exact"/>
              <w:ind w:firstLine="480" w:firstLineChars="200"/>
              <w:rPr>
                <w:color w:val="auto"/>
                <w:sz w:val="24"/>
                <w:highlight w:val="none"/>
              </w:rPr>
            </w:pPr>
            <w:r>
              <w:rPr>
                <w:color w:val="auto"/>
                <w:sz w:val="24"/>
                <w:highlight w:val="none"/>
              </w:rPr>
              <w:t>本项目运营过程地下水、土壤污染源主要是非正常工况下污水处理</w:t>
            </w:r>
            <w:r>
              <w:rPr>
                <w:rFonts w:hint="eastAsia"/>
                <w:color w:val="auto"/>
                <w:sz w:val="24"/>
                <w:highlight w:val="none"/>
              </w:rPr>
              <w:t>系统</w:t>
            </w:r>
            <w:r>
              <w:rPr>
                <w:color w:val="auto"/>
                <w:sz w:val="24"/>
                <w:highlight w:val="none"/>
              </w:rPr>
              <w:t>破损，会导致废水污染物垂直入渗对项目区地下水和土壤环境造成不利影响。</w:t>
            </w:r>
          </w:p>
          <w:p w14:paraId="2614C88C">
            <w:pPr>
              <w:widowControl/>
              <w:suppressAutoHyphens/>
              <w:topLinePunct/>
              <w:spacing w:line="480" w:lineRule="exact"/>
              <w:ind w:firstLine="480" w:firstLineChars="200"/>
              <w:rPr>
                <w:color w:val="auto"/>
                <w:sz w:val="24"/>
                <w:highlight w:val="none"/>
              </w:rPr>
            </w:pPr>
            <w:r>
              <w:rPr>
                <w:color w:val="auto"/>
                <w:sz w:val="24"/>
                <w:highlight w:val="none"/>
              </w:rPr>
              <w:t>（2）防控措施</w:t>
            </w:r>
          </w:p>
          <w:p w14:paraId="793F214D">
            <w:pPr>
              <w:widowControl/>
              <w:suppressAutoHyphens/>
              <w:topLinePunct/>
              <w:spacing w:line="480" w:lineRule="exact"/>
              <w:ind w:firstLine="480" w:firstLineChars="200"/>
              <w:rPr>
                <w:color w:val="auto"/>
                <w:sz w:val="24"/>
                <w:highlight w:val="none"/>
              </w:rPr>
            </w:pPr>
            <w:r>
              <w:rPr>
                <w:color w:val="auto"/>
                <w:sz w:val="24"/>
                <w:highlight w:val="none"/>
              </w:rPr>
              <w:t>为有效预防地下水及土壤污染，本项目采取分区防渗措施。结合本项目工艺特点，本项目按重点防渗区、一般防渗区和简单防渗区分区域进行防渗处理。</w:t>
            </w:r>
          </w:p>
          <w:p w14:paraId="39280A4C">
            <w:pPr>
              <w:spacing w:line="480" w:lineRule="exact"/>
              <w:jc w:val="center"/>
              <w:rPr>
                <w:b/>
                <w:color w:val="auto"/>
                <w:szCs w:val="21"/>
                <w:highlight w:val="none"/>
              </w:rPr>
            </w:pPr>
            <w:r>
              <w:rPr>
                <w:b/>
                <w:color w:val="auto"/>
                <w:szCs w:val="21"/>
                <w:highlight w:val="none"/>
              </w:rPr>
              <w:t>表</w:t>
            </w:r>
            <w:r>
              <w:rPr>
                <w:rFonts w:hint="eastAsia"/>
                <w:b/>
                <w:color w:val="auto"/>
                <w:szCs w:val="21"/>
                <w:highlight w:val="none"/>
                <w:lang w:val="en-US" w:eastAsia="zh-CN"/>
              </w:rPr>
              <w:t>4-11</w:t>
            </w:r>
            <w:r>
              <w:rPr>
                <w:b/>
                <w:color w:val="auto"/>
                <w:szCs w:val="21"/>
                <w:highlight w:val="none"/>
              </w:rPr>
              <w:t xml:space="preserve"> </w:t>
            </w:r>
            <w:r>
              <w:rPr>
                <w:rFonts w:hint="eastAsia"/>
                <w:b/>
                <w:color w:val="auto"/>
                <w:szCs w:val="21"/>
                <w:highlight w:val="none"/>
              </w:rPr>
              <w:t xml:space="preserve">    </w:t>
            </w:r>
            <w:r>
              <w:rPr>
                <w:b/>
                <w:color w:val="auto"/>
                <w:szCs w:val="21"/>
                <w:highlight w:val="none"/>
              </w:rPr>
              <w:t xml:space="preserve"> 地下水污染防渗分区参照表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71"/>
              <w:gridCol w:w="1283"/>
              <w:gridCol w:w="1064"/>
              <w:gridCol w:w="1652"/>
              <w:gridCol w:w="2831"/>
            </w:tblGrid>
            <w:tr w14:paraId="3DD560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454" w:hRule="atLeast"/>
                <w:jc w:val="center"/>
              </w:trPr>
              <w:tc>
                <w:tcPr>
                  <w:tcW w:w="886" w:type="pct"/>
                  <w:vAlign w:val="center"/>
                </w:tcPr>
                <w:p w14:paraId="062840C6">
                  <w:pPr>
                    <w:widowControl/>
                    <w:suppressAutoHyphens/>
                    <w:topLinePunct/>
                    <w:jc w:val="center"/>
                    <w:rPr>
                      <w:color w:val="auto"/>
                      <w:highlight w:val="none"/>
                    </w:rPr>
                  </w:pPr>
                  <w:r>
                    <w:rPr>
                      <w:color w:val="auto"/>
                      <w:highlight w:val="none"/>
                    </w:rPr>
                    <w:t>防渗分区</w:t>
                  </w:r>
                </w:p>
              </w:tc>
              <w:tc>
                <w:tcPr>
                  <w:tcW w:w="773" w:type="pct"/>
                  <w:vAlign w:val="center"/>
                </w:tcPr>
                <w:p w14:paraId="786B20D5">
                  <w:pPr>
                    <w:widowControl/>
                    <w:suppressAutoHyphens/>
                    <w:topLinePunct/>
                    <w:jc w:val="center"/>
                    <w:rPr>
                      <w:color w:val="auto"/>
                      <w:highlight w:val="none"/>
                    </w:rPr>
                  </w:pPr>
                  <w:r>
                    <w:rPr>
                      <w:color w:val="auto"/>
                      <w:highlight w:val="none"/>
                    </w:rPr>
                    <w:t>天然包气带防污性能</w:t>
                  </w:r>
                </w:p>
              </w:tc>
              <w:tc>
                <w:tcPr>
                  <w:tcW w:w="641" w:type="pct"/>
                  <w:vAlign w:val="center"/>
                </w:tcPr>
                <w:p w14:paraId="18A014F3">
                  <w:pPr>
                    <w:widowControl/>
                    <w:suppressAutoHyphens/>
                    <w:topLinePunct/>
                    <w:jc w:val="center"/>
                    <w:rPr>
                      <w:color w:val="auto"/>
                      <w:highlight w:val="none"/>
                    </w:rPr>
                  </w:pPr>
                  <w:r>
                    <w:rPr>
                      <w:color w:val="auto"/>
                      <w:highlight w:val="none"/>
                    </w:rPr>
                    <w:t>污染控制难易程度</w:t>
                  </w:r>
                </w:p>
              </w:tc>
              <w:tc>
                <w:tcPr>
                  <w:tcW w:w="995" w:type="pct"/>
                  <w:vAlign w:val="center"/>
                </w:tcPr>
                <w:p w14:paraId="3DC0E7B4">
                  <w:pPr>
                    <w:widowControl/>
                    <w:suppressAutoHyphens/>
                    <w:topLinePunct/>
                    <w:jc w:val="center"/>
                    <w:rPr>
                      <w:color w:val="auto"/>
                      <w:highlight w:val="none"/>
                    </w:rPr>
                  </w:pPr>
                  <w:r>
                    <w:rPr>
                      <w:color w:val="auto"/>
                      <w:highlight w:val="none"/>
                    </w:rPr>
                    <w:t>污染物类型</w:t>
                  </w:r>
                </w:p>
              </w:tc>
              <w:tc>
                <w:tcPr>
                  <w:tcW w:w="1705" w:type="pct"/>
                  <w:vAlign w:val="center"/>
                </w:tcPr>
                <w:p w14:paraId="02F4D962">
                  <w:pPr>
                    <w:widowControl/>
                    <w:suppressAutoHyphens/>
                    <w:topLinePunct/>
                    <w:jc w:val="center"/>
                    <w:rPr>
                      <w:color w:val="auto"/>
                      <w:highlight w:val="none"/>
                    </w:rPr>
                  </w:pPr>
                  <w:r>
                    <w:rPr>
                      <w:color w:val="auto"/>
                      <w:highlight w:val="none"/>
                    </w:rPr>
                    <w:t>防渗技术要求</w:t>
                  </w:r>
                </w:p>
              </w:tc>
            </w:tr>
            <w:tr w14:paraId="7BA64E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86" w:type="pct"/>
                  <w:vMerge w:val="restart"/>
                  <w:vAlign w:val="center"/>
                </w:tcPr>
                <w:p w14:paraId="30B8BBF6">
                  <w:pPr>
                    <w:widowControl/>
                    <w:suppressAutoHyphens/>
                    <w:topLinePunct/>
                    <w:jc w:val="center"/>
                    <w:rPr>
                      <w:color w:val="auto"/>
                      <w:highlight w:val="none"/>
                    </w:rPr>
                  </w:pPr>
                  <w:r>
                    <w:rPr>
                      <w:color w:val="auto"/>
                      <w:highlight w:val="none"/>
                    </w:rPr>
                    <w:t>重点防渗分区</w:t>
                  </w:r>
                </w:p>
              </w:tc>
              <w:tc>
                <w:tcPr>
                  <w:tcW w:w="773" w:type="pct"/>
                  <w:vAlign w:val="center"/>
                </w:tcPr>
                <w:p w14:paraId="726A3941">
                  <w:pPr>
                    <w:widowControl/>
                    <w:suppressAutoHyphens/>
                    <w:topLinePunct/>
                    <w:jc w:val="center"/>
                    <w:rPr>
                      <w:color w:val="auto"/>
                      <w:highlight w:val="none"/>
                    </w:rPr>
                  </w:pPr>
                  <w:r>
                    <w:rPr>
                      <w:color w:val="auto"/>
                      <w:highlight w:val="none"/>
                    </w:rPr>
                    <w:t>弱</w:t>
                  </w:r>
                </w:p>
              </w:tc>
              <w:tc>
                <w:tcPr>
                  <w:tcW w:w="641" w:type="pct"/>
                  <w:vAlign w:val="center"/>
                </w:tcPr>
                <w:p w14:paraId="44828C5C">
                  <w:pPr>
                    <w:widowControl/>
                    <w:suppressAutoHyphens/>
                    <w:topLinePunct/>
                    <w:jc w:val="center"/>
                    <w:rPr>
                      <w:color w:val="auto"/>
                      <w:highlight w:val="none"/>
                    </w:rPr>
                  </w:pPr>
                  <w:r>
                    <w:rPr>
                      <w:color w:val="auto"/>
                      <w:highlight w:val="none"/>
                    </w:rPr>
                    <w:t>难</w:t>
                  </w:r>
                </w:p>
              </w:tc>
              <w:tc>
                <w:tcPr>
                  <w:tcW w:w="995" w:type="pct"/>
                  <w:vMerge w:val="restart"/>
                  <w:vAlign w:val="center"/>
                </w:tcPr>
                <w:p w14:paraId="2FC9174B">
                  <w:pPr>
                    <w:widowControl/>
                    <w:suppressAutoHyphens/>
                    <w:topLinePunct/>
                    <w:jc w:val="center"/>
                    <w:rPr>
                      <w:color w:val="auto"/>
                      <w:highlight w:val="none"/>
                    </w:rPr>
                  </w:pPr>
                  <w:r>
                    <w:rPr>
                      <w:color w:val="auto"/>
                      <w:highlight w:val="none"/>
                    </w:rPr>
                    <w:t>重金属、持久性有机污染物</w:t>
                  </w:r>
                </w:p>
              </w:tc>
              <w:tc>
                <w:tcPr>
                  <w:tcW w:w="1705" w:type="pct"/>
                  <w:vMerge w:val="restart"/>
                  <w:vAlign w:val="center"/>
                </w:tcPr>
                <w:p w14:paraId="27860673">
                  <w:pPr>
                    <w:widowControl/>
                    <w:suppressAutoHyphens/>
                    <w:topLinePunct/>
                    <w:jc w:val="center"/>
                    <w:rPr>
                      <w:color w:val="auto"/>
                      <w:highlight w:val="none"/>
                    </w:rPr>
                  </w:pPr>
                  <w:r>
                    <w:rPr>
                      <w:color w:val="auto"/>
                      <w:highlight w:val="none"/>
                    </w:rPr>
                    <w:t>等效黏土防渗层Mb≥6.0m，K≤1×10</w:t>
                  </w:r>
                  <w:r>
                    <w:rPr>
                      <w:color w:val="auto"/>
                      <w:highlight w:val="none"/>
                      <w:vertAlign w:val="superscript"/>
                    </w:rPr>
                    <w:t>-7</w:t>
                  </w:r>
                  <w:r>
                    <w:rPr>
                      <w:color w:val="auto"/>
                      <w:highlight w:val="none"/>
                    </w:rPr>
                    <w:t>cm/s；或参照GB18598执行</w:t>
                  </w:r>
                </w:p>
              </w:tc>
            </w:tr>
            <w:tr w14:paraId="5A00DF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86" w:type="pct"/>
                  <w:vMerge w:val="continue"/>
                  <w:vAlign w:val="center"/>
                </w:tcPr>
                <w:p w14:paraId="6DC75988">
                  <w:pPr>
                    <w:widowControl/>
                    <w:suppressAutoHyphens/>
                    <w:topLinePunct/>
                    <w:jc w:val="center"/>
                    <w:rPr>
                      <w:color w:val="auto"/>
                      <w:highlight w:val="none"/>
                    </w:rPr>
                  </w:pPr>
                </w:p>
              </w:tc>
              <w:tc>
                <w:tcPr>
                  <w:tcW w:w="773" w:type="pct"/>
                  <w:vAlign w:val="center"/>
                </w:tcPr>
                <w:p w14:paraId="488EA0B2">
                  <w:pPr>
                    <w:widowControl/>
                    <w:suppressAutoHyphens/>
                    <w:topLinePunct/>
                    <w:jc w:val="center"/>
                    <w:rPr>
                      <w:color w:val="auto"/>
                      <w:highlight w:val="none"/>
                    </w:rPr>
                  </w:pPr>
                  <w:r>
                    <w:rPr>
                      <w:color w:val="auto"/>
                      <w:highlight w:val="none"/>
                    </w:rPr>
                    <w:t>中-强</w:t>
                  </w:r>
                </w:p>
              </w:tc>
              <w:tc>
                <w:tcPr>
                  <w:tcW w:w="641" w:type="pct"/>
                  <w:vAlign w:val="center"/>
                </w:tcPr>
                <w:p w14:paraId="2D1390CE">
                  <w:pPr>
                    <w:widowControl/>
                    <w:suppressAutoHyphens/>
                    <w:topLinePunct/>
                    <w:jc w:val="center"/>
                    <w:rPr>
                      <w:color w:val="auto"/>
                      <w:highlight w:val="none"/>
                    </w:rPr>
                  </w:pPr>
                  <w:r>
                    <w:rPr>
                      <w:color w:val="auto"/>
                      <w:highlight w:val="none"/>
                    </w:rPr>
                    <w:t>难</w:t>
                  </w:r>
                </w:p>
              </w:tc>
              <w:tc>
                <w:tcPr>
                  <w:tcW w:w="995" w:type="pct"/>
                  <w:vMerge w:val="continue"/>
                  <w:vAlign w:val="center"/>
                </w:tcPr>
                <w:p w14:paraId="55B4B2CE">
                  <w:pPr>
                    <w:widowControl/>
                    <w:suppressAutoHyphens/>
                    <w:topLinePunct/>
                    <w:jc w:val="center"/>
                    <w:rPr>
                      <w:color w:val="auto"/>
                      <w:highlight w:val="none"/>
                    </w:rPr>
                  </w:pPr>
                </w:p>
              </w:tc>
              <w:tc>
                <w:tcPr>
                  <w:tcW w:w="1705" w:type="pct"/>
                  <w:vMerge w:val="continue"/>
                  <w:vAlign w:val="center"/>
                </w:tcPr>
                <w:p w14:paraId="5861FF31">
                  <w:pPr>
                    <w:widowControl/>
                    <w:suppressAutoHyphens/>
                    <w:topLinePunct/>
                    <w:jc w:val="center"/>
                    <w:rPr>
                      <w:color w:val="auto"/>
                      <w:highlight w:val="none"/>
                    </w:rPr>
                  </w:pPr>
                </w:p>
              </w:tc>
            </w:tr>
            <w:tr w14:paraId="5160D4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86" w:type="pct"/>
                  <w:vMerge w:val="continue"/>
                  <w:vAlign w:val="center"/>
                </w:tcPr>
                <w:p w14:paraId="0CEC95AB">
                  <w:pPr>
                    <w:widowControl/>
                    <w:suppressAutoHyphens/>
                    <w:topLinePunct/>
                    <w:jc w:val="center"/>
                    <w:rPr>
                      <w:color w:val="auto"/>
                      <w:highlight w:val="none"/>
                    </w:rPr>
                  </w:pPr>
                </w:p>
              </w:tc>
              <w:tc>
                <w:tcPr>
                  <w:tcW w:w="773" w:type="pct"/>
                  <w:vAlign w:val="center"/>
                </w:tcPr>
                <w:p w14:paraId="3979E966">
                  <w:pPr>
                    <w:widowControl/>
                    <w:suppressAutoHyphens/>
                    <w:topLinePunct/>
                    <w:jc w:val="center"/>
                    <w:rPr>
                      <w:color w:val="auto"/>
                      <w:highlight w:val="none"/>
                    </w:rPr>
                  </w:pPr>
                  <w:r>
                    <w:rPr>
                      <w:color w:val="auto"/>
                      <w:highlight w:val="none"/>
                    </w:rPr>
                    <w:t>弱</w:t>
                  </w:r>
                </w:p>
              </w:tc>
              <w:tc>
                <w:tcPr>
                  <w:tcW w:w="641" w:type="pct"/>
                  <w:vAlign w:val="center"/>
                </w:tcPr>
                <w:p w14:paraId="5AD1E30E">
                  <w:pPr>
                    <w:widowControl/>
                    <w:suppressAutoHyphens/>
                    <w:topLinePunct/>
                    <w:jc w:val="center"/>
                    <w:rPr>
                      <w:color w:val="auto"/>
                      <w:highlight w:val="none"/>
                    </w:rPr>
                  </w:pPr>
                  <w:r>
                    <w:rPr>
                      <w:color w:val="auto"/>
                      <w:highlight w:val="none"/>
                    </w:rPr>
                    <w:t>易</w:t>
                  </w:r>
                </w:p>
              </w:tc>
              <w:tc>
                <w:tcPr>
                  <w:tcW w:w="995" w:type="pct"/>
                  <w:vMerge w:val="continue"/>
                  <w:vAlign w:val="center"/>
                </w:tcPr>
                <w:p w14:paraId="43083007">
                  <w:pPr>
                    <w:widowControl/>
                    <w:suppressAutoHyphens/>
                    <w:topLinePunct/>
                    <w:jc w:val="center"/>
                    <w:rPr>
                      <w:color w:val="auto"/>
                      <w:highlight w:val="none"/>
                    </w:rPr>
                  </w:pPr>
                </w:p>
              </w:tc>
              <w:tc>
                <w:tcPr>
                  <w:tcW w:w="1705" w:type="pct"/>
                  <w:vMerge w:val="continue"/>
                  <w:vAlign w:val="center"/>
                </w:tcPr>
                <w:p w14:paraId="33C5B92B">
                  <w:pPr>
                    <w:widowControl/>
                    <w:suppressAutoHyphens/>
                    <w:topLinePunct/>
                    <w:jc w:val="center"/>
                    <w:rPr>
                      <w:color w:val="auto"/>
                      <w:highlight w:val="none"/>
                    </w:rPr>
                  </w:pPr>
                </w:p>
              </w:tc>
            </w:tr>
            <w:tr w14:paraId="094B392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454" w:hRule="atLeast"/>
                <w:jc w:val="center"/>
              </w:trPr>
              <w:tc>
                <w:tcPr>
                  <w:tcW w:w="886" w:type="pct"/>
                  <w:vMerge w:val="restart"/>
                  <w:vAlign w:val="center"/>
                </w:tcPr>
                <w:p w14:paraId="0CB2883C">
                  <w:pPr>
                    <w:widowControl/>
                    <w:suppressAutoHyphens/>
                    <w:topLinePunct/>
                    <w:jc w:val="center"/>
                    <w:rPr>
                      <w:color w:val="auto"/>
                      <w:highlight w:val="none"/>
                    </w:rPr>
                  </w:pPr>
                  <w:r>
                    <w:rPr>
                      <w:color w:val="auto"/>
                      <w:highlight w:val="none"/>
                    </w:rPr>
                    <w:t>一般防渗区</w:t>
                  </w:r>
                </w:p>
              </w:tc>
              <w:tc>
                <w:tcPr>
                  <w:tcW w:w="773" w:type="pct"/>
                  <w:vAlign w:val="center"/>
                </w:tcPr>
                <w:p w14:paraId="2A1CC68E">
                  <w:pPr>
                    <w:widowControl/>
                    <w:suppressAutoHyphens/>
                    <w:topLinePunct/>
                    <w:jc w:val="center"/>
                    <w:rPr>
                      <w:color w:val="auto"/>
                      <w:highlight w:val="none"/>
                    </w:rPr>
                  </w:pPr>
                  <w:r>
                    <w:rPr>
                      <w:color w:val="auto"/>
                      <w:highlight w:val="none"/>
                    </w:rPr>
                    <w:t>弱</w:t>
                  </w:r>
                </w:p>
              </w:tc>
              <w:tc>
                <w:tcPr>
                  <w:tcW w:w="641" w:type="pct"/>
                  <w:vAlign w:val="center"/>
                </w:tcPr>
                <w:p w14:paraId="1AEF1B59">
                  <w:pPr>
                    <w:widowControl/>
                    <w:suppressAutoHyphens/>
                    <w:topLinePunct/>
                    <w:jc w:val="center"/>
                    <w:rPr>
                      <w:color w:val="auto"/>
                      <w:highlight w:val="none"/>
                    </w:rPr>
                  </w:pPr>
                  <w:r>
                    <w:rPr>
                      <w:color w:val="auto"/>
                      <w:highlight w:val="none"/>
                    </w:rPr>
                    <w:t>易-难</w:t>
                  </w:r>
                </w:p>
              </w:tc>
              <w:tc>
                <w:tcPr>
                  <w:tcW w:w="995" w:type="pct"/>
                  <w:vMerge w:val="restart"/>
                  <w:vAlign w:val="center"/>
                </w:tcPr>
                <w:p w14:paraId="416AF340">
                  <w:pPr>
                    <w:widowControl/>
                    <w:suppressAutoHyphens/>
                    <w:topLinePunct/>
                    <w:jc w:val="center"/>
                    <w:rPr>
                      <w:color w:val="auto"/>
                      <w:highlight w:val="none"/>
                    </w:rPr>
                  </w:pPr>
                  <w:r>
                    <w:rPr>
                      <w:color w:val="auto"/>
                      <w:highlight w:val="none"/>
                    </w:rPr>
                    <w:t>其他类型</w:t>
                  </w:r>
                </w:p>
              </w:tc>
              <w:tc>
                <w:tcPr>
                  <w:tcW w:w="1705" w:type="pct"/>
                  <w:vMerge w:val="restart"/>
                  <w:vAlign w:val="center"/>
                </w:tcPr>
                <w:p w14:paraId="3A699DE6">
                  <w:pPr>
                    <w:widowControl/>
                    <w:suppressAutoHyphens/>
                    <w:topLinePunct/>
                    <w:jc w:val="center"/>
                    <w:rPr>
                      <w:color w:val="auto"/>
                      <w:highlight w:val="none"/>
                    </w:rPr>
                  </w:pPr>
                  <w:r>
                    <w:rPr>
                      <w:color w:val="auto"/>
                      <w:highlight w:val="none"/>
                    </w:rPr>
                    <w:t>等效黏土防渗层Mb≥1.5m，K≤1×10</w:t>
                  </w:r>
                  <w:r>
                    <w:rPr>
                      <w:color w:val="auto"/>
                      <w:highlight w:val="none"/>
                      <w:vertAlign w:val="superscript"/>
                    </w:rPr>
                    <w:t>-7</w:t>
                  </w:r>
                  <w:r>
                    <w:rPr>
                      <w:color w:val="auto"/>
                      <w:highlight w:val="none"/>
                    </w:rPr>
                    <w:t>cm/s；或参照GB16889执行</w:t>
                  </w:r>
                </w:p>
              </w:tc>
            </w:tr>
            <w:tr w14:paraId="176277D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86" w:type="pct"/>
                  <w:vMerge w:val="continue"/>
                  <w:vAlign w:val="center"/>
                </w:tcPr>
                <w:p w14:paraId="03AD63BB">
                  <w:pPr>
                    <w:widowControl/>
                    <w:suppressAutoHyphens/>
                    <w:topLinePunct/>
                    <w:jc w:val="center"/>
                    <w:rPr>
                      <w:color w:val="auto"/>
                      <w:highlight w:val="none"/>
                    </w:rPr>
                  </w:pPr>
                </w:p>
              </w:tc>
              <w:tc>
                <w:tcPr>
                  <w:tcW w:w="773" w:type="pct"/>
                  <w:vAlign w:val="center"/>
                </w:tcPr>
                <w:p w14:paraId="0C56B9FD">
                  <w:pPr>
                    <w:widowControl/>
                    <w:suppressAutoHyphens/>
                    <w:topLinePunct/>
                    <w:jc w:val="center"/>
                    <w:rPr>
                      <w:color w:val="auto"/>
                      <w:highlight w:val="none"/>
                    </w:rPr>
                  </w:pPr>
                  <w:r>
                    <w:rPr>
                      <w:color w:val="auto"/>
                      <w:highlight w:val="none"/>
                    </w:rPr>
                    <w:t>中-强</w:t>
                  </w:r>
                </w:p>
              </w:tc>
              <w:tc>
                <w:tcPr>
                  <w:tcW w:w="641" w:type="pct"/>
                  <w:vAlign w:val="center"/>
                </w:tcPr>
                <w:p w14:paraId="57427DD1">
                  <w:pPr>
                    <w:widowControl/>
                    <w:suppressAutoHyphens/>
                    <w:topLinePunct/>
                    <w:jc w:val="center"/>
                    <w:rPr>
                      <w:color w:val="auto"/>
                      <w:highlight w:val="none"/>
                    </w:rPr>
                  </w:pPr>
                  <w:r>
                    <w:rPr>
                      <w:color w:val="auto"/>
                      <w:highlight w:val="none"/>
                    </w:rPr>
                    <w:t>难</w:t>
                  </w:r>
                </w:p>
              </w:tc>
              <w:tc>
                <w:tcPr>
                  <w:tcW w:w="995" w:type="pct"/>
                  <w:vMerge w:val="continue"/>
                  <w:vAlign w:val="center"/>
                </w:tcPr>
                <w:p w14:paraId="0622AD53">
                  <w:pPr>
                    <w:widowControl/>
                    <w:suppressAutoHyphens/>
                    <w:topLinePunct/>
                    <w:jc w:val="center"/>
                    <w:rPr>
                      <w:color w:val="auto"/>
                      <w:highlight w:val="none"/>
                    </w:rPr>
                  </w:pPr>
                </w:p>
              </w:tc>
              <w:tc>
                <w:tcPr>
                  <w:tcW w:w="1705" w:type="pct"/>
                  <w:vMerge w:val="continue"/>
                  <w:vAlign w:val="center"/>
                </w:tcPr>
                <w:p w14:paraId="4820365F">
                  <w:pPr>
                    <w:widowControl/>
                    <w:suppressAutoHyphens/>
                    <w:topLinePunct/>
                    <w:jc w:val="center"/>
                    <w:rPr>
                      <w:color w:val="auto"/>
                      <w:highlight w:val="none"/>
                    </w:rPr>
                  </w:pPr>
                </w:p>
              </w:tc>
            </w:tr>
            <w:tr w14:paraId="3BADCE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86" w:type="pct"/>
                  <w:vMerge w:val="continue"/>
                  <w:vAlign w:val="center"/>
                </w:tcPr>
                <w:p w14:paraId="2DE9C3CF">
                  <w:pPr>
                    <w:widowControl/>
                    <w:suppressAutoHyphens/>
                    <w:topLinePunct/>
                    <w:jc w:val="center"/>
                    <w:rPr>
                      <w:color w:val="auto"/>
                      <w:highlight w:val="none"/>
                    </w:rPr>
                  </w:pPr>
                </w:p>
              </w:tc>
              <w:tc>
                <w:tcPr>
                  <w:tcW w:w="773" w:type="pct"/>
                  <w:vAlign w:val="center"/>
                </w:tcPr>
                <w:p w14:paraId="09C88141">
                  <w:pPr>
                    <w:widowControl/>
                    <w:suppressAutoHyphens/>
                    <w:topLinePunct/>
                    <w:jc w:val="center"/>
                    <w:rPr>
                      <w:color w:val="auto"/>
                      <w:highlight w:val="none"/>
                    </w:rPr>
                  </w:pPr>
                  <w:r>
                    <w:rPr>
                      <w:color w:val="auto"/>
                      <w:highlight w:val="none"/>
                    </w:rPr>
                    <w:t>中</w:t>
                  </w:r>
                </w:p>
              </w:tc>
              <w:tc>
                <w:tcPr>
                  <w:tcW w:w="641" w:type="pct"/>
                  <w:vAlign w:val="center"/>
                </w:tcPr>
                <w:p w14:paraId="5105BFA0">
                  <w:pPr>
                    <w:widowControl/>
                    <w:suppressAutoHyphens/>
                    <w:topLinePunct/>
                    <w:jc w:val="center"/>
                    <w:rPr>
                      <w:color w:val="auto"/>
                      <w:highlight w:val="none"/>
                    </w:rPr>
                  </w:pPr>
                  <w:r>
                    <w:rPr>
                      <w:color w:val="auto"/>
                      <w:highlight w:val="none"/>
                    </w:rPr>
                    <w:t>易</w:t>
                  </w:r>
                </w:p>
              </w:tc>
              <w:tc>
                <w:tcPr>
                  <w:tcW w:w="995" w:type="pct"/>
                  <w:vMerge w:val="restart"/>
                  <w:vAlign w:val="center"/>
                </w:tcPr>
                <w:p w14:paraId="108EF032">
                  <w:pPr>
                    <w:widowControl/>
                    <w:suppressAutoHyphens/>
                    <w:topLinePunct/>
                    <w:jc w:val="center"/>
                    <w:rPr>
                      <w:color w:val="auto"/>
                      <w:highlight w:val="none"/>
                    </w:rPr>
                  </w:pPr>
                  <w:r>
                    <w:rPr>
                      <w:color w:val="auto"/>
                      <w:highlight w:val="none"/>
                    </w:rPr>
                    <w:t>重金属、持久性有机污染物</w:t>
                  </w:r>
                </w:p>
              </w:tc>
              <w:tc>
                <w:tcPr>
                  <w:tcW w:w="1705" w:type="pct"/>
                  <w:vMerge w:val="continue"/>
                  <w:vAlign w:val="center"/>
                </w:tcPr>
                <w:p w14:paraId="76AE451F">
                  <w:pPr>
                    <w:widowControl/>
                    <w:suppressAutoHyphens/>
                    <w:topLinePunct/>
                    <w:jc w:val="center"/>
                    <w:rPr>
                      <w:color w:val="auto"/>
                      <w:highlight w:val="none"/>
                    </w:rPr>
                  </w:pPr>
                </w:p>
              </w:tc>
            </w:tr>
            <w:tr w14:paraId="149B27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454" w:hRule="atLeast"/>
                <w:jc w:val="center"/>
              </w:trPr>
              <w:tc>
                <w:tcPr>
                  <w:tcW w:w="886" w:type="pct"/>
                  <w:vMerge w:val="continue"/>
                  <w:vAlign w:val="center"/>
                </w:tcPr>
                <w:p w14:paraId="5ACD49CA">
                  <w:pPr>
                    <w:widowControl/>
                    <w:suppressAutoHyphens/>
                    <w:topLinePunct/>
                    <w:jc w:val="center"/>
                    <w:rPr>
                      <w:color w:val="auto"/>
                      <w:highlight w:val="none"/>
                    </w:rPr>
                  </w:pPr>
                </w:p>
              </w:tc>
              <w:tc>
                <w:tcPr>
                  <w:tcW w:w="773" w:type="pct"/>
                  <w:vAlign w:val="center"/>
                </w:tcPr>
                <w:p w14:paraId="096EF08D">
                  <w:pPr>
                    <w:widowControl/>
                    <w:suppressAutoHyphens/>
                    <w:topLinePunct/>
                    <w:jc w:val="center"/>
                    <w:rPr>
                      <w:color w:val="auto"/>
                      <w:highlight w:val="none"/>
                    </w:rPr>
                  </w:pPr>
                  <w:r>
                    <w:rPr>
                      <w:color w:val="auto"/>
                      <w:highlight w:val="none"/>
                    </w:rPr>
                    <w:t>强</w:t>
                  </w:r>
                </w:p>
              </w:tc>
              <w:tc>
                <w:tcPr>
                  <w:tcW w:w="641" w:type="pct"/>
                  <w:vAlign w:val="center"/>
                </w:tcPr>
                <w:p w14:paraId="47B376FE">
                  <w:pPr>
                    <w:widowControl/>
                    <w:suppressAutoHyphens/>
                    <w:topLinePunct/>
                    <w:jc w:val="center"/>
                    <w:rPr>
                      <w:color w:val="auto"/>
                      <w:highlight w:val="none"/>
                    </w:rPr>
                  </w:pPr>
                  <w:r>
                    <w:rPr>
                      <w:color w:val="auto"/>
                      <w:highlight w:val="none"/>
                    </w:rPr>
                    <w:t>易</w:t>
                  </w:r>
                </w:p>
              </w:tc>
              <w:tc>
                <w:tcPr>
                  <w:tcW w:w="995" w:type="pct"/>
                  <w:vMerge w:val="continue"/>
                  <w:vAlign w:val="center"/>
                </w:tcPr>
                <w:p w14:paraId="1DE35F83">
                  <w:pPr>
                    <w:widowControl/>
                    <w:suppressAutoHyphens/>
                    <w:topLinePunct/>
                    <w:jc w:val="center"/>
                    <w:rPr>
                      <w:color w:val="auto"/>
                      <w:highlight w:val="none"/>
                    </w:rPr>
                  </w:pPr>
                </w:p>
              </w:tc>
              <w:tc>
                <w:tcPr>
                  <w:tcW w:w="1705" w:type="pct"/>
                  <w:vMerge w:val="continue"/>
                  <w:vAlign w:val="center"/>
                </w:tcPr>
                <w:p w14:paraId="19CF5413">
                  <w:pPr>
                    <w:widowControl/>
                    <w:suppressAutoHyphens/>
                    <w:topLinePunct/>
                    <w:jc w:val="center"/>
                    <w:rPr>
                      <w:color w:val="auto"/>
                      <w:highlight w:val="none"/>
                    </w:rPr>
                  </w:pPr>
                </w:p>
              </w:tc>
            </w:tr>
            <w:tr w14:paraId="7B4772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454" w:hRule="atLeast"/>
                <w:jc w:val="center"/>
              </w:trPr>
              <w:tc>
                <w:tcPr>
                  <w:tcW w:w="886" w:type="pct"/>
                  <w:vAlign w:val="center"/>
                </w:tcPr>
                <w:p w14:paraId="5A0F2DC3">
                  <w:pPr>
                    <w:widowControl/>
                    <w:suppressAutoHyphens/>
                    <w:topLinePunct/>
                    <w:jc w:val="center"/>
                    <w:rPr>
                      <w:color w:val="auto"/>
                      <w:highlight w:val="none"/>
                    </w:rPr>
                  </w:pPr>
                  <w:r>
                    <w:rPr>
                      <w:color w:val="auto"/>
                      <w:highlight w:val="none"/>
                    </w:rPr>
                    <w:t>简单防渗区</w:t>
                  </w:r>
                </w:p>
              </w:tc>
              <w:tc>
                <w:tcPr>
                  <w:tcW w:w="773" w:type="pct"/>
                  <w:vAlign w:val="center"/>
                </w:tcPr>
                <w:p w14:paraId="2AB6A79F">
                  <w:pPr>
                    <w:widowControl/>
                    <w:suppressAutoHyphens/>
                    <w:topLinePunct/>
                    <w:jc w:val="center"/>
                    <w:rPr>
                      <w:color w:val="auto"/>
                      <w:highlight w:val="none"/>
                    </w:rPr>
                  </w:pPr>
                  <w:r>
                    <w:rPr>
                      <w:color w:val="auto"/>
                      <w:highlight w:val="none"/>
                    </w:rPr>
                    <w:t>中-强</w:t>
                  </w:r>
                </w:p>
              </w:tc>
              <w:tc>
                <w:tcPr>
                  <w:tcW w:w="641" w:type="pct"/>
                  <w:vAlign w:val="center"/>
                </w:tcPr>
                <w:p w14:paraId="2AB7A71F">
                  <w:pPr>
                    <w:widowControl/>
                    <w:suppressAutoHyphens/>
                    <w:topLinePunct/>
                    <w:jc w:val="center"/>
                    <w:rPr>
                      <w:color w:val="auto"/>
                      <w:highlight w:val="none"/>
                    </w:rPr>
                  </w:pPr>
                  <w:r>
                    <w:rPr>
                      <w:color w:val="auto"/>
                      <w:highlight w:val="none"/>
                    </w:rPr>
                    <w:t>易</w:t>
                  </w:r>
                </w:p>
              </w:tc>
              <w:tc>
                <w:tcPr>
                  <w:tcW w:w="995" w:type="pct"/>
                  <w:vAlign w:val="center"/>
                </w:tcPr>
                <w:p w14:paraId="1ACEB0DC">
                  <w:pPr>
                    <w:widowControl/>
                    <w:suppressAutoHyphens/>
                    <w:topLinePunct/>
                    <w:jc w:val="center"/>
                    <w:rPr>
                      <w:color w:val="auto"/>
                      <w:highlight w:val="none"/>
                    </w:rPr>
                  </w:pPr>
                  <w:r>
                    <w:rPr>
                      <w:color w:val="auto"/>
                      <w:highlight w:val="none"/>
                    </w:rPr>
                    <w:t>其他类型</w:t>
                  </w:r>
                </w:p>
              </w:tc>
              <w:tc>
                <w:tcPr>
                  <w:tcW w:w="1705" w:type="pct"/>
                  <w:vAlign w:val="center"/>
                </w:tcPr>
                <w:p w14:paraId="2BC56D37">
                  <w:pPr>
                    <w:widowControl/>
                    <w:suppressAutoHyphens/>
                    <w:topLinePunct/>
                    <w:jc w:val="center"/>
                    <w:rPr>
                      <w:color w:val="auto"/>
                      <w:highlight w:val="none"/>
                    </w:rPr>
                  </w:pPr>
                  <w:r>
                    <w:rPr>
                      <w:color w:val="auto"/>
                      <w:highlight w:val="none"/>
                    </w:rPr>
                    <w:t>一般地面硬化</w:t>
                  </w:r>
                </w:p>
              </w:tc>
            </w:tr>
          </w:tbl>
          <w:p w14:paraId="4E91BA50">
            <w:pPr>
              <w:widowControl/>
              <w:suppressAutoHyphens/>
              <w:topLinePunct/>
              <w:spacing w:line="520" w:lineRule="exact"/>
              <w:ind w:firstLine="480" w:firstLineChars="200"/>
              <w:rPr>
                <w:color w:val="auto"/>
                <w:sz w:val="24"/>
                <w:highlight w:val="none"/>
              </w:rPr>
            </w:pPr>
            <w:r>
              <w:rPr>
                <w:rFonts w:hint="eastAsia" w:ascii="Times New Roman" w:hAnsi="Times New Roman" w:eastAsia="宋体" w:cs="Times New Roman"/>
                <w:color w:val="auto"/>
                <w:kern w:val="0"/>
                <w:sz w:val="24"/>
                <w:szCs w:val="24"/>
                <w:lang w:val="en-US" w:eastAsia="zh-CN" w:bidi="ar"/>
              </w:rPr>
              <w:t>危废</w:t>
            </w:r>
            <w:r>
              <w:rPr>
                <w:rFonts w:hint="eastAsia" w:ascii="Times New Roman" w:hAnsi="Times New Roman" w:cs="Times New Roman"/>
                <w:color w:val="auto"/>
                <w:kern w:val="0"/>
                <w:sz w:val="24"/>
                <w:szCs w:val="24"/>
                <w:lang w:val="en-US" w:eastAsia="zh-CN" w:bidi="ar"/>
              </w:rPr>
              <w:t>贮存库</w:t>
            </w:r>
            <w:r>
              <w:rPr>
                <w:rFonts w:hint="eastAsia"/>
                <w:color w:val="auto"/>
                <w:sz w:val="24"/>
                <w:highlight w:val="none"/>
              </w:rPr>
              <w:t>设为重点防渗区；</w:t>
            </w:r>
            <w:r>
              <w:rPr>
                <w:rFonts w:hint="eastAsia"/>
                <w:snapToGrid w:val="0"/>
                <w:color w:val="auto"/>
                <w:kern w:val="0"/>
                <w:sz w:val="24"/>
                <w:highlight w:val="none"/>
              </w:rPr>
              <w:t>生产车间</w:t>
            </w:r>
            <w:r>
              <w:rPr>
                <w:color w:val="auto"/>
                <w:sz w:val="24"/>
                <w:highlight w:val="none"/>
              </w:rPr>
              <w:t>设为</w:t>
            </w:r>
            <w:r>
              <w:rPr>
                <w:rFonts w:hint="eastAsia"/>
                <w:color w:val="auto"/>
                <w:sz w:val="24"/>
                <w:highlight w:val="none"/>
              </w:rPr>
              <w:t>一般</w:t>
            </w:r>
            <w:r>
              <w:rPr>
                <w:color w:val="auto"/>
                <w:sz w:val="24"/>
                <w:highlight w:val="none"/>
              </w:rPr>
              <w:t>防渗区</w:t>
            </w:r>
            <w:r>
              <w:rPr>
                <w:rFonts w:hint="eastAsia"/>
                <w:color w:val="auto"/>
                <w:sz w:val="24"/>
                <w:highlight w:val="none"/>
              </w:rPr>
              <w:t>；道路</w:t>
            </w:r>
            <w:r>
              <w:rPr>
                <w:rFonts w:hint="eastAsia"/>
                <w:color w:val="auto"/>
                <w:sz w:val="24"/>
                <w:highlight w:val="none"/>
                <w:lang w:eastAsia="zh-CN"/>
              </w:rPr>
              <w:t>等</w:t>
            </w:r>
            <w:r>
              <w:rPr>
                <w:color w:val="auto"/>
                <w:sz w:val="24"/>
                <w:highlight w:val="none"/>
              </w:rPr>
              <w:t>设为简单防渗区</w:t>
            </w:r>
            <w:r>
              <w:rPr>
                <w:rFonts w:hint="eastAsia"/>
                <w:color w:val="auto"/>
                <w:sz w:val="24"/>
                <w:highlight w:val="none"/>
              </w:rPr>
              <w:t>。</w:t>
            </w:r>
            <w:r>
              <w:rPr>
                <w:color w:val="auto"/>
                <w:sz w:val="24"/>
                <w:highlight w:val="none"/>
              </w:rPr>
              <w:t>并且结合厂区实际，本工程防渗工程设计标准及维护需满足下列要求：</w:t>
            </w:r>
          </w:p>
          <w:p w14:paraId="477F4BFB">
            <w:pPr>
              <w:widowControl/>
              <w:suppressAutoHyphens/>
              <w:topLinePunct/>
              <w:spacing w:line="520" w:lineRule="exact"/>
              <w:ind w:firstLine="480" w:firstLineChars="200"/>
              <w:rPr>
                <w:color w:val="auto"/>
                <w:sz w:val="24"/>
                <w:highlight w:val="none"/>
              </w:rPr>
            </w:pPr>
            <w:r>
              <w:rPr>
                <w:rFonts w:hint="eastAsia" w:ascii="宋体" w:hAnsi="宋体" w:cs="宋体"/>
                <w:color w:val="auto"/>
                <w:sz w:val="24"/>
                <w:highlight w:val="none"/>
              </w:rPr>
              <w:t>①</w:t>
            </w:r>
            <w:r>
              <w:rPr>
                <w:color w:val="auto"/>
                <w:sz w:val="24"/>
                <w:highlight w:val="none"/>
              </w:rPr>
              <w:t>各单元防渗工程的设计使用年限不低于相对应设备、管道或建筑物的设计使用年限。</w:t>
            </w:r>
          </w:p>
          <w:p w14:paraId="0270EF5A">
            <w:pPr>
              <w:widowControl/>
              <w:suppressAutoHyphens/>
              <w:topLinePunct/>
              <w:spacing w:line="520" w:lineRule="exact"/>
              <w:ind w:firstLine="480" w:firstLineChars="200"/>
              <w:rPr>
                <w:color w:val="auto"/>
                <w:sz w:val="24"/>
                <w:highlight w:val="none"/>
              </w:rPr>
            </w:pPr>
            <w:r>
              <w:rPr>
                <w:rFonts w:hint="eastAsia" w:hAnsi="宋体"/>
                <w:color w:val="auto"/>
                <w:sz w:val="24"/>
                <w:highlight w:val="none"/>
              </w:rPr>
              <w:t>②</w:t>
            </w:r>
            <w:r>
              <w:rPr>
                <w:rFonts w:hAnsi="宋体"/>
                <w:color w:val="auto"/>
                <w:sz w:val="24"/>
                <w:highlight w:val="none"/>
              </w:rPr>
              <w:t>重点防渗区域敷设防渗层</w:t>
            </w:r>
            <w:r>
              <w:rPr>
                <w:color w:val="auto"/>
                <w:sz w:val="24"/>
                <w:highlight w:val="none"/>
              </w:rPr>
              <w:t>Mb≥6.0m</w:t>
            </w:r>
            <w:r>
              <w:rPr>
                <w:rFonts w:hAnsi="宋体"/>
                <w:color w:val="auto"/>
                <w:sz w:val="24"/>
                <w:highlight w:val="none"/>
              </w:rPr>
              <w:t>，防渗系数</w:t>
            </w:r>
            <w:r>
              <w:rPr>
                <w:color w:val="auto"/>
                <w:sz w:val="24"/>
                <w:highlight w:val="none"/>
              </w:rPr>
              <w:t>K≤1×10</w:t>
            </w:r>
            <w:r>
              <w:rPr>
                <w:color w:val="auto"/>
                <w:sz w:val="24"/>
                <w:highlight w:val="none"/>
                <w:vertAlign w:val="superscript"/>
              </w:rPr>
              <w:t>-7</w:t>
            </w:r>
            <w:r>
              <w:rPr>
                <w:color w:val="auto"/>
                <w:sz w:val="24"/>
                <w:highlight w:val="none"/>
              </w:rPr>
              <w:t>cm/s</w:t>
            </w:r>
            <w:r>
              <w:rPr>
                <w:rFonts w:hint="eastAsia" w:hAnsi="宋体"/>
                <w:color w:val="auto"/>
                <w:sz w:val="24"/>
                <w:highlight w:val="none"/>
              </w:rPr>
              <w:t>。</w:t>
            </w:r>
          </w:p>
          <w:p w14:paraId="353E38B8">
            <w:pPr>
              <w:widowControl/>
              <w:suppressAutoHyphens/>
              <w:topLinePunct/>
              <w:spacing w:line="520" w:lineRule="exact"/>
              <w:ind w:firstLine="480" w:firstLineChars="200"/>
              <w:rPr>
                <w:color w:val="auto"/>
                <w:sz w:val="24"/>
                <w:highlight w:val="none"/>
              </w:rPr>
            </w:pPr>
            <w:r>
              <w:rPr>
                <w:rFonts w:hint="eastAsia" w:ascii="宋体" w:hAnsi="宋体" w:cs="宋体"/>
                <w:color w:val="auto"/>
                <w:sz w:val="24"/>
                <w:highlight w:val="none"/>
              </w:rPr>
              <w:t>③</w:t>
            </w:r>
            <w:r>
              <w:rPr>
                <w:color w:val="auto"/>
                <w:sz w:val="24"/>
                <w:highlight w:val="none"/>
              </w:rPr>
              <w:t>一般防渗区的防渗性能应与1.5m厚黏土层（渗透系数≤1×10</w:t>
            </w:r>
            <w:r>
              <w:rPr>
                <w:color w:val="auto"/>
                <w:sz w:val="24"/>
                <w:highlight w:val="none"/>
                <w:vertAlign w:val="superscript"/>
              </w:rPr>
              <w:t>-7</w:t>
            </w:r>
            <w:r>
              <w:rPr>
                <w:color w:val="auto"/>
                <w:sz w:val="24"/>
                <w:highlight w:val="none"/>
              </w:rPr>
              <w:t>cm/s）等效。</w:t>
            </w:r>
          </w:p>
          <w:p w14:paraId="04AF5A58">
            <w:pPr>
              <w:widowControl/>
              <w:suppressAutoHyphens/>
              <w:topLinePunct/>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④简单防渗区采取一般硬化即可。</w:t>
            </w:r>
          </w:p>
          <w:p w14:paraId="516C527D">
            <w:pPr>
              <w:widowControl/>
              <w:suppressAutoHyphens/>
              <w:topLinePunct/>
              <w:spacing w:line="520" w:lineRule="exact"/>
              <w:ind w:firstLine="480" w:firstLineChars="200"/>
              <w:rPr>
                <w:color w:val="auto"/>
                <w:sz w:val="24"/>
                <w:highlight w:val="none"/>
              </w:rPr>
            </w:pPr>
            <w:r>
              <w:rPr>
                <w:rFonts w:hint="eastAsia" w:ascii="宋体" w:hAnsi="宋体" w:cs="宋体"/>
                <w:color w:val="auto"/>
                <w:sz w:val="24"/>
                <w:highlight w:val="none"/>
              </w:rPr>
              <w:t>⑤</w:t>
            </w:r>
            <w:r>
              <w:rPr>
                <w:color w:val="auto"/>
                <w:sz w:val="24"/>
                <w:highlight w:val="none"/>
              </w:rPr>
              <w:t>地面防渗方案可采用黏土防渗、混凝土防渗，防渗性能满足</w:t>
            </w:r>
            <w:r>
              <w:rPr>
                <w:rFonts w:hint="eastAsia" w:ascii="宋体" w:hAnsi="宋体" w:cs="宋体"/>
                <w:color w:val="auto"/>
                <w:sz w:val="24"/>
                <w:highlight w:val="none"/>
              </w:rPr>
              <w:t>②</w:t>
            </w:r>
            <w:r>
              <w:rPr>
                <w:color w:val="auto"/>
                <w:sz w:val="24"/>
                <w:highlight w:val="none"/>
              </w:rPr>
              <w:t>、</w:t>
            </w:r>
            <w:r>
              <w:rPr>
                <w:rFonts w:hint="eastAsia" w:ascii="宋体" w:hAnsi="宋体" w:cs="宋体"/>
                <w:color w:val="auto"/>
                <w:sz w:val="24"/>
                <w:highlight w:val="none"/>
              </w:rPr>
              <w:t>③、④</w:t>
            </w:r>
            <w:r>
              <w:rPr>
                <w:color w:val="auto"/>
                <w:sz w:val="24"/>
                <w:highlight w:val="none"/>
              </w:rPr>
              <w:t>要求。</w:t>
            </w:r>
          </w:p>
          <w:p w14:paraId="262C8819">
            <w:pPr>
              <w:widowControl/>
              <w:suppressAutoHyphens/>
              <w:topLinePunct/>
              <w:spacing w:line="520" w:lineRule="exact"/>
              <w:ind w:firstLine="480" w:firstLineChars="200"/>
              <w:rPr>
                <w:color w:val="auto"/>
                <w:sz w:val="24"/>
                <w:highlight w:val="none"/>
              </w:rPr>
            </w:pPr>
            <w:r>
              <w:rPr>
                <w:rFonts w:hint="eastAsia" w:ascii="宋体" w:hAnsi="宋体" w:cs="宋体"/>
                <w:color w:val="auto"/>
                <w:sz w:val="24"/>
                <w:highlight w:val="none"/>
              </w:rPr>
              <w:t>⑥</w:t>
            </w:r>
            <w:r>
              <w:rPr>
                <w:color w:val="auto"/>
                <w:sz w:val="24"/>
                <w:highlight w:val="none"/>
              </w:rPr>
              <w:t>加强厂区防渗设施的检查、维修力度，确保防渗措施。</w:t>
            </w:r>
          </w:p>
          <w:p w14:paraId="15CD4D62">
            <w:pPr>
              <w:spacing w:line="480" w:lineRule="exact"/>
              <w:ind w:firstLine="480" w:firstLineChars="200"/>
              <w:rPr>
                <w:rFonts w:eastAsiaTheme="minorEastAsia"/>
                <w:color w:val="auto"/>
                <w:kern w:val="0"/>
                <w:sz w:val="24"/>
                <w:highlight w:val="none"/>
              </w:rPr>
            </w:pPr>
            <w:r>
              <w:rPr>
                <w:color w:val="auto"/>
                <w:sz w:val="24"/>
                <w:highlight w:val="none"/>
              </w:rPr>
              <w:t>综上，本项目在采取完善的防渗措施后，可有效阻止污染物下渗，对地下水及土壤环境影响程度较小。</w:t>
            </w:r>
            <w:r>
              <w:rPr>
                <w:rFonts w:hAnsiTheme="minorEastAsia" w:eastAsiaTheme="minorEastAsia"/>
                <w:color w:val="auto"/>
                <w:kern w:val="0"/>
                <w:sz w:val="24"/>
                <w:highlight w:val="none"/>
              </w:rPr>
              <w:t>依据《建设项目环境影响报告表编制技术指南（污染影响类）（试行）》：原则上不开展环境质量现状调查。建设项目存在土壤、地下水环境污染途径的，应结合污染源、保护目标分布情况开展现状调查以留作背景值。</w:t>
            </w:r>
          </w:p>
          <w:p w14:paraId="67A7F6D8">
            <w:pPr>
              <w:spacing w:line="520" w:lineRule="exact"/>
              <w:ind w:firstLine="480" w:firstLineChars="200"/>
              <w:rPr>
                <w:rFonts w:hint="eastAsia" w:eastAsia="宋体"/>
                <w:color w:val="auto"/>
                <w:sz w:val="24"/>
                <w:highlight w:val="none"/>
                <w:lang w:eastAsia="zh-CN"/>
              </w:rPr>
            </w:pPr>
            <w:r>
              <w:rPr>
                <w:rFonts w:hAnsiTheme="minorEastAsia" w:eastAsiaTheme="minorEastAsia"/>
                <w:color w:val="auto"/>
                <w:kern w:val="0"/>
                <w:sz w:val="24"/>
                <w:highlight w:val="none"/>
              </w:rPr>
              <w:t>本项目用地范围全部按照要求进行</w:t>
            </w:r>
            <w:r>
              <w:rPr>
                <w:rFonts w:hint="eastAsia" w:hAnsiTheme="minorEastAsia" w:eastAsiaTheme="minorEastAsia"/>
                <w:color w:val="auto"/>
                <w:kern w:val="0"/>
                <w:sz w:val="24"/>
                <w:highlight w:val="none"/>
              </w:rPr>
              <w:t>分区</w:t>
            </w:r>
            <w:r>
              <w:rPr>
                <w:rFonts w:hAnsiTheme="minorEastAsia" w:eastAsiaTheme="minorEastAsia"/>
                <w:color w:val="auto"/>
                <w:kern w:val="0"/>
                <w:sz w:val="24"/>
                <w:highlight w:val="none"/>
              </w:rPr>
              <w:t>防渗，正常情况下不会污染土壤、地下水。因此，不进行土壤、地下水环境质量现状监测</w:t>
            </w:r>
            <w:r>
              <w:rPr>
                <w:rFonts w:hint="eastAsia"/>
                <w:lang w:eastAsia="zh-CN"/>
              </w:rPr>
              <w:t>，</w:t>
            </w:r>
          </w:p>
          <w:p w14:paraId="32358FAF">
            <w:pPr>
              <w:pStyle w:val="116"/>
              <w:adjustRightInd/>
              <w:snapToGrid/>
              <w:spacing w:line="520" w:lineRule="exact"/>
              <w:ind w:firstLine="0" w:firstLineChars="0"/>
              <w:rPr>
                <w:rStyle w:val="39"/>
                <w:rFonts w:eastAsiaTheme="minorEastAsia"/>
                <w:b/>
                <w:bCs/>
                <w:snapToGrid w:val="0"/>
                <w:color w:val="auto"/>
                <w:kern w:val="0"/>
                <w:highlight w:val="none"/>
              </w:rPr>
            </w:pPr>
            <w:r>
              <w:rPr>
                <w:rStyle w:val="39"/>
                <w:rFonts w:eastAsiaTheme="minorEastAsia"/>
                <w:b/>
                <w:bCs/>
                <w:snapToGrid w:val="0"/>
                <w:color w:val="auto"/>
                <w:kern w:val="0"/>
                <w:highlight w:val="none"/>
              </w:rPr>
              <w:t>4</w:t>
            </w:r>
            <w:r>
              <w:rPr>
                <w:rStyle w:val="39"/>
                <w:rFonts w:hAnsiTheme="minorEastAsia" w:eastAsiaTheme="minorEastAsia"/>
                <w:b/>
                <w:bCs/>
                <w:snapToGrid w:val="0"/>
                <w:color w:val="auto"/>
                <w:kern w:val="0"/>
                <w:highlight w:val="none"/>
              </w:rPr>
              <w:t>、噪声源强及保护措施</w:t>
            </w:r>
          </w:p>
          <w:p w14:paraId="723CFCC6">
            <w:pPr>
              <w:overflowPunct w:val="0"/>
              <w:spacing w:line="520" w:lineRule="exact"/>
              <w:ind w:firstLine="480" w:firstLineChars="200"/>
              <w:rPr>
                <w:rFonts w:eastAsiaTheme="minorEastAsia"/>
                <w:color w:val="auto"/>
                <w:sz w:val="24"/>
                <w:highlight w:val="none"/>
              </w:rPr>
            </w:pPr>
            <w:r>
              <w:rPr>
                <w:rFonts w:hAnsiTheme="minorEastAsia" w:eastAsiaTheme="minorEastAsia"/>
                <w:color w:val="auto"/>
                <w:sz w:val="24"/>
                <w:highlight w:val="none"/>
              </w:rPr>
              <w:t>（</w:t>
            </w:r>
            <w:r>
              <w:rPr>
                <w:rFonts w:eastAsiaTheme="minorEastAsia"/>
                <w:color w:val="auto"/>
                <w:sz w:val="24"/>
                <w:highlight w:val="none"/>
              </w:rPr>
              <w:t>1</w:t>
            </w:r>
            <w:r>
              <w:rPr>
                <w:rFonts w:hAnsiTheme="minorEastAsia" w:eastAsiaTheme="minorEastAsia"/>
                <w:color w:val="auto"/>
                <w:sz w:val="24"/>
                <w:highlight w:val="none"/>
              </w:rPr>
              <w:t>）声源情况</w:t>
            </w:r>
          </w:p>
          <w:p w14:paraId="2087FFD8">
            <w:pPr>
              <w:overflowPunct w:val="0"/>
              <w:spacing w:line="520" w:lineRule="exact"/>
              <w:ind w:firstLine="480" w:firstLineChars="200"/>
              <w:rPr>
                <w:rFonts w:hint="default" w:eastAsia="宋体"/>
                <w:color w:val="auto"/>
                <w:sz w:val="24"/>
                <w:highlight w:val="none"/>
                <w:lang w:val="en-US" w:eastAsia="zh-CN"/>
              </w:rPr>
            </w:pPr>
            <w:r>
              <w:rPr>
                <w:rFonts w:hint="eastAsia" w:hAnsi="宋体"/>
                <w:color w:val="auto"/>
                <w:sz w:val="24"/>
                <w:highlight w:val="none"/>
              </w:rPr>
              <w:t>本项目噪声主要来源于拌料机、吹膜机、制袋机、空压机</w:t>
            </w:r>
            <w:r>
              <w:rPr>
                <w:rFonts w:hint="eastAsia" w:hAnsi="宋体"/>
                <w:color w:val="auto"/>
                <w:sz w:val="24"/>
                <w:highlight w:val="none"/>
                <w:lang w:eastAsia="zh-CN"/>
              </w:rPr>
              <w:t>、冷却塔、</w:t>
            </w:r>
            <w:r>
              <w:rPr>
                <w:rFonts w:hint="eastAsia" w:hAnsi="宋体"/>
                <w:color w:val="auto"/>
                <w:sz w:val="24"/>
                <w:highlight w:val="none"/>
                <w:lang w:val="en-US" w:eastAsia="zh-CN"/>
              </w:rPr>
              <w:t>干燥机</w:t>
            </w:r>
            <w:r>
              <w:rPr>
                <w:rFonts w:hint="eastAsia" w:hAnsi="宋体"/>
                <w:color w:val="auto"/>
                <w:sz w:val="24"/>
                <w:highlight w:val="none"/>
              </w:rPr>
              <w:t>及各种泵等运行时产生的设备噪声</w:t>
            </w:r>
            <w:r>
              <w:rPr>
                <w:rFonts w:hAnsi="宋体"/>
                <w:color w:val="auto"/>
                <w:sz w:val="24"/>
                <w:highlight w:val="none"/>
              </w:rPr>
              <w:t>，声源强度一般在</w:t>
            </w:r>
            <w:r>
              <w:rPr>
                <w:rFonts w:hint="eastAsia"/>
                <w:color w:val="auto"/>
                <w:sz w:val="24"/>
                <w:highlight w:val="none"/>
                <w:lang w:val="en-US" w:eastAsia="zh-CN"/>
              </w:rPr>
              <w:t>65</w:t>
            </w:r>
            <w:r>
              <w:rPr>
                <w:color w:val="auto"/>
                <w:sz w:val="24"/>
                <w:highlight w:val="none"/>
              </w:rPr>
              <w:t>~85dB(A</w:t>
            </w:r>
            <w:r>
              <w:rPr>
                <w:rFonts w:hint="eastAsia"/>
                <w:color w:val="auto"/>
                <w:sz w:val="24"/>
                <w:highlight w:val="none"/>
                <w:lang w:eastAsia="zh-CN"/>
              </w:rPr>
              <w:t>）</w:t>
            </w:r>
            <w:r>
              <w:rPr>
                <w:rFonts w:hAnsi="宋体"/>
                <w:color w:val="auto"/>
                <w:sz w:val="24"/>
                <w:highlight w:val="none"/>
              </w:rPr>
              <w:t>之间，多为间歇性噪声。主要噪声源强见表</w:t>
            </w:r>
            <w:r>
              <w:rPr>
                <w:rFonts w:hint="eastAsia" w:hAnsi="宋体"/>
                <w:color w:val="auto"/>
                <w:sz w:val="24"/>
                <w:highlight w:val="none"/>
                <w:lang w:val="en-US" w:eastAsia="zh-CN"/>
              </w:rPr>
              <w:t>4-12</w:t>
            </w:r>
            <w:r>
              <w:rPr>
                <w:rFonts w:hAnsi="宋体"/>
                <w:color w:val="auto"/>
                <w:sz w:val="24"/>
                <w:highlight w:val="none"/>
              </w:rPr>
              <w:t>。</w:t>
            </w:r>
          </w:p>
          <w:p w14:paraId="67B043D5">
            <w:pPr>
              <w:autoSpaceDE w:val="0"/>
              <w:autoSpaceDN w:val="0"/>
              <w:spacing w:line="500" w:lineRule="exact"/>
              <w:jc w:val="center"/>
              <w:textAlignment w:val="baseline"/>
              <w:rPr>
                <w:b/>
                <w:color w:val="auto"/>
                <w:szCs w:val="21"/>
                <w:highlight w:val="none"/>
              </w:rPr>
            </w:pPr>
            <w:r>
              <w:rPr>
                <w:rFonts w:hAnsi="宋体"/>
                <w:b/>
                <w:color w:val="auto"/>
                <w:szCs w:val="21"/>
                <w:highlight w:val="none"/>
              </w:rPr>
              <w:t>表</w:t>
            </w:r>
            <w:r>
              <w:rPr>
                <w:rFonts w:hint="eastAsia" w:hAnsi="宋体"/>
                <w:b/>
                <w:color w:val="auto"/>
                <w:szCs w:val="21"/>
                <w:highlight w:val="none"/>
                <w:lang w:val="en-US" w:eastAsia="zh-CN"/>
              </w:rPr>
              <w:t>4-12</w:t>
            </w:r>
            <w:r>
              <w:rPr>
                <w:rFonts w:hint="eastAsia" w:hAnsi="宋体"/>
                <w:b/>
                <w:color w:val="auto"/>
                <w:szCs w:val="21"/>
                <w:highlight w:val="none"/>
              </w:rPr>
              <w:t xml:space="preserve">           </w:t>
            </w:r>
            <w:r>
              <w:rPr>
                <w:rFonts w:hAnsi="宋体"/>
                <w:b/>
                <w:color w:val="auto"/>
                <w:szCs w:val="21"/>
                <w:highlight w:val="none"/>
              </w:rPr>
              <w:t>主要设备噪声源强单位：</w:t>
            </w:r>
            <w:r>
              <w:rPr>
                <w:b/>
                <w:color w:val="auto"/>
                <w:szCs w:val="21"/>
                <w:highlight w:val="none"/>
              </w:rPr>
              <w:t>dB(A)</w:t>
            </w:r>
          </w:p>
          <w:tbl>
            <w:tblPr>
              <w:tblStyle w:val="34"/>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2370"/>
              <w:gridCol w:w="1605"/>
              <w:gridCol w:w="990"/>
              <w:gridCol w:w="1635"/>
              <w:gridCol w:w="1029"/>
            </w:tblGrid>
            <w:tr w14:paraId="6C747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00" w:type="pct"/>
                  <w:noWrap/>
                  <w:vAlign w:val="center"/>
                </w:tcPr>
                <w:p w14:paraId="6C6A3443">
                  <w:pPr>
                    <w:pStyle w:val="33"/>
                    <w:spacing w:after="0"/>
                    <w:ind w:left="-42" w:leftChars="-20" w:right="-42" w:rightChars="-20" w:firstLine="0" w:firstLineChars="0"/>
                    <w:jc w:val="center"/>
                    <w:rPr>
                      <w:bCs/>
                      <w:color w:val="auto"/>
                      <w:szCs w:val="21"/>
                      <w:highlight w:val="none"/>
                    </w:rPr>
                  </w:pPr>
                  <w:r>
                    <w:rPr>
                      <w:rFonts w:hAnsi="宋体"/>
                      <w:bCs/>
                      <w:color w:val="auto"/>
                      <w:szCs w:val="21"/>
                      <w:highlight w:val="none"/>
                    </w:rPr>
                    <w:t>序号</w:t>
                  </w:r>
                </w:p>
              </w:tc>
              <w:tc>
                <w:tcPr>
                  <w:tcW w:w="1428" w:type="pct"/>
                  <w:noWrap/>
                  <w:vAlign w:val="center"/>
                </w:tcPr>
                <w:p w14:paraId="44BAEA40">
                  <w:pPr>
                    <w:pStyle w:val="33"/>
                    <w:spacing w:after="0"/>
                    <w:ind w:left="-42" w:leftChars="-20" w:right="-42" w:rightChars="-20" w:firstLine="0" w:firstLineChars="0"/>
                    <w:jc w:val="center"/>
                    <w:rPr>
                      <w:bCs/>
                      <w:color w:val="auto"/>
                      <w:szCs w:val="21"/>
                      <w:highlight w:val="none"/>
                    </w:rPr>
                  </w:pPr>
                  <w:r>
                    <w:rPr>
                      <w:rFonts w:hAnsi="宋体"/>
                      <w:bCs/>
                      <w:color w:val="auto"/>
                      <w:szCs w:val="21"/>
                      <w:highlight w:val="none"/>
                    </w:rPr>
                    <w:t>噪声源</w:t>
                  </w:r>
                </w:p>
              </w:tc>
              <w:tc>
                <w:tcPr>
                  <w:tcW w:w="967" w:type="pct"/>
                  <w:noWrap/>
                  <w:vAlign w:val="center"/>
                </w:tcPr>
                <w:p w14:paraId="60DC0BF9">
                  <w:pPr>
                    <w:pStyle w:val="33"/>
                    <w:spacing w:after="0"/>
                    <w:ind w:left="-42" w:leftChars="-20" w:right="-42" w:rightChars="-20" w:firstLine="0" w:firstLineChars="0"/>
                    <w:jc w:val="center"/>
                    <w:rPr>
                      <w:bCs/>
                      <w:color w:val="auto"/>
                      <w:szCs w:val="21"/>
                      <w:highlight w:val="none"/>
                    </w:rPr>
                  </w:pPr>
                  <w:r>
                    <w:rPr>
                      <w:rFonts w:hAnsi="宋体"/>
                      <w:bCs/>
                      <w:color w:val="auto"/>
                      <w:szCs w:val="21"/>
                      <w:highlight w:val="none"/>
                    </w:rPr>
                    <w:t>噪声级</w:t>
                  </w:r>
                  <w:r>
                    <w:rPr>
                      <w:bCs/>
                      <w:color w:val="auto"/>
                      <w:szCs w:val="21"/>
                      <w:highlight w:val="none"/>
                    </w:rPr>
                    <w:t>dB</w:t>
                  </w:r>
                  <w:r>
                    <w:rPr>
                      <w:rFonts w:hAnsi="宋体"/>
                      <w:bCs/>
                      <w:color w:val="auto"/>
                      <w:szCs w:val="21"/>
                      <w:highlight w:val="none"/>
                    </w:rPr>
                    <w:t>（</w:t>
                  </w:r>
                  <w:r>
                    <w:rPr>
                      <w:bCs/>
                      <w:color w:val="auto"/>
                      <w:szCs w:val="21"/>
                      <w:highlight w:val="none"/>
                    </w:rPr>
                    <w:t>A</w:t>
                  </w:r>
                  <w:r>
                    <w:rPr>
                      <w:rFonts w:hAnsi="宋体"/>
                      <w:bCs/>
                      <w:color w:val="auto"/>
                      <w:szCs w:val="21"/>
                      <w:highlight w:val="none"/>
                    </w:rPr>
                    <w:t>）</w:t>
                  </w:r>
                </w:p>
              </w:tc>
              <w:tc>
                <w:tcPr>
                  <w:tcW w:w="596" w:type="pct"/>
                  <w:noWrap/>
                  <w:vAlign w:val="center"/>
                </w:tcPr>
                <w:p w14:paraId="7FEDF9A6">
                  <w:pPr>
                    <w:pStyle w:val="33"/>
                    <w:spacing w:after="0"/>
                    <w:ind w:left="-42" w:leftChars="-20" w:right="-42" w:rightChars="-20" w:firstLine="0" w:firstLineChars="0"/>
                    <w:jc w:val="center"/>
                    <w:rPr>
                      <w:bCs/>
                      <w:color w:val="auto"/>
                      <w:szCs w:val="21"/>
                      <w:highlight w:val="none"/>
                    </w:rPr>
                  </w:pPr>
                  <w:r>
                    <w:rPr>
                      <w:rFonts w:hAnsi="宋体"/>
                      <w:bCs/>
                      <w:color w:val="auto"/>
                      <w:szCs w:val="21"/>
                      <w:highlight w:val="none"/>
                    </w:rPr>
                    <w:t>设备数量</w:t>
                  </w:r>
                </w:p>
              </w:tc>
              <w:tc>
                <w:tcPr>
                  <w:tcW w:w="985" w:type="pct"/>
                  <w:noWrap/>
                  <w:vAlign w:val="center"/>
                </w:tcPr>
                <w:p w14:paraId="5A56AE67">
                  <w:pPr>
                    <w:pStyle w:val="33"/>
                    <w:spacing w:after="0"/>
                    <w:ind w:left="-42" w:leftChars="-20" w:right="-42" w:rightChars="-20" w:firstLine="0" w:firstLineChars="0"/>
                    <w:jc w:val="center"/>
                    <w:rPr>
                      <w:bCs/>
                      <w:color w:val="auto"/>
                      <w:szCs w:val="21"/>
                      <w:highlight w:val="none"/>
                    </w:rPr>
                  </w:pPr>
                  <w:r>
                    <w:rPr>
                      <w:rFonts w:hAnsi="宋体"/>
                      <w:bCs/>
                      <w:color w:val="auto"/>
                      <w:szCs w:val="21"/>
                      <w:highlight w:val="none"/>
                    </w:rPr>
                    <w:t>降噪措施</w:t>
                  </w:r>
                </w:p>
              </w:tc>
              <w:tc>
                <w:tcPr>
                  <w:tcW w:w="620" w:type="pct"/>
                  <w:noWrap/>
                  <w:vAlign w:val="center"/>
                </w:tcPr>
                <w:p w14:paraId="0D196F93">
                  <w:pPr>
                    <w:pStyle w:val="33"/>
                    <w:spacing w:after="0"/>
                    <w:ind w:left="-42" w:leftChars="-20" w:right="-42" w:rightChars="-20" w:firstLine="0" w:firstLineChars="0"/>
                    <w:jc w:val="center"/>
                    <w:rPr>
                      <w:bCs/>
                      <w:color w:val="auto"/>
                      <w:szCs w:val="21"/>
                      <w:highlight w:val="none"/>
                    </w:rPr>
                  </w:pPr>
                  <w:r>
                    <w:rPr>
                      <w:rFonts w:hAnsi="宋体"/>
                      <w:bCs/>
                      <w:color w:val="auto"/>
                      <w:szCs w:val="21"/>
                      <w:highlight w:val="none"/>
                    </w:rPr>
                    <w:t>降噪量</w:t>
                  </w:r>
                </w:p>
                <w:p w14:paraId="3599EFC9">
                  <w:pPr>
                    <w:pStyle w:val="33"/>
                    <w:spacing w:after="0"/>
                    <w:ind w:left="-42" w:leftChars="-20" w:right="-42" w:rightChars="-20" w:firstLine="0" w:firstLineChars="0"/>
                    <w:jc w:val="center"/>
                    <w:rPr>
                      <w:bCs/>
                      <w:color w:val="auto"/>
                      <w:szCs w:val="21"/>
                      <w:highlight w:val="none"/>
                    </w:rPr>
                  </w:pPr>
                  <w:r>
                    <w:rPr>
                      <w:bCs/>
                      <w:color w:val="auto"/>
                      <w:szCs w:val="21"/>
                      <w:highlight w:val="none"/>
                    </w:rPr>
                    <w:t>dB</w:t>
                  </w:r>
                  <w:r>
                    <w:rPr>
                      <w:rFonts w:hAnsi="宋体"/>
                      <w:bCs/>
                      <w:color w:val="auto"/>
                      <w:szCs w:val="21"/>
                      <w:highlight w:val="none"/>
                    </w:rPr>
                    <w:t>（</w:t>
                  </w:r>
                  <w:r>
                    <w:rPr>
                      <w:bCs/>
                      <w:color w:val="auto"/>
                      <w:szCs w:val="21"/>
                      <w:highlight w:val="none"/>
                    </w:rPr>
                    <w:t>A</w:t>
                  </w:r>
                  <w:r>
                    <w:rPr>
                      <w:rFonts w:hAnsi="宋体"/>
                      <w:bCs/>
                      <w:color w:val="auto"/>
                      <w:szCs w:val="21"/>
                      <w:highlight w:val="none"/>
                    </w:rPr>
                    <w:t>）</w:t>
                  </w:r>
                </w:p>
              </w:tc>
            </w:tr>
            <w:tr w14:paraId="5845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6"/>
                  <w:noWrap/>
                  <w:vAlign w:val="center"/>
                </w:tcPr>
                <w:p w14:paraId="6386DF47">
                  <w:pPr>
                    <w:pStyle w:val="33"/>
                    <w:spacing w:after="0"/>
                    <w:ind w:left="-42" w:leftChars="-20" w:right="-42" w:rightChars="-20" w:firstLine="0" w:firstLineChars="0"/>
                    <w:jc w:val="center"/>
                    <w:rPr>
                      <w:rFonts w:hint="default" w:eastAsia="宋体"/>
                      <w:bCs/>
                      <w:color w:val="auto"/>
                      <w:szCs w:val="21"/>
                      <w:highlight w:val="none"/>
                      <w:lang w:val="en-US" w:eastAsia="zh-CN"/>
                    </w:rPr>
                  </w:pPr>
                  <w:r>
                    <w:rPr>
                      <w:rFonts w:hint="eastAsia"/>
                      <w:bCs/>
                      <w:color w:val="auto"/>
                      <w:szCs w:val="21"/>
                      <w:highlight w:val="none"/>
                      <w:lang w:val="en-US" w:eastAsia="zh-CN"/>
                    </w:rPr>
                    <w:t>塑料包装袋加工厂房</w:t>
                  </w:r>
                </w:p>
              </w:tc>
            </w:tr>
            <w:tr w14:paraId="28EEA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00" w:type="pct"/>
                  <w:noWrap/>
                  <w:vAlign w:val="center"/>
                </w:tcPr>
                <w:p w14:paraId="20CE9B67">
                  <w:pPr>
                    <w:pStyle w:val="33"/>
                    <w:spacing w:after="0"/>
                    <w:ind w:left="-42" w:leftChars="-20" w:right="-42" w:rightChars="-20" w:firstLine="0" w:firstLineChars="0"/>
                    <w:jc w:val="center"/>
                    <w:rPr>
                      <w:bCs/>
                      <w:color w:val="auto"/>
                      <w:szCs w:val="21"/>
                      <w:highlight w:val="none"/>
                    </w:rPr>
                  </w:pPr>
                  <w:r>
                    <w:rPr>
                      <w:bCs/>
                      <w:color w:val="auto"/>
                      <w:szCs w:val="21"/>
                      <w:highlight w:val="none"/>
                    </w:rPr>
                    <w:t>1</w:t>
                  </w:r>
                </w:p>
              </w:tc>
              <w:tc>
                <w:tcPr>
                  <w:tcW w:w="1428" w:type="pct"/>
                  <w:noWrap/>
                  <w:vAlign w:val="center"/>
                </w:tcPr>
                <w:p w14:paraId="2CF8DA5C">
                  <w:pPr>
                    <w:adjustRightInd w:val="0"/>
                    <w:snapToGrid w:val="0"/>
                    <w:jc w:val="center"/>
                    <w:rPr>
                      <w:color w:val="auto"/>
                      <w:szCs w:val="21"/>
                      <w:highlight w:val="none"/>
                    </w:rPr>
                  </w:pPr>
                  <w:r>
                    <w:rPr>
                      <w:rFonts w:hint="eastAsia"/>
                      <w:color w:val="auto"/>
                      <w:szCs w:val="21"/>
                      <w:highlight w:val="none"/>
                    </w:rPr>
                    <w:t>55型ABA 共挤吹膜机</w:t>
                  </w:r>
                </w:p>
              </w:tc>
              <w:tc>
                <w:tcPr>
                  <w:tcW w:w="967" w:type="pct"/>
                  <w:noWrap/>
                  <w:vAlign w:val="center"/>
                </w:tcPr>
                <w:p w14:paraId="5DA29F1E">
                  <w:pPr>
                    <w:adjustRightInd w:val="0"/>
                    <w:snapToGrid w:val="0"/>
                    <w:jc w:val="center"/>
                    <w:rPr>
                      <w:color w:val="auto"/>
                      <w:szCs w:val="21"/>
                      <w:highlight w:val="none"/>
                    </w:rPr>
                  </w:pPr>
                  <w:r>
                    <w:rPr>
                      <w:bCs/>
                      <w:color w:val="auto"/>
                      <w:szCs w:val="21"/>
                      <w:highlight w:val="none"/>
                    </w:rPr>
                    <w:t>6</w:t>
                  </w:r>
                  <w:r>
                    <w:rPr>
                      <w:rFonts w:hint="eastAsia"/>
                      <w:bCs/>
                      <w:color w:val="auto"/>
                      <w:szCs w:val="21"/>
                      <w:highlight w:val="none"/>
                      <w:lang w:val="en-US" w:eastAsia="zh-CN"/>
                    </w:rPr>
                    <w:t>5</w:t>
                  </w:r>
                  <w:r>
                    <w:rPr>
                      <w:color w:val="auto"/>
                      <w:szCs w:val="21"/>
                      <w:highlight w:val="none"/>
                    </w:rPr>
                    <w:t>～</w:t>
                  </w:r>
                  <w:r>
                    <w:rPr>
                      <w:bCs/>
                      <w:color w:val="auto"/>
                      <w:szCs w:val="21"/>
                      <w:highlight w:val="none"/>
                    </w:rPr>
                    <w:t>75</w:t>
                  </w:r>
                </w:p>
              </w:tc>
              <w:tc>
                <w:tcPr>
                  <w:tcW w:w="596" w:type="pct"/>
                  <w:noWrap/>
                  <w:vAlign w:val="center"/>
                </w:tcPr>
                <w:p w14:paraId="26BF11BA">
                  <w:pPr>
                    <w:pStyle w:val="33"/>
                    <w:spacing w:after="0"/>
                    <w:ind w:left="-42" w:leftChars="-20" w:right="-42" w:rightChars="-20" w:firstLine="0" w:firstLineChars="0"/>
                    <w:jc w:val="center"/>
                    <w:rPr>
                      <w:rFonts w:hint="default" w:eastAsia="宋体"/>
                      <w:bCs/>
                      <w:color w:val="auto"/>
                      <w:szCs w:val="21"/>
                      <w:highlight w:val="none"/>
                      <w:lang w:val="en-US" w:eastAsia="zh-CN"/>
                    </w:rPr>
                  </w:pPr>
                  <w:r>
                    <w:rPr>
                      <w:rFonts w:hint="eastAsia"/>
                      <w:bCs/>
                      <w:color w:val="auto"/>
                      <w:szCs w:val="21"/>
                      <w:highlight w:val="none"/>
                      <w:lang w:val="en-US" w:eastAsia="zh-CN"/>
                    </w:rPr>
                    <w:t>6</w:t>
                  </w:r>
                </w:p>
              </w:tc>
              <w:tc>
                <w:tcPr>
                  <w:tcW w:w="985" w:type="pct"/>
                  <w:noWrap/>
                  <w:vAlign w:val="center"/>
                </w:tcPr>
                <w:p w14:paraId="4CBFF0BE">
                  <w:pPr>
                    <w:pStyle w:val="33"/>
                    <w:spacing w:after="0"/>
                    <w:ind w:left="-42" w:leftChars="-20" w:right="-42" w:rightChars="-20" w:firstLine="0" w:firstLineChars="0"/>
                    <w:jc w:val="center"/>
                    <w:rPr>
                      <w:bCs/>
                      <w:color w:val="auto"/>
                      <w:szCs w:val="21"/>
                      <w:highlight w:val="none"/>
                    </w:rPr>
                  </w:pPr>
                  <w:r>
                    <w:rPr>
                      <w:rFonts w:hAnsi="宋体"/>
                      <w:bCs/>
                      <w:color w:val="auto"/>
                      <w:szCs w:val="21"/>
                      <w:highlight w:val="none"/>
                    </w:rPr>
                    <w:t>减振、厂房隔声</w:t>
                  </w:r>
                </w:p>
              </w:tc>
              <w:tc>
                <w:tcPr>
                  <w:tcW w:w="620" w:type="pct"/>
                  <w:noWrap/>
                  <w:vAlign w:val="center"/>
                </w:tcPr>
                <w:p w14:paraId="0DF75781">
                  <w:pPr>
                    <w:pStyle w:val="33"/>
                    <w:spacing w:after="0"/>
                    <w:ind w:left="-42" w:leftChars="-20" w:right="-42" w:rightChars="-20" w:firstLine="0" w:firstLineChars="0"/>
                    <w:jc w:val="center"/>
                    <w:rPr>
                      <w:bCs/>
                      <w:color w:val="auto"/>
                      <w:szCs w:val="21"/>
                      <w:highlight w:val="none"/>
                    </w:rPr>
                  </w:pPr>
                  <w:r>
                    <w:rPr>
                      <w:rFonts w:hint="eastAsia"/>
                      <w:bCs/>
                      <w:color w:val="auto"/>
                      <w:szCs w:val="21"/>
                      <w:highlight w:val="none"/>
                    </w:rPr>
                    <w:t>20</w:t>
                  </w:r>
                </w:p>
              </w:tc>
            </w:tr>
            <w:tr w14:paraId="0A4F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00" w:type="pct"/>
                  <w:noWrap/>
                  <w:vAlign w:val="center"/>
                </w:tcPr>
                <w:p w14:paraId="54D1B827">
                  <w:pPr>
                    <w:pStyle w:val="33"/>
                    <w:spacing w:after="0"/>
                    <w:ind w:left="-42" w:leftChars="-20" w:right="-42" w:rightChars="-2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w:t>
                  </w:r>
                </w:p>
              </w:tc>
              <w:tc>
                <w:tcPr>
                  <w:tcW w:w="1428" w:type="pct"/>
                  <w:noWrap/>
                  <w:vAlign w:val="center"/>
                </w:tcPr>
                <w:p w14:paraId="215237CC">
                  <w:pPr>
                    <w:adjustRightInd w:val="0"/>
                    <w:snapToGrid w:val="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1"/>
                      <w:sz w:val="21"/>
                      <w:szCs w:val="21"/>
                      <w:vertAlign w:val="baseline"/>
                    </w:rPr>
                    <w:t>拌料机</w:t>
                  </w:r>
                </w:p>
              </w:tc>
              <w:tc>
                <w:tcPr>
                  <w:tcW w:w="967" w:type="pct"/>
                  <w:noWrap/>
                  <w:vAlign w:val="center"/>
                </w:tcPr>
                <w:p w14:paraId="6A34853D">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70～80</w:t>
                  </w:r>
                </w:p>
              </w:tc>
              <w:tc>
                <w:tcPr>
                  <w:tcW w:w="596" w:type="pct"/>
                  <w:noWrap/>
                  <w:vAlign w:val="center"/>
                </w:tcPr>
                <w:p w14:paraId="1DFFD117">
                  <w:pPr>
                    <w:pStyle w:val="33"/>
                    <w:spacing w:after="0"/>
                    <w:ind w:left="-42" w:leftChars="-20" w:right="-42" w:rightChars="-2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3</w:t>
                  </w:r>
                </w:p>
              </w:tc>
              <w:tc>
                <w:tcPr>
                  <w:tcW w:w="985" w:type="pct"/>
                  <w:noWrap/>
                  <w:vAlign w:val="center"/>
                </w:tcPr>
                <w:p w14:paraId="228CE2A9">
                  <w:pPr>
                    <w:pStyle w:val="33"/>
                    <w:spacing w:after="0"/>
                    <w:ind w:left="-42" w:leftChars="-20" w:right="-42" w:rightChars="-20" w:firstLine="0" w:firstLineChars="0"/>
                    <w:jc w:val="center"/>
                    <w:rPr>
                      <w:bCs/>
                      <w:color w:val="auto"/>
                      <w:szCs w:val="21"/>
                      <w:highlight w:val="none"/>
                    </w:rPr>
                  </w:pPr>
                  <w:r>
                    <w:rPr>
                      <w:rFonts w:hAnsi="宋体"/>
                      <w:bCs/>
                      <w:color w:val="auto"/>
                      <w:szCs w:val="21"/>
                      <w:highlight w:val="none"/>
                    </w:rPr>
                    <w:t>减振、厂房隔声</w:t>
                  </w:r>
                </w:p>
              </w:tc>
              <w:tc>
                <w:tcPr>
                  <w:tcW w:w="620" w:type="pct"/>
                  <w:noWrap/>
                  <w:vAlign w:val="center"/>
                </w:tcPr>
                <w:p w14:paraId="13496DBF">
                  <w:pPr>
                    <w:jc w:val="center"/>
                    <w:rPr>
                      <w:color w:val="auto"/>
                      <w:highlight w:val="none"/>
                    </w:rPr>
                  </w:pPr>
                  <w:r>
                    <w:rPr>
                      <w:rFonts w:hint="eastAsia"/>
                      <w:bCs/>
                      <w:color w:val="auto"/>
                      <w:szCs w:val="21"/>
                      <w:highlight w:val="none"/>
                    </w:rPr>
                    <w:t>20</w:t>
                  </w:r>
                </w:p>
              </w:tc>
            </w:tr>
            <w:tr w14:paraId="2616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00" w:type="pct"/>
                  <w:noWrap/>
                  <w:vAlign w:val="center"/>
                </w:tcPr>
                <w:p w14:paraId="455EDAD8">
                  <w:pPr>
                    <w:pStyle w:val="33"/>
                    <w:spacing w:after="0"/>
                    <w:ind w:left="-42" w:leftChars="-20" w:right="-42" w:rightChars="-2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3</w:t>
                  </w:r>
                </w:p>
              </w:tc>
              <w:tc>
                <w:tcPr>
                  <w:tcW w:w="1428" w:type="pct"/>
                  <w:noWrap/>
                  <w:vAlign w:val="center"/>
                </w:tcPr>
                <w:p w14:paraId="06D218D8">
                  <w:pPr>
                    <w:pStyle w:val="33"/>
                    <w:spacing w:after="0"/>
                    <w:ind w:left="-42" w:leftChars="-20" w:right="-42" w:rightChars="-20" w:firstLine="0" w:firstLine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1"/>
                      <w:sz w:val="21"/>
                      <w:szCs w:val="21"/>
                      <w:vertAlign w:val="baseline"/>
                    </w:rPr>
                    <w:t>单通道背心袋制袋机</w:t>
                  </w:r>
                </w:p>
              </w:tc>
              <w:tc>
                <w:tcPr>
                  <w:tcW w:w="967" w:type="pct"/>
                  <w:noWrap/>
                  <w:vAlign w:val="center"/>
                </w:tcPr>
                <w:p w14:paraId="397228D5">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70～80</w:t>
                  </w:r>
                </w:p>
              </w:tc>
              <w:tc>
                <w:tcPr>
                  <w:tcW w:w="596" w:type="pct"/>
                  <w:noWrap/>
                  <w:vAlign w:val="center"/>
                </w:tcPr>
                <w:p w14:paraId="67A63EF0">
                  <w:pPr>
                    <w:pStyle w:val="33"/>
                    <w:spacing w:after="0"/>
                    <w:ind w:left="-42" w:leftChars="-20" w:right="-42" w:rightChars="-2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3</w:t>
                  </w:r>
                </w:p>
              </w:tc>
              <w:tc>
                <w:tcPr>
                  <w:tcW w:w="985" w:type="pct"/>
                  <w:noWrap/>
                  <w:vAlign w:val="center"/>
                </w:tcPr>
                <w:p w14:paraId="7D42F0A8">
                  <w:pPr>
                    <w:pStyle w:val="33"/>
                    <w:spacing w:after="0"/>
                    <w:ind w:left="-42" w:leftChars="-20" w:right="-42" w:rightChars="-20" w:firstLine="0" w:firstLineChars="0"/>
                    <w:jc w:val="center"/>
                    <w:rPr>
                      <w:bCs/>
                      <w:color w:val="auto"/>
                      <w:szCs w:val="21"/>
                      <w:highlight w:val="none"/>
                    </w:rPr>
                  </w:pPr>
                  <w:r>
                    <w:rPr>
                      <w:rFonts w:hAnsi="宋体"/>
                      <w:bCs/>
                      <w:color w:val="auto"/>
                      <w:szCs w:val="21"/>
                      <w:highlight w:val="none"/>
                    </w:rPr>
                    <w:t>减振、厂房隔声</w:t>
                  </w:r>
                </w:p>
              </w:tc>
              <w:tc>
                <w:tcPr>
                  <w:tcW w:w="620" w:type="pct"/>
                  <w:noWrap/>
                  <w:vAlign w:val="center"/>
                </w:tcPr>
                <w:p w14:paraId="61FF8124">
                  <w:pPr>
                    <w:jc w:val="center"/>
                    <w:rPr>
                      <w:color w:val="auto"/>
                      <w:highlight w:val="none"/>
                    </w:rPr>
                  </w:pPr>
                  <w:r>
                    <w:rPr>
                      <w:rFonts w:hint="eastAsia"/>
                      <w:bCs/>
                      <w:color w:val="auto"/>
                      <w:szCs w:val="21"/>
                      <w:highlight w:val="none"/>
                    </w:rPr>
                    <w:t>20</w:t>
                  </w:r>
                </w:p>
              </w:tc>
            </w:tr>
            <w:tr w14:paraId="1AE49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00" w:type="pct"/>
                  <w:noWrap/>
                  <w:vAlign w:val="center"/>
                </w:tcPr>
                <w:p w14:paraId="4AE0B35D">
                  <w:pPr>
                    <w:pStyle w:val="33"/>
                    <w:spacing w:after="0"/>
                    <w:ind w:left="-42" w:leftChars="-20" w:right="-42" w:rightChars="-2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4</w:t>
                  </w:r>
                </w:p>
              </w:tc>
              <w:tc>
                <w:tcPr>
                  <w:tcW w:w="1428" w:type="pct"/>
                  <w:noWrap/>
                  <w:vAlign w:val="center"/>
                </w:tcPr>
                <w:p w14:paraId="1B72F2CB">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1"/>
                      <w:sz w:val="21"/>
                      <w:szCs w:val="21"/>
                      <w:vertAlign w:val="baseline"/>
                    </w:rPr>
                    <w:t>双通道背心袋制袋机</w:t>
                  </w:r>
                </w:p>
              </w:tc>
              <w:tc>
                <w:tcPr>
                  <w:tcW w:w="967" w:type="pct"/>
                  <w:noWrap/>
                  <w:vAlign w:val="center"/>
                </w:tcPr>
                <w:p w14:paraId="4593FF73">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70</w:t>
                  </w:r>
                  <w:r>
                    <w:rPr>
                      <w:rFonts w:hint="eastAsia" w:ascii="Times New Roman" w:hAnsi="Times New Roman" w:eastAsia="宋体" w:cs="Times New Roman"/>
                      <w:color w:val="auto"/>
                      <w:kern w:val="2"/>
                      <w:sz w:val="21"/>
                      <w:szCs w:val="21"/>
                      <w:lang w:val="en-US" w:eastAsia="zh-CN" w:bidi="ar-SA"/>
                    </w:rPr>
                    <w:t>～</w:t>
                  </w:r>
                  <w:r>
                    <w:rPr>
                      <w:rFonts w:hint="eastAsia" w:cs="Times New Roman"/>
                      <w:color w:val="auto"/>
                      <w:kern w:val="2"/>
                      <w:sz w:val="21"/>
                      <w:szCs w:val="21"/>
                      <w:lang w:val="en-US" w:eastAsia="zh-CN" w:bidi="ar-SA"/>
                    </w:rPr>
                    <w:t>80</w:t>
                  </w:r>
                </w:p>
              </w:tc>
              <w:tc>
                <w:tcPr>
                  <w:tcW w:w="596" w:type="pct"/>
                  <w:noWrap/>
                  <w:vAlign w:val="center"/>
                </w:tcPr>
                <w:p w14:paraId="406AC3C9">
                  <w:pPr>
                    <w:pStyle w:val="33"/>
                    <w:spacing w:after="0"/>
                    <w:ind w:left="-42" w:leftChars="-20" w:right="-42" w:rightChars="-2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6</w:t>
                  </w:r>
                </w:p>
              </w:tc>
              <w:tc>
                <w:tcPr>
                  <w:tcW w:w="985" w:type="pct"/>
                  <w:noWrap/>
                  <w:vAlign w:val="center"/>
                </w:tcPr>
                <w:p w14:paraId="71068E0A">
                  <w:pPr>
                    <w:pStyle w:val="33"/>
                    <w:spacing w:after="0"/>
                    <w:ind w:left="-42" w:leftChars="-20" w:right="-42" w:rightChars="-20" w:firstLine="0" w:firstLineChars="0"/>
                    <w:jc w:val="center"/>
                    <w:rPr>
                      <w:rFonts w:hAnsi="宋体"/>
                      <w:bCs/>
                      <w:color w:val="auto"/>
                      <w:szCs w:val="21"/>
                      <w:highlight w:val="none"/>
                    </w:rPr>
                  </w:pPr>
                  <w:r>
                    <w:rPr>
                      <w:rFonts w:hAnsi="宋体"/>
                      <w:bCs/>
                      <w:color w:val="auto"/>
                      <w:szCs w:val="21"/>
                      <w:highlight w:val="none"/>
                    </w:rPr>
                    <w:t>减振、厂房隔声</w:t>
                  </w:r>
                </w:p>
              </w:tc>
              <w:tc>
                <w:tcPr>
                  <w:tcW w:w="620" w:type="pct"/>
                  <w:noWrap/>
                  <w:vAlign w:val="center"/>
                </w:tcPr>
                <w:p w14:paraId="7EA970A4">
                  <w:pPr>
                    <w:jc w:val="center"/>
                    <w:rPr>
                      <w:color w:val="auto"/>
                      <w:highlight w:val="none"/>
                    </w:rPr>
                  </w:pPr>
                  <w:r>
                    <w:rPr>
                      <w:rFonts w:hint="eastAsia"/>
                      <w:bCs/>
                      <w:color w:val="auto"/>
                      <w:szCs w:val="21"/>
                      <w:highlight w:val="none"/>
                    </w:rPr>
                    <w:t>20</w:t>
                  </w:r>
                </w:p>
              </w:tc>
            </w:tr>
            <w:tr w14:paraId="612F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00" w:type="pct"/>
                  <w:noWrap/>
                  <w:vAlign w:val="center"/>
                </w:tcPr>
                <w:p w14:paraId="38886075">
                  <w:pPr>
                    <w:pStyle w:val="33"/>
                    <w:spacing w:after="0"/>
                    <w:ind w:left="-42" w:leftChars="-20" w:right="-42" w:rightChars="-20" w:firstLine="0" w:firstLineChars="0"/>
                    <w:jc w:val="center"/>
                    <w:rPr>
                      <w:rFonts w:hint="eastAsia" w:eastAsia="宋体"/>
                      <w:bCs/>
                      <w:color w:val="auto"/>
                      <w:szCs w:val="21"/>
                      <w:highlight w:val="none"/>
                      <w:lang w:eastAsia="zh-CN"/>
                    </w:rPr>
                  </w:pPr>
                  <w:r>
                    <w:rPr>
                      <w:rFonts w:hint="eastAsia"/>
                      <w:bCs/>
                      <w:color w:val="auto"/>
                      <w:szCs w:val="21"/>
                      <w:highlight w:val="none"/>
                      <w:lang w:val="en-US" w:eastAsia="zh-CN"/>
                    </w:rPr>
                    <w:t>5</w:t>
                  </w:r>
                </w:p>
              </w:tc>
              <w:tc>
                <w:tcPr>
                  <w:tcW w:w="1428" w:type="pct"/>
                  <w:noWrap/>
                  <w:vAlign w:val="center"/>
                </w:tcPr>
                <w:p w14:paraId="0C35C4C6">
                  <w:pPr>
                    <w:adjustRightInd w:val="0"/>
                    <w:snapToGrid w:val="0"/>
                    <w:jc w:val="center"/>
                    <w:rPr>
                      <w:color w:val="auto"/>
                      <w:szCs w:val="21"/>
                      <w:highlight w:val="none"/>
                    </w:rPr>
                  </w:pPr>
                  <w:r>
                    <w:rPr>
                      <w:rFonts w:hint="default" w:ascii="Times New Roman" w:hAnsi="Times New Roman" w:eastAsia="宋体" w:cs="Times New Roman"/>
                      <w:color w:val="auto"/>
                      <w:kern w:val="21"/>
                      <w:sz w:val="21"/>
                      <w:szCs w:val="21"/>
                      <w:vertAlign w:val="baseline"/>
                    </w:rPr>
                    <w:t>螺杆变频空压机</w:t>
                  </w:r>
                </w:p>
              </w:tc>
              <w:tc>
                <w:tcPr>
                  <w:tcW w:w="967" w:type="pct"/>
                  <w:noWrap/>
                  <w:vAlign w:val="center"/>
                </w:tcPr>
                <w:p w14:paraId="0286D9E9">
                  <w:pPr>
                    <w:adjustRightInd w:val="0"/>
                    <w:snapToGrid w:val="0"/>
                    <w:jc w:val="center"/>
                    <w:rPr>
                      <w:color w:val="auto"/>
                      <w:szCs w:val="21"/>
                      <w:highlight w:val="none"/>
                    </w:rPr>
                  </w:pPr>
                  <w:r>
                    <w:rPr>
                      <w:color w:val="auto"/>
                      <w:szCs w:val="21"/>
                      <w:highlight w:val="none"/>
                    </w:rPr>
                    <w:t>65～85</w:t>
                  </w:r>
                </w:p>
              </w:tc>
              <w:tc>
                <w:tcPr>
                  <w:tcW w:w="596" w:type="pct"/>
                  <w:noWrap/>
                  <w:vAlign w:val="center"/>
                </w:tcPr>
                <w:p w14:paraId="2A2485B9">
                  <w:pPr>
                    <w:pStyle w:val="33"/>
                    <w:spacing w:after="0"/>
                    <w:ind w:left="-42" w:leftChars="-20" w:right="-42" w:rightChars="-20" w:firstLine="0" w:firstLineChars="0"/>
                    <w:jc w:val="center"/>
                    <w:rPr>
                      <w:rFonts w:hint="eastAsia" w:eastAsia="宋体"/>
                      <w:bCs/>
                      <w:color w:val="auto"/>
                      <w:szCs w:val="21"/>
                      <w:highlight w:val="none"/>
                      <w:lang w:eastAsia="zh-CN"/>
                    </w:rPr>
                  </w:pPr>
                  <w:r>
                    <w:rPr>
                      <w:rFonts w:hint="eastAsia"/>
                      <w:bCs/>
                      <w:color w:val="auto"/>
                      <w:szCs w:val="21"/>
                      <w:highlight w:val="none"/>
                      <w:lang w:val="en-US" w:eastAsia="zh-CN"/>
                    </w:rPr>
                    <w:t>2</w:t>
                  </w:r>
                </w:p>
              </w:tc>
              <w:tc>
                <w:tcPr>
                  <w:tcW w:w="985" w:type="pct"/>
                  <w:noWrap/>
                  <w:vAlign w:val="center"/>
                </w:tcPr>
                <w:p w14:paraId="134305B5">
                  <w:pPr>
                    <w:pStyle w:val="33"/>
                    <w:spacing w:after="0"/>
                    <w:ind w:left="-42" w:leftChars="-20" w:right="-42" w:rightChars="-20" w:firstLine="0" w:firstLineChars="0"/>
                    <w:jc w:val="center"/>
                    <w:rPr>
                      <w:rFonts w:hAnsi="宋体"/>
                      <w:bCs/>
                      <w:color w:val="auto"/>
                      <w:szCs w:val="21"/>
                      <w:highlight w:val="none"/>
                    </w:rPr>
                  </w:pPr>
                  <w:r>
                    <w:rPr>
                      <w:rFonts w:hAnsi="宋体"/>
                      <w:bCs/>
                      <w:color w:val="auto"/>
                      <w:szCs w:val="21"/>
                      <w:highlight w:val="none"/>
                    </w:rPr>
                    <w:t>减振、厂房隔声</w:t>
                  </w:r>
                </w:p>
              </w:tc>
              <w:tc>
                <w:tcPr>
                  <w:tcW w:w="620" w:type="pct"/>
                  <w:noWrap/>
                  <w:vAlign w:val="center"/>
                </w:tcPr>
                <w:p w14:paraId="40B7ABBB">
                  <w:pPr>
                    <w:jc w:val="center"/>
                    <w:rPr>
                      <w:color w:val="auto"/>
                      <w:highlight w:val="none"/>
                    </w:rPr>
                  </w:pPr>
                  <w:r>
                    <w:rPr>
                      <w:rFonts w:hint="eastAsia"/>
                      <w:bCs/>
                      <w:color w:val="auto"/>
                      <w:szCs w:val="21"/>
                      <w:highlight w:val="none"/>
                    </w:rPr>
                    <w:t>20</w:t>
                  </w:r>
                </w:p>
              </w:tc>
            </w:tr>
            <w:tr w14:paraId="3D514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00" w:type="pct"/>
                  <w:shd w:val="clear" w:color="auto" w:fill="auto"/>
                  <w:noWrap/>
                  <w:vAlign w:val="center"/>
                </w:tcPr>
                <w:p w14:paraId="52D15C78">
                  <w:pPr>
                    <w:pStyle w:val="33"/>
                    <w:spacing w:after="0"/>
                    <w:ind w:left="-42" w:leftChars="-20" w:right="-42" w:rightChars="-20" w:firstLine="0" w:firstLineChars="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6</w:t>
                  </w:r>
                </w:p>
              </w:tc>
              <w:tc>
                <w:tcPr>
                  <w:tcW w:w="1428" w:type="pct"/>
                  <w:noWrap/>
                  <w:vAlign w:val="center"/>
                </w:tcPr>
                <w:p w14:paraId="22FD0F03">
                  <w:pPr>
                    <w:adjustRightInd w:val="0"/>
                    <w:snapToGrid w:val="0"/>
                    <w:jc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i w:val="0"/>
                      <w:iCs w:val="0"/>
                      <w:caps w:val="0"/>
                      <w:color w:val="auto"/>
                      <w:spacing w:val="0"/>
                      <w:kern w:val="21"/>
                      <w:sz w:val="21"/>
                      <w:szCs w:val="21"/>
                      <w:lang w:val="en-US" w:eastAsia="zh-CN" w:bidi="ar"/>
                    </w:rPr>
                    <w:t>冷冻式干燥机</w:t>
                  </w:r>
                </w:p>
              </w:tc>
              <w:tc>
                <w:tcPr>
                  <w:tcW w:w="967" w:type="pct"/>
                  <w:noWrap/>
                  <w:vAlign w:val="center"/>
                </w:tcPr>
                <w:p w14:paraId="248204F7">
                  <w:pPr>
                    <w:adjustRightInd w:val="0"/>
                    <w:snapToGrid w:val="0"/>
                    <w:jc w:val="center"/>
                    <w:rPr>
                      <w:color w:val="auto"/>
                      <w:szCs w:val="21"/>
                      <w:highlight w:val="none"/>
                    </w:rPr>
                  </w:pPr>
                  <w:r>
                    <w:rPr>
                      <w:color w:val="auto"/>
                      <w:szCs w:val="21"/>
                      <w:highlight w:val="none"/>
                    </w:rPr>
                    <w:t>65～85</w:t>
                  </w:r>
                </w:p>
              </w:tc>
              <w:tc>
                <w:tcPr>
                  <w:tcW w:w="596" w:type="pct"/>
                  <w:noWrap/>
                  <w:vAlign w:val="center"/>
                </w:tcPr>
                <w:p w14:paraId="4EEA152B">
                  <w:pPr>
                    <w:pStyle w:val="33"/>
                    <w:spacing w:after="0"/>
                    <w:ind w:left="-42" w:leftChars="-20" w:right="-42" w:rightChars="-20" w:firstLine="0" w:firstLineChars="0"/>
                    <w:jc w:val="center"/>
                    <w:rPr>
                      <w:rFonts w:hint="eastAsia" w:eastAsia="宋体"/>
                      <w:bCs/>
                      <w:color w:val="auto"/>
                      <w:szCs w:val="21"/>
                      <w:highlight w:val="none"/>
                      <w:lang w:val="en-US" w:eastAsia="zh-CN"/>
                    </w:rPr>
                  </w:pPr>
                  <w:r>
                    <w:rPr>
                      <w:rFonts w:hint="eastAsia"/>
                      <w:bCs/>
                      <w:color w:val="auto"/>
                      <w:szCs w:val="21"/>
                      <w:highlight w:val="none"/>
                      <w:lang w:val="en-US" w:eastAsia="zh-CN"/>
                    </w:rPr>
                    <w:t>1</w:t>
                  </w:r>
                </w:p>
              </w:tc>
              <w:tc>
                <w:tcPr>
                  <w:tcW w:w="985" w:type="pct"/>
                  <w:shd w:val="clear" w:color="auto" w:fill="auto"/>
                  <w:noWrap/>
                  <w:vAlign w:val="center"/>
                </w:tcPr>
                <w:p w14:paraId="3F8ADE60">
                  <w:pPr>
                    <w:pStyle w:val="33"/>
                    <w:spacing w:after="0"/>
                    <w:ind w:left="-42" w:leftChars="-20" w:right="-42" w:rightChars="-20" w:firstLine="0" w:firstLineChars="0"/>
                    <w:jc w:val="center"/>
                    <w:rPr>
                      <w:rFonts w:ascii="Times New Roman" w:hAnsi="宋体" w:eastAsia="宋体" w:cs="Times New Roman"/>
                      <w:bCs/>
                      <w:color w:val="auto"/>
                      <w:kern w:val="2"/>
                      <w:sz w:val="21"/>
                      <w:szCs w:val="21"/>
                      <w:highlight w:val="none"/>
                      <w:lang w:val="en-US" w:eastAsia="zh-CN" w:bidi="ar-SA"/>
                    </w:rPr>
                  </w:pPr>
                  <w:r>
                    <w:rPr>
                      <w:rFonts w:hAnsi="宋体"/>
                      <w:bCs/>
                      <w:color w:val="auto"/>
                      <w:szCs w:val="21"/>
                      <w:highlight w:val="none"/>
                    </w:rPr>
                    <w:t>减振、厂房隔声</w:t>
                  </w:r>
                </w:p>
              </w:tc>
              <w:tc>
                <w:tcPr>
                  <w:tcW w:w="620" w:type="pct"/>
                  <w:shd w:val="clear" w:color="auto" w:fill="auto"/>
                  <w:noWrap/>
                  <w:vAlign w:val="center"/>
                </w:tcPr>
                <w:p w14:paraId="4F59A36A">
                  <w:pPr>
                    <w:jc w:val="center"/>
                    <w:rPr>
                      <w:rFonts w:hint="eastAsia" w:ascii="Times New Roman" w:hAnsi="Times New Roman" w:eastAsia="宋体" w:cs="Times New Roman"/>
                      <w:color w:val="auto"/>
                      <w:kern w:val="2"/>
                      <w:sz w:val="21"/>
                      <w:szCs w:val="24"/>
                      <w:highlight w:val="none"/>
                      <w:lang w:val="en-US" w:eastAsia="zh-CN" w:bidi="ar-SA"/>
                    </w:rPr>
                  </w:pPr>
                  <w:r>
                    <w:rPr>
                      <w:rFonts w:hint="eastAsia"/>
                      <w:bCs/>
                      <w:color w:val="auto"/>
                      <w:szCs w:val="21"/>
                      <w:highlight w:val="none"/>
                    </w:rPr>
                    <w:t>20</w:t>
                  </w:r>
                </w:p>
              </w:tc>
            </w:tr>
            <w:tr w14:paraId="5B5B7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00" w:type="pct"/>
                  <w:shd w:val="clear" w:color="auto" w:fill="auto"/>
                  <w:noWrap/>
                  <w:vAlign w:val="center"/>
                </w:tcPr>
                <w:p w14:paraId="19A3A07C">
                  <w:pPr>
                    <w:pStyle w:val="33"/>
                    <w:spacing w:after="0"/>
                    <w:ind w:left="-42" w:leftChars="-20" w:right="-42" w:rightChars="-20" w:firstLine="0" w:firstLineChars="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7</w:t>
                  </w:r>
                </w:p>
              </w:tc>
              <w:tc>
                <w:tcPr>
                  <w:tcW w:w="1428" w:type="pct"/>
                  <w:noWrap/>
                  <w:vAlign w:val="center"/>
                </w:tcPr>
                <w:p w14:paraId="67476C05">
                  <w:pPr>
                    <w:adjustRightInd w:val="0"/>
                    <w:snapToGrid w:val="0"/>
                    <w:jc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color w:val="auto"/>
                      <w:kern w:val="21"/>
                      <w:sz w:val="21"/>
                      <w:szCs w:val="21"/>
                      <w:vertAlign w:val="baseline"/>
                    </w:rPr>
                    <w:t>冷却塔</w:t>
                  </w:r>
                </w:p>
              </w:tc>
              <w:tc>
                <w:tcPr>
                  <w:tcW w:w="967" w:type="pct"/>
                  <w:shd w:val="clear" w:color="auto" w:fill="auto"/>
                  <w:noWrap/>
                  <w:vAlign w:val="center"/>
                </w:tcPr>
                <w:p w14:paraId="6C09F2D2">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65～85</w:t>
                  </w:r>
                </w:p>
              </w:tc>
              <w:tc>
                <w:tcPr>
                  <w:tcW w:w="596" w:type="pct"/>
                  <w:shd w:val="clear" w:color="auto" w:fill="auto"/>
                  <w:noWrap/>
                  <w:vAlign w:val="center"/>
                </w:tcPr>
                <w:p w14:paraId="2162438D">
                  <w:pPr>
                    <w:pStyle w:val="33"/>
                    <w:spacing w:after="0"/>
                    <w:ind w:left="-42" w:leftChars="-20" w:right="-42" w:rightChars="-20" w:firstLine="0" w:firstLineChars="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1</w:t>
                  </w:r>
                </w:p>
              </w:tc>
              <w:tc>
                <w:tcPr>
                  <w:tcW w:w="985" w:type="pct"/>
                  <w:shd w:val="clear" w:color="auto" w:fill="auto"/>
                  <w:noWrap/>
                  <w:vAlign w:val="center"/>
                </w:tcPr>
                <w:p w14:paraId="03D14B32">
                  <w:pPr>
                    <w:pStyle w:val="33"/>
                    <w:spacing w:after="0"/>
                    <w:ind w:left="-42" w:leftChars="-20" w:right="-42" w:rightChars="-20" w:firstLine="0" w:firstLineChars="0"/>
                    <w:jc w:val="center"/>
                    <w:rPr>
                      <w:rFonts w:ascii="Times New Roman" w:hAnsi="宋体" w:eastAsia="宋体" w:cs="Times New Roman"/>
                      <w:bCs/>
                      <w:color w:val="auto"/>
                      <w:kern w:val="2"/>
                      <w:sz w:val="21"/>
                      <w:szCs w:val="21"/>
                      <w:highlight w:val="none"/>
                      <w:lang w:val="en-US" w:eastAsia="zh-CN" w:bidi="ar-SA"/>
                    </w:rPr>
                  </w:pPr>
                  <w:r>
                    <w:rPr>
                      <w:rFonts w:hAnsi="宋体"/>
                      <w:bCs/>
                      <w:color w:val="auto"/>
                      <w:szCs w:val="21"/>
                      <w:highlight w:val="none"/>
                    </w:rPr>
                    <w:t>减振、厂房隔声</w:t>
                  </w:r>
                </w:p>
              </w:tc>
              <w:tc>
                <w:tcPr>
                  <w:tcW w:w="620" w:type="pct"/>
                  <w:shd w:val="clear" w:color="auto" w:fill="auto"/>
                  <w:noWrap/>
                  <w:vAlign w:val="center"/>
                </w:tcPr>
                <w:p w14:paraId="7D288868">
                  <w:pPr>
                    <w:jc w:val="center"/>
                    <w:rPr>
                      <w:rFonts w:hint="eastAsia" w:ascii="Times New Roman" w:hAnsi="Times New Roman" w:eastAsia="宋体" w:cs="Times New Roman"/>
                      <w:color w:val="auto"/>
                      <w:kern w:val="2"/>
                      <w:sz w:val="21"/>
                      <w:szCs w:val="24"/>
                      <w:highlight w:val="none"/>
                      <w:lang w:val="en-US" w:eastAsia="zh-CN" w:bidi="ar-SA"/>
                    </w:rPr>
                  </w:pPr>
                  <w:r>
                    <w:rPr>
                      <w:rFonts w:hint="eastAsia"/>
                      <w:bCs/>
                      <w:color w:val="auto"/>
                      <w:szCs w:val="21"/>
                      <w:highlight w:val="none"/>
                    </w:rPr>
                    <w:t>20</w:t>
                  </w:r>
                </w:p>
              </w:tc>
            </w:tr>
            <w:tr w14:paraId="4A43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6"/>
                  <w:noWrap/>
                  <w:vAlign w:val="center"/>
                </w:tcPr>
                <w:p w14:paraId="309FDC98">
                  <w:pPr>
                    <w:jc w:val="center"/>
                    <w:rPr>
                      <w:rFonts w:hint="eastAsia"/>
                      <w:bCs/>
                      <w:color w:val="auto"/>
                      <w:szCs w:val="21"/>
                      <w:highlight w:val="none"/>
                    </w:rPr>
                  </w:pPr>
                  <w:r>
                    <w:rPr>
                      <w:rFonts w:hint="eastAsia"/>
                      <w:bCs/>
                      <w:color w:val="auto"/>
                      <w:szCs w:val="21"/>
                      <w:highlight w:val="none"/>
                      <w:lang w:val="en-US" w:eastAsia="zh-CN"/>
                    </w:rPr>
                    <w:t>农用贴片滴灌带加工厂房</w:t>
                  </w:r>
                </w:p>
              </w:tc>
            </w:tr>
            <w:tr w14:paraId="21D1E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00" w:type="pct"/>
                  <w:noWrap/>
                  <w:vAlign w:val="center"/>
                </w:tcPr>
                <w:p w14:paraId="58FB7A7D">
                  <w:pPr>
                    <w:pStyle w:val="33"/>
                    <w:spacing w:after="0"/>
                    <w:ind w:left="-42" w:leftChars="-20" w:right="-42" w:rightChars="-20" w:firstLine="0" w:firstLineChars="0"/>
                    <w:jc w:val="center"/>
                    <w:rPr>
                      <w:rFonts w:hint="eastAsia" w:eastAsia="宋体"/>
                      <w:bCs/>
                      <w:color w:val="auto"/>
                      <w:szCs w:val="21"/>
                      <w:highlight w:val="none"/>
                      <w:lang w:val="en-US" w:eastAsia="zh-CN"/>
                    </w:rPr>
                  </w:pPr>
                  <w:r>
                    <w:rPr>
                      <w:rFonts w:hint="eastAsia"/>
                      <w:bCs/>
                      <w:color w:val="auto"/>
                      <w:szCs w:val="21"/>
                      <w:highlight w:val="none"/>
                      <w:lang w:val="en-US" w:eastAsia="zh-CN"/>
                    </w:rPr>
                    <w:t>8</w:t>
                  </w:r>
                </w:p>
              </w:tc>
              <w:tc>
                <w:tcPr>
                  <w:tcW w:w="1428" w:type="pct"/>
                  <w:noWrap/>
                  <w:vAlign w:val="center"/>
                </w:tcPr>
                <w:p w14:paraId="3722243F">
                  <w:pPr>
                    <w:adjustRightInd w:val="0"/>
                    <w:snapToGrid w:val="0"/>
                    <w:jc w:val="center"/>
                    <w:rPr>
                      <w:rFonts w:hint="default" w:ascii="Times New Roman" w:hAnsi="Times New Roman" w:eastAsia="宋体" w:cs="Times New Roman"/>
                      <w:color w:val="auto"/>
                      <w:kern w:val="21"/>
                      <w:sz w:val="21"/>
                      <w:szCs w:val="21"/>
                      <w:vertAlign w:val="baseline"/>
                    </w:rPr>
                  </w:pPr>
                  <w:r>
                    <w:rPr>
                      <w:rFonts w:hint="default" w:ascii="Times New Roman" w:hAnsi="Times New Roman" w:eastAsia="宋体" w:cs="Times New Roman"/>
                      <w:color w:val="auto"/>
                      <w:kern w:val="21"/>
                      <w:sz w:val="21"/>
                      <w:szCs w:val="21"/>
                      <w:vertAlign w:val="baseline"/>
                    </w:rPr>
                    <w:t>贴片式滴灌带生产线</w:t>
                  </w:r>
                </w:p>
              </w:tc>
              <w:tc>
                <w:tcPr>
                  <w:tcW w:w="967" w:type="pct"/>
                  <w:noWrap/>
                  <w:vAlign w:val="center"/>
                </w:tcPr>
                <w:p w14:paraId="7B32F4B0">
                  <w:pPr>
                    <w:adjustRightInd w:val="0"/>
                    <w:snapToGrid w:val="0"/>
                    <w:jc w:val="center"/>
                    <w:rPr>
                      <w:color w:val="auto"/>
                      <w:szCs w:val="21"/>
                      <w:highlight w:val="none"/>
                    </w:rPr>
                  </w:pPr>
                  <w:r>
                    <w:rPr>
                      <w:bCs/>
                      <w:color w:val="auto"/>
                      <w:szCs w:val="21"/>
                      <w:highlight w:val="none"/>
                    </w:rPr>
                    <w:t>6</w:t>
                  </w:r>
                  <w:r>
                    <w:rPr>
                      <w:rFonts w:hint="eastAsia"/>
                      <w:bCs/>
                      <w:color w:val="auto"/>
                      <w:szCs w:val="21"/>
                      <w:highlight w:val="none"/>
                      <w:lang w:val="en-US" w:eastAsia="zh-CN"/>
                    </w:rPr>
                    <w:t>5</w:t>
                  </w:r>
                  <w:r>
                    <w:rPr>
                      <w:color w:val="auto"/>
                      <w:szCs w:val="21"/>
                      <w:highlight w:val="none"/>
                    </w:rPr>
                    <w:t>～</w:t>
                  </w:r>
                  <w:r>
                    <w:rPr>
                      <w:bCs/>
                      <w:color w:val="auto"/>
                      <w:szCs w:val="21"/>
                      <w:highlight w:val="none"/>
                    </w:rPr>
                    <w:t>75</w:t>
                  </w:r>
                </w:p>
              </w:tc>
              <w:tc>
                <w:tcPr>
                  <w:tcW w:w="596" w:type="pct"/>
                  <w:noWrap/>
                  <w:vAlign w:val="center"/>
                </w:tcPr>
                <w:p w14:paraId="6B5BDDDF">
                  <w:pPr>
                    <w:pStyle w:val="33"/>
                    <w:spacing w:after="0"/>
                    <w:ind w:left="-42" w:leftChars="-20" w:right="-42" w:rightChars="-20" w:firstLine="0" w:firstLineChars="0"/>
                    <w:jc w:val="center"/>
                    <w:rPr>
                      <w:rFonts w:hint="eastAsia" w:eastAsia="宋体"/>
                      <w:bCs/>
                      <w:color w:val="auto"/>
                      <w:szCs w:val="21"/>
                      <w:highlight w:val="none"/>
                      <w:lang w:val="en-US" w:eastAsia="zh-CN"/>
                    </w:rPr>
                  </w:pPr>
                  <w:r>
                    <w:rPr>
                      <w:rFonts w:hint="eastAsia"/>
                      <w:bCs/>
                      <w:color w:val="auto"/>
                      <w:szCs w:val="21"/>
                      <w:highlight w:val="none"/>
                      <w:lang w:val="en-US" w:eastAsia="zh-CN"/>
                    </w:rPr>
                    <w:t>4</w:t>
                  </w:r>
                </w:p>
              </w:tc>
              <w:tc>
                <w:tcPr>
                  <w:tcW w:w="985" w:type="pct"/>
                  <w:noWrap/>
                  <w:vAlign w:val="center"/>
                </w:tcPr>
                <w:p w14:paraId="509F3B56">
                  <w:pPr>
                    <w:pStyle w:val="33"/>
                    <w:spacing w:after="0"/>
                    <w:ind w:left="-42" w:leftChars="-20" w:right="-42" w:rightChars="-20" w:firstLine="0" w:firstLineChars="0"/>
                    <w:jc w:val="center"/>
                    <w:rPr>
                      <w:rFonts w:hAnsi="宋体"/>
                      <w:bCs/>
                      <w:color w:val="auto"/>
                      <w:szCs w:val="21"/>
                      <w:highlight w:val="none"/>
                    </w:rPr>
                  </w:pPr>
                  <w:r>
                    <w:rPr>
                      <w:rFonts w:hAnsi="宋体"/>
                      <w:bCs/>
                      <w:color w:val="auto"/>
                      <w:szCs w:val="21"/>
                      <w:highlight w:val="none"/>
                    </w:rPr>
                    <w:t>减振、厂房隔声</w:t>
                  </w:r>
                </w:p>
              </w:tc>
              <w:tc>
                <w:tcPr>
                  <w:tcW w:w="620" w:type="pct"/>
                  <w:noWrap/>
                  <w:vAlign w:val="center"/>
                </w:tcPr>
                <w:p w14:paraId="6C48B987">
                  <w:pPr>
                    <w:jc w:val="center"/>
                    <w:rPr>
                      <w:rFonts w:hint="eastAsia"/>
                      <w:bCs/>
                      <w:color w:val="auto"/>
                      <w:szCs w:val="21"/>
                      <w:highlight w:val="none"/>
                    </w:rPr>
                  </w:pPr>
                  <w:r>
                    <w:rPr>
                      <w:rFonts w:hint="eastAsia"/>
                      <w:bCs/>
                      <w:color w:val="auto"/>
                      <w:szCs w:val="21"/>
                      <w:highlight w:val="none"/>
                    </w:rPr>
                    <w:t>20</w:t>
                  </w:r>
                </w:p>
              </w:tc>
            </w:tr>
            <w:tr w14:paraId="2116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00" w:type="pct"/>
                  <w:shd w:val="clear" w:color="auto" w:fill="auto"/>
                  <w:noWrap/>
                  <w:vAlign w:val="center"/>
                </w:tcPr>
                <w:p w14:paraId="0752BE43">
                  <w:pPr>
                    <w:pStyle w:val="33"/>
                    <w:spacing w:after="0"/>
                    <w:ind w:left="-42" w:leftChars="-20" w:right="-42" w:rightChars="-2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9</w:t>
                  </w:r>
                </w:p>
              </w:tc>
              <w:tc>
                <w:tcPr>
                  <w:tcW w:w="1428" w:type="pct"/>
                  <w:shd w:val="clear" w:color="auto" w:fill="auto"/>
                  <w:noWrap/>
                  <w:vAlign w:val="center"/>
                </w:tcPr>
                <w:p w14:paraId="7CBC1EBB">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1"/>
                      <w:sz w:val="21"/>
                      <w:szCs w:val="21"/>
                      <w:vertAlign w:val="baseline"/>
                    </w:rPr>
                    <w:t>拌料机</w:t>
                  </w:r>
                </w:p>
              </w:tc>
              <w:tc>
                <w:tcPr>
                  <w:tcW w:w="967" w:type="pct"/>
                  <w:shd w:val="clear" w:color="auto" w:fill="auto"/>
                  <w:noWrap/>
                  <w:vAlign w:val="center"/>
                </w:tcPr>
                <w:p w14:paraId="7A458052">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70～80</w:t>
                  </w:r>
                </w:p>
              </w:tc>
              <w:tc>
                <w:tcPr>
                  <w:tcW w:w="596" w:type="pct"/>
                  <w:shd w:val="clear" w:color="auto" w:fill="auto"/>
                  <w:noWrap/>
                  <w:vAlign w:val="center"/>
                </w:tcPr>
                <w:p w14:paraId="16C24E9D">
                  <w:pPr>
                    <w:pStyle w:val="33"/>
                    <w:spacing w:after="0"/>
                    <w:ind w:left="-42" w:leftChars="-20" w:right="-42" w:rightChars="-2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c>
                <w:tcPr>
                  <w:tcW w:w="985" w:type="pct"/>
                  <w:noWrap/>
                  <w:vAlign w:val="center"/>
                </w:tcPr>
                <w:p w14:paraId="4B698C30">
                  <w:pPr>
                    <w:pStyle w:val="33"/>
                    <w:spacing w:after="0"/>
                    <w:ind w:left="-42" w:leftChars="-20" w:right="-42" w:rightChars="-20" w:firstLine="0" w:firstLineChars="0"/>
                    <w:jc w:val="center"/>
                    <w:rPr>
                      <w:rFonts w:hAnsi="宋体"/>
                      <w:bCs/>
                      <w:color w:val="auto"/>
                      <w:szCs w:val="21"/>
                      <w:highlight w:val="none"/>
                    </w:rPr>
                  </w:pPr>
                  <w:r>
                    <w:rPr>
                      <w:rFonts w:hAnsi="宋体"/>
                      <w:bCs/>
                      <w:color w:val="auto"/>
                      <w:szCs w:val="21"/>
                      <w:highlight w:val="none"/>
                    </w:rPr>
                    <w:t>减振、厂房隔声</w:t>
                  </w:r>
                </w:p>
              </w:tc>
              <w:tc>
                <w:tcPr>
                  <w:tcW w:w="620" w:type="pct"/>
                  <w:noWrap/>
                  <w:vAlign w:val="center"/>
                </w:tcPr>
                <w:p w14:paraId="05988A9D">
                  <w:pPr>
                    <w:jc w:val="center"/>
                    <w:rPr>
                      <w:rFonts w:hint="eastAsia"/>
                      <w:bCs/>
                      <w:color w:val="auto"/>
                      <w:szCs w:val="21"/>
                      <w:highlight w:val="none"/>
                    </w:rPr>
                  </w:pPr>
                  <w:r>
                    <w:rPr>
                      <w:rFonts w:hint="eastAsia"/>
                      <w:bCs/>
                      <w:color w:val="auto"/>
                      <w:szCs w:val="21"/>
                      <w:highlight w:val="none"/>
                    </w:rPr>
                    <w:t>20</w:t>
                  </w:r>
                </w:p>
              </w:tc>
            </w:tr>
            <w:tr w14:paraId="1060C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00" w:type="pct"/>
                  <w:shd w:val="clear" w:color="auto" w:fill="auto"/>
                  <w:noWrap/>
                  <w:vAlign w:val="center"/>
                </w:tcPr>
                <w:p w14:paraId="478FA5A2">
                  <w:pPr>
                    <w:pStyle w:val="33"/>
                    <w:spacing w:after="0"/>
                    <w:ind w:left="-42" w:leftChars="-20" w:right="-42" w:rightChars="-2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10</w:t>
                  </w:r>
                </w:p>
              </w:tc>
              <w:tc>
                <w:tcPr>
                  <w:tcW w:w="1428" w:type="pct"/>
                  <w:shd w:val="clear" w:color="auto" w:fill="auto"/>
                  <w:noWrap/>
                  <w:vAlign w:val="center"/>
                </w:tcPr>
                <w:p w14:paraId="0389FA58">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1"/>
                      <w:sz w:val="21"/>
                      <w:szCs w:val="21"/>
                      <w:vertAlign w:val="baseline"/>
                    </w:rPr>
                    <w:t>螺杆变频空压机</w:t>
                  </w:r>
                </w:p>
              </w:tc>
              <w:tc>
                <w:tcPr>
                  <w:tcW w:w="967" w:type="pct"/>
                  <w:shd w:val="clear" w:color="auto" w:fill="auto"/>
                  <w:noWrap/>
                  <w:vAlign w:val="center"/>
                </w:tcPr>
                <w:p w14:paraId="1A853CC1">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65～85</w:t>
                  </w:r>
                </w:p>
              </w:tc>
              <w:tc>
                <w:tcPr>
                  <w:tcW w:w="596" w:type="pct"/>
                  <w:shd w:val="clear" w:color="auto" w:fill="auto"/>
                  <w:noWrap/>
                  <w:vAlign w:val="center"/>
                </w:tcPr>
                <w:p w14:paraId="0993A8B3">
                  <w:pPr>
                    <w:pStyle w:val="33"/>
                    <w:spacing w:after="0"/>
                    <w:ind w:left="-42" w:leftChars="-20" w:right="-42" w:rightChars="-20" w:firstLine="0" w:firstLineChars="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2</w:t>
                  </w:r>
                </w:p>
              </w:tc>
              <w:tc>
                <w:tcPr>
                  <w:tcW w:w="985" w:type="pct"/>
                  <w:noWrap/>
                  <w:vAlign w:val="center"/>
                </w:tcPr>
                <w:p w14:paraId="01D3516B">
                  <w:pPr>
                    <w:pStyle w:val="33"/>
                    <w:spacing w:after="0"/>
                    <w:ind w:left="-42" w:leftChars="-20" w:right="-42" w:rightChars="-20" w:firstLine="0" w:firstLineChars="0"/>
                    <w:jc w:val="center"/>
                    <w:rPr>
                      <w:rFonts w:hAnsi="宋体"/>
                      <w:bCs/>
                      <w:color w:val="auto"/>
                      <w:szCs w:val="21"/>
                      <w:highlight w:val="none"/>
                    </w:rPr>
                  </w:pPr>
                  <w:r>
                    <w:rPr>
                      <w:rFonts w:hAnsi="宋体"/>
                      <w:bCs/>
                      <w:color w:val="auto"/>
                      <w:szCs w:val="21"/>
                      <w:highlight w:val="none"/>
                    </w:rPr>
                    <w:t>减振、厂房隔声</w:t>
                  </w:r>
                </w:p>
              </w:tc>
              <w:tc>
                <w:tcPr>
                  <w:tcW w:w="620" w:type="pct"/>
                  <w:noWrap/>
                  <w:vAlign w:val="center"/>
                </w:tcPr>
                <w:p w14:paraId="6E4AA595">
                  <w:pPr>
                    <w:jc w:val="center"/>
                    <w:rPr>
                      <w:rFonts w:hint="eastAsia"/>
                      <w:bCs/>
                      <w:color w:val="auto"/>
                      <w:szCs w:val="21"/>
                      <w:highlight w:val="none"/>
                    </w:rPr>
                  </w:pPr>
                  <w:r>
                    <w:rPr>
                      <w:rFonts w:hint="eastAsia"/>
                      <w:bCs/>
                      <w:color w:val="auto"/>
                      <w:szCs w:val="21"/>
                      <w:highlight w:val="none"/>
                    </w:rPr>
                    <w:t>20</w:t>
                  </w:r>
                </w:p>
              </w:tc>
            </w:tr>
            <w:tr w14:paraId="0DE7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00" w:type="pct"/>
                  <w:shd w:val="clear" w:color="auto" w:fill="auto"/>
                  <w:noWrap/>
                  <w:vAlign w:val="center"/>
                </w:tcPr>
                <w:p w14:paraId="5E074571">
                  <w:pPr>
                    <w:pStyle w:val="33"/>
                    <w:spacing w:after="0"/>
                    <w:ind w:left="-42" w:leftChars="-20" w:right="-42" w:rightChars="-2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11</w:t>
                  </w:r>
                </w:p>
              </w:tc>
              <w:tc>
                <w:tcPr>
                  <w:tcW w:w="1428" w:type="pct"/>
                  <w:shd w:val="clear" w:color="auto" w:fill="auto"/>
                  <w:noWrap/>
                  <w:vAlign w:val="center"/>
                </w:tcPr>
                <w:p w14:paraId="0281D505">
                  <w:pPr>
                    <w:adjustRightInd w:val="0"/>
                    <w:snapToGrid w:val="0"/>
                    <w:jc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冷冻式干燥机</w:t>
                  </w:r>
                </w:p>
              </w:tc>
              <w:tc>
                <w:tcPr>
                  <w:tcW w:w="967" w:type="pct"/>
                  <w:shd w:val="clear" w:color="auto" w:fill="auto"/>
                  <w:noWrap/>
                  <w:vAlign w:val="center"/>
                </w:tcPr>
                <w:p w14:paraId="6AA7DC37">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65～85</w:t>
                  </w:r>
                </w:p>
              </w:tc>
              <w:tc>
                <w:tcPr>
                  <w:tcW w:w="596" w:type="pct"/>
                  <w:shd w:val="clear" w:color="auto" w:fill="auto"/>
                  <w:noWrap/>
                  <w:vAlign w:val="center"/>
                </w:tcPr>
                <w:p w14:paraId="2550F549">
                  <w:pPr>
                    <w:pStyle w:val="33"/>
                    <w:spacing w:after="0"/>
                    <w:ind w:left="-42" w:leftChars="-20" w:right="-42" w:rightChars="-20" w:firstLine="0" w:firstLineChars="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1</w:t>
                  </w:r>
                </w:p>
              </w:tc>
              <w:tc>
                <w:tcPr>
                  <w:tcW w:w="985" w:type="pct"/>
                  <w:noWrap/>
                  <w:vAlign w:val="center"/>
                </w:tcPr>
                <w:p w14:paraId="2FDB76A8">
                  <w:pPr>
                    <w:pStyle w:val="33"/>
                    <w:spacing w:after="0"/>
                    <w:ind w:left="-42" w:leftChars="-20" w:right="-42" w:rightChars="-20" w:firstLine="0" w:firstLineChars="0"/>
                    <w:jc w:val="center"/>
                    <w:rPr>
                      <w:rFonts w:hAnsi="宋体"/>
                      <w:bCs/>
                      <w:color w:val="auto"/>
                      <w:szCs w:val="21"/>
                      <w:highlight w:val="none"/>
                    </w:rPr>
                  </w:pPr>
                  <w:r>
                    <w:rPr>
                      <w:rFonts w:hAnsi="宋体"/>
                      <w:bCs/>
                      <w:color w:val="auto"/>
                      <w:szCs w:val="21"/>
                      <w:highlight w:val="none"/>
                    </w:rPr>
                    <w:t>减振、厂房隔声</w:t>
                  </w:r>
                </w:p>
              </w:tc>
              <w:tc>
                <w:tcPr>
                  <w:tcW w:w="620" w:type="pct"/>
                  <w:noWrap/>
                  <w:vAlign w:val="center"/>
                </w:tcPr>
                <w:p w14:paraId="332853E4">
                  <w:pPr>
                    <w:jc w:val="center"/>
                    <w:rPr>
                      <w:rFonts w:hint="eastAsia"/>
                      <w:bCs/>
                      <w:color w:val="auto"/>
                      <w:szCs w:val="21"/>
                      <w:highlight w:val="none"/>
                    </w:rPr>
                  </w:pPr>
                  <w:r>
                    <w:rPr>
                      <w:rFonts w:hint="eastAsia"/>
                      <w:bCs/>
                      <w:color w:val="auto"/>
                      <w:szCs w:val="21"/>
                      <w:highlight w:val="none"/>
                    </w:rPr>
                    <w:t>20</w:t>
                  </w:r>
                </w:p>
              </w:tc>
            </w:tr>
            <w:tr w14:paraId="16499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00" w:type="pct"/>
                  <w:shd w:val="clear" w:color="auto" w:fill="auto"/>
                  <w:noWrap/>
                  <w:vAlign w:val="center"/>
                </w:tcPr>
                <w:p w14:paraId="191F6063">
                  <w:pPr>
                    <w:pStyle w:val="33"/>
                    <w:spacing w:after="0"/>
                    <w:ind w:left="-42" w:leftChars="-20" w:right="-42" w:rightChars="-2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12</w:t>
                  </w:r>
                </w:p>
              </w:tc>
              <w:tc>
                <w:tcPr>
                  <w:tcW w:w="1428" w:type="pct"/>
                  <w:shd w:val="clear" w:color="auto" w:fill="auto"/>
                  <w:noWrap/>
                  <w:vAlign w:val="center"/>
                </w:tcPr>
                <w:p w14:paraId="50861FF9">
                  <w:pPr>
                    <w:adjustRightInd w:val="0"/>
                    <w:snapToGrid w:val="0"/>
                    <w:jc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color w:val="auto"/>
                      <w:kern w:val="21"/>
                      <w:sz w:val="21"/>
                      <w:szCs w:val="21"/>
                      <w:vertAlign w:val="baseline"/>
                    </w:rPr>
                    <w:t>冷却塔</w:t>
                  </w:r>
                </w:p>
              </w:tc>
              <w:tc>
                <w:tcPr>
                  <w:tcW w:w="967" w:type="pct"/>
                  <w:shd w:val="clear" w:color="auto" w:fill="auto"/>
                  <w:noWrap/>
                  <w:vAlign w:val="center"/>
                </w:tcPr>
                <w:p w14:paraId="015AC03C">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65～85</w:t>
                  </w:r>
                </w:p>
              </w:tc>
              <w:tc>
                <w:tcPr>
                  <w:tcW w:w="596" w:type="pct"/>
                  <w:shd w:val="clear" w:color="auto" w:fill="auto"/>
                  <w:noWrap/>
                  <w:vAlign w:val="center"/>
                </w:tcPr>
                <w:p w14:paraId="0AD92703">
                  <w:pPr>
                    <w:pStyle w:val="33"/>
                    <w:spacing w:after="0"/>
                    <w:ind w:left="-42" w:leftChars="-20" w:right="-42" w:rightChars="-20" w:firstLine="0" w:firstLineChars="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1</w:t>
                  </w:r>
                </w:p>
              </w:tc>
              <w:tc>
                <w:tcPr>
                  <w:tcW w:w="985" w:type="pct"/>
                  <w:noWrap/>
                  <w:vAlign w:val="center"/>
                </w:tcPr>
                <w:p w14:paraId="6E35B483">
                  <w:pPr>
                    <w:pStyle w:val="33"/>
                    <w:spacing w:after="0"/>
                    <w:ind w:left="-42" w:leftChars="-20" w:right="-42" w:rightChars="-20" w:firstLine="0" w:firstLineChars="0"/>
                    <w:jc w:val="center"/>
                    <w:rPr>
                      <w:rFonts w:hAnsi="宋体"/>
                      <w:bCs/>
                      <w:color w:val="auto"/>
                      <w:szCs w:val="21"/>
                      <w:highlight w:val="none"/>
                    </w:rPr>
                  </w:pPr>
                  <w:r>
                    <w:rPr>
                      <w:rFonts w:hAnsi="宋体"/>
                      <w:bCs/>
                      <w:color w:val="auto"/>
                      <w:szCs w:val="21"/>
                      <w:highlight w:val="none"/>
                    </w:rPr>
                    <w:t>减振、厂房隔声</w:t>
                  </w:r>
                </w:p>
              </w:tc>
              <w:tc>
                <w:tcPr>
                  <w:tcW w:w="620" w:type="pct"/>
                  <w:noWrap/>
                  <w:vAlign w:val="center"/>
                </w:tcPr>
                <w:p w14:paraId="7CC4943D">
                  <w:pPr>
                    <w:jc w:val="center"/>
                    <w:rPr>
                      <w:rFonts w:hint="eastAsia"/>
                      <w:bCs/>
                      <w:color w:val="auto"/>
                      <w:szCs w:val="21"/>
                      <w:highlight w:val="none"/>
                    </w:rPr>
                  </w:pPr>
                  <w:r>
                    <w:rPr>
                      <w:rFonts w:hint="eastAsia"/>
                      <w:bCs/>
                      <w:color w:val="auto"/>
                      <w:szCs w:val="21"/>
                      <w:highlight w:val="none"/>
                    </w:rPr>
                    <w:t>20</w:t>
                  </w:r>
                </w:p>
              </w:tc>
            </w:tr>
          </w:tbl>
          <w:p w14:paraId="12533AF1">
            <w:pPr>
              <w:overflowPunct w:val="0"/>
              <w:spacing w:line="500" w:lineRule="exact"/>
              <w:ind w:firstLine="480" w:firstLineChars="200"/>
              <w:rPr>
                <w:rFonts w:eastAsiaTheme="minorEastAsia"/>
                <w:color w:val="auto"/>
                <w:sz w:val="24"/>
                <w:highlight w:val="none"/>
              </w:rPr>
            </w:pPr>
            <w:r>
              <w:rPr>
                <w:rFonts w:hAnsiTheme="minorEastAsia" w:eastAsiaTheme="minorEastAsia"/>
                <w:color w:val="auto"/>
                <w:sz w:val="24"/>
                <w:highlight w:val="none"/>
              </w:rPr>
              <w:t>（</w:t>
            </w:r>
            <w:r>
              <w:rPr>
                <w:rFonts w:eastAsiaTheme="minorEastAsia"/>
                <w:color w:val="auto"/>
                <w:sz w:val="24"/>
                <w:highlight w:val="none"/>
              </w:rPr>
              <w:t>2</w:t>
            </w:r>
            <w:r>
              <w:rPr>
                <w:rFonts w:hAnsiTheme="minorEastAsia" w:eastAsiaTheme="minorEastAsia"/>
                <w:color w:val="auto"/>
                <w:sz w:val="24"/>
                <w:highlight w:val="none"/>
              </w:rPr>
              <w:t>）预测模式</w:t>
            </w:r>
          </w:p>
          <w:p w14:paraId="5DF7E4B2">
            <w:pPr>
              <w:overflowPunct w:val="0"/>
              <w:spacing w:line="500" w:lineRule="exact"/>
              <w:ind w:firstLine="480" w:firstLineChars="200"/>
              <w:rPr>
                <w:rFonts w:eastAsiaTheme="minorEastAsia"/>
                <w:color w:val="auto"/>
                <w:sz w:val="24"/>
                <w:highlight w:val="none"/>
              </w:rPr>
            </w:pPr>
            <w:r>
              <w:rPr>
                <w:rFonts w:hAnsiTheme="minorEastAsia" w:eastAsiaTheme="minorEastAsia"/>
                <w:color w:val="auto"/>
                <w:sz w:val="24"/>
                <w:highlight w:val="none"/>
              </w:rPr>
              <w:t>本次评价通过距离衰减和噪声叠加对各敏感点噪声值进行预测，预测模式：</w:t>
            </w:r>
          </w:p>
          <w:p w14:paraId="5226C91D">
            <w:pPr>
              <w:overflowPunct w:val="0"/>
              <w:spacing w:line="500" w:lineRule="exact"/>
              <w:ind w:firstLine="480" w:firstLineChars="200"/>
              <w:rPr>
                <w:rFonts w:eastAsiaTheme="minorEastAsia"/>
                <w:color w:val="auto"/>
                <w:sz w:val="24"/>
                <w:highlight w:val="none"/>
              </w:rPr>
            </w:pPr>
            <w:r>
              <w:rPr>
                <w:rFonts w:eastAsiaTheme="minorEastAsia"/>
                <w:color w:val="auto"/>
                <w:sz w:val="24"/>
                <w:highlight w:val="none"/>
              </w:rPr>
              <w:t>A</w:t>
            </w:r>
            <w:r>
              <w:rPr>
                <w:rFonts w:hAnsiTheme="minorEastAsia" w:eastAsiaTheme="minorEastAsia"/>
                <w:color w:val="auto"/>
                <w:sz w:val="24"/>
                <w:highlight w:val="none"/>
              </w:rPr>
              <w:t>、点声源影响预测公式：</w:t>
            </w:r>
          </w:p>
          <w:p w14:paraId="273FAFA2">
            <w:pPr>
              <w:overflowPunct w:val="0"/>
              <w:spacing w:line="500" w:lineRule="exact"/>
              <w:jc w:val="center"/>
              <w:rPr>
                <w:rFonts w:eastAsiaTheme="minorEastAsia"/>
                <w:color w:val="auto"/>
                <w:sz w:val="24"/>
                <w:highlight w:val="none"/>
              </w:rPr>
            </w:pPr>
            <w:r>
              <w:rPr>
                <w:rFonts w:eastAsiaTheme="minorEastAsia"/>
                <w:color w:val="auto"/>
                <w:sz w:val="24"/>
                <w:highlight w:val="none"/>
              </w:rPr>
              <w:t>L(r)=L(r</w:t>
            </w:r>
            <w:r>
              <w:rPr>
                <w:rFonts w:eastAsiaTheme="minorEastAsia"/>
                <w:color w:val="auto"/>
                <w:sz w:val="24"/>
                <w:highlight w:val="none"/>
                <w:vertAlign w:val="subscript"/>
              </w:rPr>
              <w:t>0</w:t>
            </w:r>
            <w:r>
              <w:rPr>
                <w:rFonts w:eastAsiaTheme="minorEastAsia"/>
                <w:color w:val="auto"/>
                <w:sz w:val="24"/>
                <w:highlight w:val="none"/>
              </w:rPr>
              <w:t>)-20lg(r/r</w:t>
            </w:r>
            <w:r>
              <w:rPr>
                <w:rFonts w:eastAsiaTheme="minorEastAsia"/>
                <w:color w:val="auto"/>
                <w:sz w:val="24"/>
                <w:highlight w:val="none"/>
                <w:vertAlign w:val="subscript"/>
              </w:rPr>
              <w:t>0</w:t>
            </w:r>
            <w:r>
              <w:rPr>
                <w:rFonts w:eastAsiaTheme="minorEastAsia"/>
                <w:color w:val="auto"/>
                <w:sz w:val="24"/>
                <w:highlight w:val="none"/>
              </w:rPr>
              <w:t>)</w:t>
            </w:r>
            <w:r>
              <w:rPr>
                <w:rFonts w:eastAsiaTheme="minorEastAsia"/>
                <w:color w:val="auto"/>
                <w:sz w:val="24"/>
                <w:highlight w:val="none"/>
                <w:lang w:val="fr-FR"/>
              </w:rPr>
              <w:t>-</w:t>
            </w:r>
            <w:r>
              <w:rPr>
                <w:rFonts w:asciiTheme="minorEastAsia" w:hAnsiTheme="minorEastAsia" w:eastAsiaTheme="minorEastAsia"/>
                <w:color w:val="auto"/>
                <w:sz w:val="24"/>
                <w:highlight w:val="none"/>
                <w:lang w:val="fr-FR"/>
              </w:rPr>
              <w:t>△</w:t>
            </w:r>
            <w:r>
              <w:rPr>
                <w:rFonts w:eastAsiaTheme="minorEastAsia"/>
                <w:color w:val="auto"/>
                <w:sz w:val="24"/>
                <w:highlight w:val="none"/>
                <w:lang w:val="fr-FR"/>
              </w:rPr>
              <w:t>L</w:t>
            </w:r>
          </w:p>
          <w:p w14:paraId="59C953F2">
            <w:pPr>
              <w:overflowPunct w:val="0"/>
              <w:spacing w:line="500" w:lineRule="exact"/>
              <w:ind w:firstLine="480" w:firstLineChars="200"/>
              <w:rPr>
                <w:rFonts w:eastAsiaTheme="minorEastAsia"/>
                <w:color w:val="auto"/>
                <w:sz w:val="24"/>
                <w:highlight w:val="none"/>
              </w:rPr>
            </w:pPr>
            <w:r>
              <w:rPr>
                <w:rFonts w:hAnsiTheme="minorEastAsia" w:eastAsiaTheme="minorEastAsia"/>
                <w:color w:val="auto"/>
                <w:sz w:val="24"/>
                <w:highlight w:val="none"/>
              </w:rPr>
              <w:t>式中：</w:t>
            </w:r>
            <w:r>
              <w:rPr>
                <w:rFonts w:eastAsiaTheme="minorEastAsia"/>
                <w:color w:val="auto"/>
                <w:sz w:val="24"/>
                <w:highlight w:val="none"/>
              </w:rPr>
              <w:t>L(r)---</w:t>
            </w:r>
            <w:r>
              <w:rPr>
                <w:rFonts w:hAnsiTheme="minorEastAsia" w:eastAsiaTheme="minorEastAsia"/>
                <w:color w:val="auto"/>
                <w:sz w:val="24"/>
                <w:highlight w:val="none"/>
              </w:rPr>
              <w:t>距离噪声源</w:t>
            </w:r>
            <w:r>
              <w:rPr>
                <w:rFonts w:eastAsiaTheme="minorEastAsia"/>
                <w:color w:val="auto"/>
                <w:sz w:val="24"/>
                <w:highlight w:val="none"/>
              </w:rPr>
              <w:t>r</w:t>
            </w:r>
            <w:r>
              <w:rPr>
                <w:rFonts w:hAnsiTheme="minorEastAsia" w:eastAsiaTheme="minorEastAsia"/>
                <w:color w:val="auto"/>
                <w:sz w:val="24"/>
                <w:highlight w:val="none"/>
              </w:rPr>
              <w:t>处的等效</w:t>
            </w:r>
            <w:r>
              <w:rPr>
                <w:rFonts w:eastAsiaTheme="minorEastAsia"/>
                <w:color w:val="auto"/>
                <w:sz w:val="24"/>
                <w:highlight w:val="none"/>
              </w:rPr>
              <w:t>A</w:t>
            </w:r>
            <w:r>
              <w:rPr>
                <w:rFonts w:hAnsiTheme="minorEastAsia" w:eastAsiaTheme="minorEastAsia"/>
                <w:color w:val="auto"/>
                <w:sz w:val="24"/>
                <w:highlight w:val="none"/>
              </w:rPr>
              <w:t>声级值，</w:t>
            </w:r>
            <w:r>
              <w:rPr>
                <w:rFonts w:eastAsiaTheme="minorEastAsia"/>
                <w:color w:val="auto"/>
                <w:sz w:val="24"/>
                <w:highlight w:val="none"/>
              </w:rPr>
              <w:t>dB(A</w:t>
            </w:r>
            <w:r>
              <w:rPr>
                <w:rFonts w:hint="eastAsia" w:eastAsiaTheme="minorEastAsia"/>
                <w:color w:val="auto"/>
                <w:sz w:val="24"/>
                <w:highlight w:val="none"/>
                <w:lang w:eastAsia="zh-CN"/>
              </w:rPr>
              <w:t>）</w:t>
            </w:r>
            <w:r>
              <w:rPr>
                <w:rFonts w:hAnsiTheme="minorEastAsia" w:eastAsiaTheme="minorEastAsia"/>
                <w:color w:val="auto"/>
                <w:sz w:val="24"/>
                <w:highlight w:val="none"/>
              </w:rPr>
              <w:t>；</w:t>
            </w:r>
          </w:p>
          <w:p w14:paraId="338A5F46">
            <w:pPr>
              <w:overflowPunct w:val="0"/>
              <w:spacing w:line="500" w:lineRule="exact"/>
              <w:ind w:firstLine="1176" w:firstLineChars="490"/>
              <w:rPr>
                <w:rFonts w:eastAsiaTheme="minorEastAsia"/>
                <w:color w:val="auto"/>
                <w:sz w:val="24"/>
                <w:highlight w:val="none"/>
              </w:rPr>
            </w:pPr>
            <w:r>
              <w:rPr>
                <w:rFonts w:eastAsiaTheme="minorEastAsia"/>
                <w:color w:val="auto"/>
                <w:sz w:val="24"/>
                <w:highlight w:val="none"/>
              </w:rPr>
              <w:t>L(r0)---</w:t>
            </w:r>
            <w:r>
              <w:rPr>
                <w:rFonts w:hAnsiTheme="minorEastAsia" w:eastAsiaTheme="minorEastAsia"/>
                <w:color w:val="auto"/>
                <w:sz w:val="24"/>
                <w:highlight w:val="none"/>
              </w:rPr>
              <w:t>距离噪声源</w:t>
            </w:r>
            <w:r>
              <w:rPr>
                <w:rFonts w:eastAsiaTheme="minorEastAsia"/>
                <w:color w:val="auto"/>
                <w:sz w:val="24"/>
                <w:highlight w:val="none"/>
              </w:rPr>
              <w:t>r0</w:t>
            </w:r>
            <w:r>
              <w:rPr>
                <w:rFonts w:hAnsiTheme="minorEastAsia" w:eastAsiaTheme="minorEastAsia"/>
                <w:color w:val="auto"/>
                <w:sz w:val="24"/>
                <w:highlight w:val="none"/>
              </w:rPr>
              <w:t>处的等效</w:t>
            </w:r>
            <w:r>
              <w:rPr>
                <w:rFonts w:eastAsiaTheme="minorEastAsia"/>
                <w:color w:val="auto"/>
                <w:sz w:val="24"/>
                <w:highlight w:val="none"/>
              </w:rPr>
              <w:t>A</w:t>
            </w:r>
            <w:r>
              <w:rPr>
                <w:rFonts w:hAnsiTheme="minorEastAsia" w:eastAsiaTheme="minorEastAsia"/>
                <w:color w:val="auto"/>
                <w:sz w:val="24"/>
                <w:highlight w:val="none"/>
              </w:rPr>
              <w:t>声级值，</w:t>
            </w:r>
            <w:r>
              <w:rPr>
                <w:rFonts w:eastAsiaTheme="minorEastAsia"/>
                <w:color w:val="auto"/>
                <w:sz w:val="24"/>
                <w:highlight w:val="none"/>
              </w:rPr>
              <w:t>dB(A</w:t>
            </w:r>
            <w:r>
              <w:rPr>
                <w:rFonts w:hint="eastAsia" w:eastAsiaTheme="minorEastAsia"/>
                <w:color w:val="auto"/>
                <w:sz w:val="24"/>
                <w:highlight w:val="none"/>
                <w:lang w:eastAsia="zh-CN"/>
              </w:rPr>
              <w:t>）</w:t>
            </w:r>
            <w:r>
              <w:rPr>
                <w:rFonts w:hAnsiTheme="minorEastAsia" w:eastAsiaTheme="minorEastAsia"/>
                <w:color w:val="auto"/>
                <w:sz w:val="24"/>
                <w:highlight w:val="none"/>
              </w:rPr>
              <w:t>；</w:t>
            </w:r>
          </w:p>
          <w:p w14:paraId="5F01034E">
            <w:pPr>
              <w:overflowPunct w:val="0"/>
              <w:spacing w:line="500" w:lineRule="exact"/>
              <w:ind w:firstLine="1176" w:firstLineChars="490"/>
              <w:rPr>
                <w:rFonts w:eastAsiaTheme="minorEastAsia"/>
                <w:color w:val="auto"/>
                <w:sz w:val="24"/>
                <w:highlight w:val="none"/>
              </w:rPr>
            </w:pPr>
            <w:r>
              <w:rPr>
                <w:rFonts w:eastAsiaTheme="minorEastAsia"/>
                <w:color w:val="auto"/>
                <w:sz w:val="24"/>
                <w:highlight w:val="none"/>
              </w:rPr>
              <w:t>r---</w:t>
            </w:r>
            <w:r>
              <w:rPr>
                <w:rFonts w:hAnsiTheme="minorEastAsia" w:eastAsiaTheme="minorEastAsia"/>
                <w:color w:val="auto"/>
                <w:sz w:val="24"/>
                <w:highlight w:val="none"/>
              </w:rPr>
              <w:t>预测点距噪声源距离，（</w:t>
            </w:r>
            <w:r>
              <w:rPr>
                <w:rFonts w:eastAsiaTheme="minorEastAsia"/>
                <w:color w:val="auto"/>
                <w:sz w:val="24"/>
                <w:highlight w:val="none"/>
              </w:rPr>
              <w:t>m</w:t>
            </w:r>
            <w:r>
              <w:rPr>
                <w:rFonts w:hAnsiTheme="minorEastAsia" w:eastAsiaTheme="minorEastAsia"/>
                <w:color w:val="auto"/>
                <w:sz w:val="24"/>
                <w:highlight w:val="none"/>
              </w:rPr>
              <w:t>）；</w:t>
            </w:r>
          </w:p>
          <w:p w14:paraId="76EF0605">
            <w:pPr>
              <w:overflowPunct w:val="0"/>
              <w:spacing w:line="500" w:lineRule="exact"/>
              <w:ind w:firstLine="1176" w:firstLineChars="490"/>
              <w:rPr>
                <w:rFonts w:eastAsiaTheme="minorEastAsia"/>
                <w:color w:val="auto"/>
                <w:sz w:val="24"/>
                <w:highlight w:val="none"/>
              </w:rPr>
            </w:pPr>
            <w:r>
              <w:rPr>
                <w:rFonts w:eastAsiaTheme="minorEastAsia"/>
                <w:color w:val="auto"/>
                <w:sz w:val="24"/>
                <w:highlight w:val="none"/>
              </w:rPr>
              <w:t>r</w:t>
            </w:r>
            <w:r>
              <w:rPr>
                <w:rFonts w:eastAsiaTheme="minorEastAsia"/>
                <w:color w:val="auto"/>
                <w:sz w:val="24"/>
                <w:highlight w:val="none"/>
                <w:vertAlign w:val="subscript"/>
              </w:rPr>
              <w:t>0</w:t>
            </w:r>
            <w:r>
              <w:rPr>
                <w:rFonts w:eastAsiaTheme="minorEastAsia"/>
                <w:color w:val="auto"/>
                <w:sz w:val="24"/>
                <w:highlight w:val="none"/>
              </w:rPr>
              <w:t>---</w:t>
            </w:r>
            <w:r>
              <w:rPr>
                <w:rFonts w:hAnsiTheme="minorEastAsia" w:eastAsiaTheme="minorEastAsia"/>
                <w:color w:val="auto"/>
                <w:sz w:val="24"/>
                <w:highlight w:val="none"/>
              </w:rPr>
              <w:t>源强外</w:t>
            </w:r>
            <w:r>
              <w:rPr>
                <w:rFonts w:eastAsiaTheme="minorEastAsia"/>
                <w:color w:val="auto"/>
                <w:sz w:val="24"/>
                <w:highlight w:val="none"/>
              </w:rPr>
              <w:t>1m</w:t>
            </w:r>
            <w:r>
              <w:rPr>
                <w:rFonts w:hAnsiTheme="minorEastAsia" w:eastAsiaTheme="minorEastAsia"/>
                <w:color w:val="auto"/>
                <w:sz w:val="24"/>
                <w:highlight w:val="none"/>
              </w:rPr>
              <w:t>处；</w:t>
            </w:r>
          </w:p>
          <w:p w14:paraId="3FC116F3">
            <w:pPr>
              <w:overflowPunct w:val="0"/>
              <w:spacing w:line="500" w:lineRule="exact"/>
              <w:ind w:firstLine="1176" w:firstLineChars="490"/>
              <w:rPr>
                <w:rFonts w:eastAsiaTheme="minorEastAsia"/>
                <w:color w:val="auto"/>
                <w:sz w:val="24"/>
                <w:highlight w:val="none"/>
              </w:rPr>
            </w:pPr>
            <w:r>
              <w:rPr>
                <w:rFonts w:asciiTheme="minorEastAsia" w:hAnsiTheme="minorEastAsia" w:eastAsiaTheme="minorEastAsia"/>
                <w:color w:val="auto"/>
                <w:sz w:val="24"/>
                <w:highlight w:val="none"/>
              </w:rPr>
              <w:t>△</w:t>
            </w:r>
            <w:r>
              <w:rPr>
                <w:rFonts w:eastAsiaTheme="minorEastAsia"/>
                <w:color w:val="auto"/>
                <w:sz w:val="24"/>
                <w:highlight w:val="none"/>
              </w:rPr>
              <w:t>L---</w:t>
            </w:r>
            <w:r>
              <w:rPr>
                <w:rFonts w:hAnsiTheme="minorEastAsia" w:eastAsiaTheme="minorEastAsia"/>
                <w:color w:val="auto"/>
                <w:sz w:val="24"/>
                <w:highlight w:val="none"/>
              </w:rPr>
              <w:t>其它衰减因子。</w:t>
            </w:r>
          </w:p>
          <w:p w14:paraId="48A300F9">
            <w:pPr>
              <w:overflowPunct w:val="0"/>
              <w:spacing w:line="500" w:lineRule="exact"/>
              <w:ind w:firstLine="480" w:firstLineChars="200"/>
              <w:rPr>
                <w:rFonts w:eastAsiaTheme="minorEastAsia"/>
                <w:color w:val="auto"/>
                <w:sz w:val="24"/>
                <w:highlight w:val="none"/>
              </w:rPr>
            </w:pPr>
            <w:r>
              <w:rPr>
                <w:rFonts w:eastAsiaTheme="minorEastAsia"/>
                <w:color w:val="auto"/>
                <w:sz w:val="24"/>
                <w:highlight w:val="none"/>
              </w:rPr>
              <w:t>B</w:t>
            </w:r>
            <w:r>
              <w:rPr>
                <w:rFonts w:hAnsiTheme="minorEastAsia" w:eastAsiaTheme="minorEastAsia"/>
                <w:color w:val="auto"/>
                <w:sz w:val="24"/>
                <w:highlight w:val="none"/>
              </w:rPr>
              <w:t>、多源叠加公式：</w:t>
            </w:r>
          </w:p>
          <w:p w14:paraId="70B742AD">
            <w:pPr>
              <w:overflowPunct w:val="0"/>
              <w:snapToGrid w:val="0"/>
              <w:spacing w:line="360" w:lineRule="auto"/>
              <w:jc w:val="center"/>
              <w:rPr>
                <w:rFonts w:eastAsiaTheme="minorEastAsia"/>
                <w:color w:val="auto"/>
                <w:sz w:val="24"/>
                <w:highlight w:val="none"/>
              </w:rPr>
            </w:pPr>
            <w:r>
              <w:rPr>
                <w:rFonts w:eastAsiaTheme="minorEastAsia"/>
                <w:color w:val="auto"/>
                <w:position w:val="-28"/>
                <w:sz w:val="24"/>
                <w:highlight w:val="none"/>
              </w:rPr>
              <w:object>
                <v:shape id="_x0000_i1025" o:spt="75" type="#_x0000_t75" style="height:34.95pt;width:91.55pt;" o:ole="t" filled="f" o:preferrelative="t" stroked="f" coordsize="21600,21600">
                  <v:path/>
                  <v:fill on="f" focussize="0,0"/>
                  <v:stroke on="f" joinstyle="miter"/>
                  <v:imagedata r:id="rId10" o:title=""/>
                  <o:lock v:ext="edit" aspectratio="t"/>
                  <w10:wrap type="none"/>
                  <w10:anchorlock/>
                </v:shape>
                <o:OLEObject Type="Embed" ProgID="Equation.3" ShapeID="_x0000_i1025" DrawAspect="Content" ObjectID="_1468075725" r:id="rId9">
                  <o:LockedField>false</o:LockedField>
                </o:OLEObject>
              </w:object>
            </w:r>
          </w:p>
          <w:p w14:paraId="37A1D4E8">
            <w:pPr>
              <w:overflowPunct w:val="0"/>
              <w:spacing w:line="500" w:lineRule="exact"/>
              <w:ind w:firstLine="480" w:firstLineChars="200"/>
              <w:rPr>
                <w:rFonts w:eastAsiaTheme="minorEastAsia"/>
                <w:color w:val="auto"/>
                <w:sz w:val="24"/>
                <w:highlight w:val="none"/>
              </w:rPr>
            </w:pPr>
            <w:r>
              <w:rPr>
                <w:rFonts w:hAnsiTheme="minorEastAsia" w:eastAsiaTheme="minorEastAsia"/>
                <w:color w:val="auto"/>
                <w:sz w:val="24"/>
                <w:highlight w:val="none"/>
              </w:rPr>
              <w:t>式中：</w:t>
            </w:r>
            <w:r>
              <w:rPr>
                <w:rFonts w:eastAsiaTheme="minorEastAsia"/>
                <w:color w:val="auto"/>
                <w:sz w:val="24"/>
                <w:highlight w:val="none"/>
              </w:rPr>
              <w:t>L---</w:t>
            </w:r>
            <w:r>
              <w:rPr>
                <w:rFonts w:hAnsiTheme="minorEastAsia" w:eastAsiaTheme="minorEastAsia"/>
                <w:color w:val="auto"/>
                <w:sz w:val="24"/>
                <w:highlight w:val="none"/>
              </w:rPr>
              <w:t>总等效</w:t>
            </w:r>
            <w:r>
              <w:rPr>
                <w:rFonts w:eastAsiaTheme="minorEastAsia"/>
                <w:color w:val="auto"/>
                <w:sz w:val="24"/>
                <w:highlight w:val="none"/>
              </w:rPr>
              <w:t xml:space="preserve">A </w:t>
            </w:r>
            <w:r>
              <w:rPr>
                <w:rFonts w:hAnsiTheme="minorEastAsia" w:eastAsiaTheme="minorEastAsia"/>
                <w:color w:val="auto"/>
                <w:sz w:val="24"/>
                <w:highlight w:val="none"/>
              </w:rPr>
              <w:t>声级值，</w:t>
            </w:r>
            <w:r>
              <w:rPr>
                <w:rFonts w:eastAsiaTheme="minorEastAsia"/>
                <w:color w:val="auto"/>
                <w:sz w:val="24"/>
                <w:highlight w:val="none"/>
              </w:rPr>
              <w:t>dB(A</w:t>
            </w:r>
            <w:r>
              <w:rPr>
                <w:rFonts w:hint="eastAsia" w:eastAsiaTheme="minorEastAsia"/>
                <w:color w:val="auto"/>
                <w:sz w:val="24"/>
                <w:highlight w:val="none"/>
                <w:lang w:eastAsia="zh-CN"/>
              </w:rPr>
              <w:t>）</w:t>
            </w:r>
            <w:r>
              <w:rPr>
                <w:rFonts w:hAnsiTheme="minorEastAsia" w:eastAsiaTheme="minorEastAsia"/>
                <w:color w:val="auto"/>
                <w:sz w:val="24"/>
                <w:highlight w:val="none"/>
              </w:rPr>
              <w:t>；</w:t>
            </w:r>
          </w:p>
          <w:p w14:paraId="380AC33A">
            <w:pPr>
              <w:overflowPunct w:val="0"/>
              <w:spacing w:line="500" w:lineRule="exact"/>
              <w:ind w:firstLine="1176" w:firstLineChars="490"/>
              <w:rPr>
                <w:rFonts w:eastAsiaTheme="minorEastAsia"/>
                <w:color w:val="auto"/>
                <w:sz w:val="24"/>
                <w:highlight w:val="none"/>
              </w:rPr>
            </w:pPr>
            <w:r>
              <w:rPr>
                <w:rFonts w:eastAsiaTheme="minorEastAsia"/>
                <w:color w:val="auto"/>
                <w:sz w:val="24"/>
                <w:highlight w:val="none"/>
              </w:rPr>
              <w:t>Li---</w:t>
            </w:r>
            <w:r>
              <w:rPr>
                <w:rFonts w:hAnsiTheme="minorEastAsia" w:eastAsiaTheme="minorEastAsia"/>
                <w:color w:val="auto"/>
                <w:sz w:val="24"/>
                <w:highlight w:val="none"/>
              </w:rPr>
              <w:t>第</w:t>
            </w:r>
            <w:r>
              <w:rPr>
                <w:rFonts w:eastAsiaTheme="minorEastAsia"/>
                <w:color w:val="auto"/>
                <w:sz w:val="24"/>
                <w:highlight w:val="none"/>
              </w:rPr>
              <w:t>i</w:t>
            </w:r>
            <w:r>
              <w:rPr>
                <w:rFonts w:hAnsiTheme="minorEastAsia" w:eastAsiaTheme="minorEastAsia"/>
                <w:color w:val="auto"/>
                <w:sz w:val="24"/>
                <w:highlight w:val="none"/>
              </w:rPr>
              <w:t>个声源的等级</w:t>
            </w:r>
            <w:r>
              <w:rPr>
                <w:rFonts w:eastAsiaTheme="minorEastAsia"/>
                <w:color w:val="auto"/>
                <w:sz w:val="24"/>
                <w:highlight w:val="none"/>
              </w:rPr>
              <w:t xml:space="preserve"> A</w:t>
            </w:r>
            <w:r>
              <w:rPr>
                <w:rFonts w:hAnsiTheme="minorEastAsia" w:eastAsiaTheme="minorEastAsia"/>
                <w:color w:val="auto"/>
                <w:sz w:val="24"/>
                <w:highlight w:val="none"/>
              </w:rPr>
              <w:t>声压级值，</w:t>
            </w:r>
            <w:r>
              <w:rPr>
                <w:rFonts w:eastAsiaTheme="minorEastAsia"/>
                <w:color w:val="auto"/>
                <w:sz w:val="24"/>
                <w:highlight w:val="none"/>
              </w:rPr>
              <w:t>dB(A</w:t>
            </w:r>
            <w:r>
              <w:rPr>
                <w:rFonts w:hint="eastAsia" w:eastAsiaTheme="minorEastAsia"/>
                <w:color w:val="auto"/>
                <w:sz w:val="24"/>
                <w:highlight w:val="none"/>
                <w:lang w:eastAsia="zh-CN"/>
              </w:rPr>
              <w:t>）</w:t>
            </w:r>
            <w:r>
              <w:rPr>
                <w:rFonts w:hAnsiTheme="minorEastAsia" w:eastAsiaTheme="minorEastAsia"/>
                <w:color w:val="auto"/>
                <w:sz w:val="24"/>
                <w:highlight w:val="none"/>
              </w:rPr>
              <w:t>；</w:t>
            </w:r>
          </w:p>
          <w:p w14:paraId="15356B6C">
            <w:pPr>
              <w:overflowPunct w:val="0"/>
              <w:spacing w:line="500" w:lineRule="exact"/>
              <w:ind w:firstLine="1176" w:firstLineChars="490"/>
              <w:rPr>
                <w:rFonts w:eastAsiaTheme="minorEastAsia"/>
                <w:color w:val="auto"/>
                <w:sz w:val="24"/>
                <w:highlight w:val="none"/>
              </w:rPr>
            </w:pPr>
            <w:r>
              <w:rPr>
                <w:rFonts w:eastAsiaTheme="minorEastAsia"/>
                <w:color w:val="auto"/>
                <w:sz w:val="24"/>
                <w:highlight w:val="none"/>
              </w:rPr>
              <w:t>n---</w:t>
            </w:r>
            <w:r>
              <w:rPr>
                <w:rFonts w:hAnsiTheme="minorEastAsia" w:eastAsiaTheme="minorEastAsia"/>
                <w:color w:val="auto"/>
                <w:sz w:val="24"/>
                <w:highlight w:val="none"/>
              </w:rPr>
              <w:t>声源个数。</w:t>
            </w:r>
          </w:p>
          <w:p w14:paraId="75648CEA">
            <w:pPr>
              <w:overflowPunct w:val="0"/>
              <w:spacing w:line="440" w:lineRule="exact"/>
              <w:ind w:firstLine="480" w:firstLineChars="200"/>
              <w:rPr>
                <w:rFonts w:eastAsiaTheme="minorEastAsia"/>
                <w:color w:val="auto"/>
                <w:sz w:val="24"/>
                <w:highlight w:val="none"/>
              </w:rPr>
            </w:pPr>
            <w:r>
              <w:rPr>
                <w:rFonts w:hAnsiTheme="minorEastAsia" w:eastAsiaTheme="minorEastAsia"/>
                <w:color w:val="auto"/>
                <w:sz w:val="24"/>
                <w:highlight w:val="none"/>
              </w:rPr>
              <w:t>（</w:t>
            </w:r>
            <w:r>
              <w:rPr>
                <w:rFonts w:eastAsiaTheme="minorEastAsia"/>
                <w:color w:val="auto"/>
                <w:sz w:val="24"/>
                <w:highlight w:val="none"/>
              </w:rPr>
              <w:t>3</w:t>
            </w:r>
            <w:r>
              <w:rPr>
                <w:rFonts w:hAnsiTheme="minorEastAsia" w:eastAsiaTheme="minorEastAsia"/>
                <w:color w:val="auto"/>
                <w:sz w:val="24"/>
                <w:highlight w:val="none"/>
              </w:rPr>
              <w:t>）评价标准</w:t>
            </w:r>
          </w:p>
          <w:p w14:paraId="04AAD8D1">
            <w:pPr>
              <w:overflowPunct w:val="0"/>
              <w:spacing w:line="440" w:lineRule="exact"/>
              <w:ind w:firstLine="480" w:firstLineChars="200"/>
              <w:rPr>
                <w:rFonts w:eastAsiaTheme="minorEastAsia"/>
                <w:color w:val="auto"/>
                <w:sz w:val="24"/>
                <w:highlight w:val="none"/>
              </w:rPr>
            </w:pPr>
            <w:r>
              <w:rPr>
                <w:rFonts w:hAnsiTheme="minorEastAsia" w:eastAsiaTheme="minorEastAsia"/>
                <w:color w:val="auto"/>
                <w:sz w:val="24"/>
                <w:highlight w:val="none"/>
              </w:rPr>
              <w:t>评价标准采用《工业企业厂界环境噪声排放标准》（</w:t>
            </w:r>
            <w:r>
              <w:rPr>
                <w:rFonts w:eastAsiaTheme="minorEastAsia"/>
                <w:color w:val="auto"/>
                <w:sz w:val="24"/>
                <w:highlight w:val="none"/>
              </w:rPr>
              <w:t>GB12348-2008</w:t>
            </w:r>
            <w:r>
              <w:rPr>
                <w:rFonts w:hAnsiTheme="minorEastAsia" w:eastAsiaTheme="minorEastAsia"/>
                <w:color w:val="auto"/>
                <w:sz w:val="24"/>
                <w:highlight w:val="none"/>
              </w:rPr>
              <w:t>）</w:t>
            </w:r>
            <w:r>
              <w:rPr>
                <w:rFonts w:hint="eastAsia" w:hAnsiTheme="minorEastAsia" w:eastAsiaTheme="minorEastAsia"/>
                <w:color w:val="auto"/>
                <w:sz w:val="24"/>
                <w:highlight w:val="none"/>
              </w:rPr>
              <w:t>中3类标准</w:t>
            </w:r>
            <w:r>
              <w:rPr>
                <w:rFonts w:hAnsiTheme="minorEastAsia" w:eastAsiaTheme="minorEastAsia"/>
                <w:color w:val="auto"/>
                <w:sz w:val="24"/>
                <w:highlight w:val="none"/>
              </w:rPr>
              <w:t>。</w:t>
            </w:r>
          </w:p>
          <w:p w14:paraId="3B45DFCA">
            <w:pPr>
              <w:overflowPunct w:val="0"/>
              <w:spacing w:line="440" w:lineRule="exact"/>
              <w:ind w:firstLine="480" w:firstLineChars="200"/>
              <w:rPr>
                <w:rFonts w:eastAsiaTheme="minorEastAsia"/>
                <w:color w:val="auto"/>
                <w:sz w:val="24"/>
                <w:highlight w:val="none"/>
              </w:rPr>
            </w:pPr>
            <w:r>
              <w:rPr>
                <w:rFonts w:hAnsiTheme="minorEastAsia" w:eastAsiaTheme="minorEastAsia"/>
                <w:color w:val="auto"/>
                <w:sz w:val="24"/>
                <w:highlight w:val="none"/>
              </w:rPr>
              <w:t>（</w:t>
            </w:r>
            <w:r>
              <w:rPr>
                <w:rFonts w:eastAsiaTheme="minorEastAsia"/>
                <w:color w:val="auto"/>
                <w:sz w:val="24"/>
                <w:highlight w:val="none"/>
              </w:rPr>
              <w:t>4</w:t>
            </w:r>
            <w:r>
              <w:rPr>
                <w:rFonts w:hAnsiTheme="minorEastAsia" w:eastAsiaTheme="minorEastAsia"/>
                <w:color w:val="auto"/>
                <w:sz w:val="24"/>
                <w:highlight w:val="none"/>
              </w:rPr>
              <w:t>）预测结果</w:t>
            </w:r>
          </w:p>
          <w:p w14:paraId="0F53A019">
            <w:pPr>
              <w:spacing w:line="440" w:lineRule="exact"/>
              <w:ind w:firstLine="480" w:firstLineChars="200"/>
              <w:rPr>
                <w:rFonts w:eastAsiaTheme="minorEastAsia"/>
                <w:color w:val="auto"/>
                <w:sz w:val="24"/>
                <w:highlight w:val="none"/>
              </w:rPr>
            </w:pPr>
            <w:r>
              <w:rPr>
                <w:rFonts w:hAnsiTheme="minorEastAsia" w:eastAsiaTheme="minorEastAsia"/>
                <w:color w:val="auto"/>
                <w:sz w:val="24"/>
                <w:highlight w:val="none"/>
              </w:rPr>
              <w:t>由于本项目夜间不工作，各声源与预测点间的距离见表</w:t>
            </w:r>
            <w:r>
              <w:rPr>
                <w:rFonts w:hint="eastAsia" w:eastAsiaTheme="minorEastAsia"/>
                <w:color w:val="auto"/>
                <w:sz w:val="24"/>
                <w:highlight w:val="none"/>
                <w:lang w:val="en-US" w:eastAsia="zh-CN"/>
              </w:rPr>
              <w:t>4-12</w:t>
            </w:r>
            <w:r>
              <w:rPr>
                <w:rFonts w:hAnsiTheme="minorEastAsia" w:eastAsiaTheme="minorEastAsia"/>
                <w:color w:val="auto"/>
                <w:sz w:val="24"/>
                <w:highlight w:val="none"/>
              </w:rPr>
              <w:t>，噪声衰减预测结果表</w:t>
            </w:r>
            <w:r>
              <w:rPr>
                <w:rFonts w:hint="eastAsia" w:eastAsiaTheme="minorEastAsia"/>
                <w:color w:val="auto"/>
                <w:sz w:val="24"/>
                <w:highlight w:val="none"/>
                <w:lang w:val="en-US" w:eastAsia="zh-CN"/>
              </w:rPr>
              <w:t>4-13</w:t>
            </w:r>
            <w:r>
              <w:rPr>
                <w:rFonts w:hAnsiTheme="minorEastAsia" w:eastAsiaTheme="minorEastAsia"/>
                <w:color w:val="auto"/>
                <w:sz w:val="24"/>
                <w:highlight w:val="none"/>
              </w:rPr>
              <w:t>。</w:t>
            </w:r>
          </w:p>
          <w:p w14:paraId="3D1EDBDB">
            <w:pPr>
              <w:spacing w:line="440" w:lineRule="exact"/>
              <w:jc w:val="center"/>
              <w:rPr>
                <w:rFonts w:eastAsiaTheme="minorEastAsia"/>
                <w:b/>
                <w:color w:val="auto"/>
                <w:sz w:val="21"/>
                <w:szCs w:val="21"/>
                <w:highlight w:val="none"/>
              </w:rPr>
            </w:pPr>
            <w:r>
              <w:rPr>
                <w:rFonts w:hAnsiTheme="minorEastAsia" w:eastAsiaTheme="minorEastAsia"/>
                <w:b/>
                <w:color w:val="auto"/>
                <w:sz w:val="21"/>
                <w:szCs w:val="21"/>
                <w:highlight w:val="none"/>
              </w:rPr>
              <w:t>表</w:t>
            </w:r>
            <w:r>
              <w:rPr>
                <w:rFonts w:hint="eastAsia" w:eastAsiaTheme="minorEastAsia"/>
                <w:b/>
                <w:color w:val="auto"/>
                <w:sz w:val="21"/>
                <w:szCs w:val="21"/>
                <w:highlight w:val="none"/>
                <w:lang w:val="en-US" w:eastAsia="zh-CN"/>
              </w:rPr>
              <w:t>4-13</w:t>
            </w:r>
            <w:r>
              <w:rPr>
                <w:b/>
                <w:bCs/>
                <w:color w:val="auto"/>
                <w:sz w:val="21"/>
                <w:szCs w:val="21"/>
                <w:highlight w:val="none"/>
              </w:rPr>
              <w:t xml:space="preserve">        </w:t>
            </w:r>
            <w:r>
              <w:rPr>
                <w:rFonts w:hAnsiTheme="minorEastAsia" w:eastAsiaTheme="minorEastAsia"/>
                <w:b/>
                <w:color w:val="auto"/>
                <w:sz w:val="21"/>
                <w:szCs w:val="21"/>
                <w:highlight w:val="none"/>
              </w:rPr>
              <w:t>各声源与预测点间的距离单位：</w:t>
            </w:r>
            <w:r>
              <w:rPr>
                <w:rFonts w:eastAsiaTheme="minorEastAsia"/>
                <w:b/>
                <w:color w:val="auto"/>
                <w:sz w:val="21"/>
                <w:szCs w:val="21"/>
                <w:highlight w:val="none"/>
              </w:rPr>
              <w:t>dB</w:t>
            </w:r>
            <w:r>
              <w:rPr>
                <w:rFonts w:hAnsiTheme="minorEastAsia" w:eastAsiaTheme="minorEastAsia"/>
                <w:b/>
                <w:color w:val="auto"/>
                <w:sz w:val="21"/>
                <w:szCs w:val="21"/>
                <w:highlight w:val="none"/>
              </w:rPr>
              <w:t>（</w:t>
            </w:r>
            <w:r>
              <w:rPr>
                <w:rFonts w:eastAsiaTheme="minorEastAsia"/>
                <w:b/>
                <w:color w:val="auto"/>
                <w:sz w:val="21"/>
                <w:szCs w:val="21"/>
                <w:highlight w:val="none"/>
              </w:rPr>
              <w:t>A</w:t>
            </w:r>
            <w:r>
              <w:rPr>
                <w:rFonts w:hAnsiTheme="minorEastAsia" w:eastAsiaTheme="minorEastAsia"/>
                <w:b/>
                <w:color w:val="auto"/>
                <w:sz w:val="21"/>
                <w:szCs w:val="21"/>
                <w:highlight w:val="none"/>
              </w:rPr>
              <w:t>）</w:t>
            </w:r>
          </w:p>
          <w:tbl>
            <w:tblPr>
              <w:tblStyle w:val="35"/>
              <w:tblW w:w="49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975"/>
              <w:gridCol w:w="2392"/>
              <w:gridCol w:w="893"/>
              <w:gridCol w:w="1312"/>
              <w:gridCol w:w="568"/>
              <w:gridCol w:w="568"/>
              <w:gridCol w:w="568"/>
              <w:gridCol w:w="571"/>
            </w:tblGrid>
            <w:tr w14:paraId="03BB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vMerge w:val="restart"/>
                  <w:vAlign w:val="center"/>
                </w:tcPr>
                <w:p w14:paraId="5405755E">
                  <w:pPr>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序号</w:t>
                  </w:r>
                </w:p>
              </w:tc>
              <w:tc>
                <w:tcPr>
                  <w:tcW w:w="589" w:type="pct"/>
                  <w:vMerge w:val="restart"/>
                  <w:vAlign w:val="center"/>
                </w:tcPr>
                <w:p w14:paraId="7B192918">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建筑物</w:t>
                  </w:r>
                </w:p>
              </w:tc>
              <w:tc>
                <w:tcPr>
                  <w:tcW w:w="1445" w:type="pct"/>
                  <w:vMerge w:val="restart"/>
                  <w:shd w:val="clear" w:color="auto" w:fill="auto"/>
                  <w:vAlign w:val="center"/>
                </w:tcPr>
                <w:p w14:paraId="1E8199F9">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噪声设备</w:t>
                  </w:r>
                </w:p>
              </w:tc>
              <w:tc>
                <w:tcPr>
                  <w:tcW w:w="539" w:type="pct"/>
                  <w:vMerge w:val="restart"/>
                  <w:vAlign w:val="center"/>
                </w:tcPr>
                <w:p w14:paraId="3CF54102">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数量（台）</w:t>
                  </w:r>
                </w:p>
              </w:tc>
              <w:tc>
                <w:tcPr>
                  <w:tcW w:w="792" w:type="pct"/>
                  <w:vMerge w:val="restart"/>
                  <w:shd w:val="clear" w:color="auto" w:fill="auto"/>
                  <w:vAlign w:val="center"/>
                </w:tcPr>
                <w:p w14:paraId="080D59BC">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降噪后声级</w:t>
                  </w:r>
                </w:p>
              </w:tc>
              <w:tc>
                <w:tcPr>
                  <w:tcW w:w="1374" w:type="pct"/>
                  <w:gridSpan w:val="4"/>
                  <w:vAlign w:val="center"/>
                </w:tcPr>
                <w:p w14:paraId="6890ECD1">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距厂界距离</w:t>
                  </w:r>
                </w:p>
              </w:tc>
            </w:tr>
            <w:tr w14:paraId="24625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57" w:type="pct"/>
                  <w:vMerge w:val="continue"/>
                  <w:vAlign w:val="center"/>
                </w:tcPr>
                <w:p w14:paraId="7E8CE2D6">
                  <w:pPr>
                    <w:jc w:val="center"/>
                    <w:rPr>
                      <w:rFonts w:hint="default" w:ascii="Times New Roman" w:hAnsi="Times New Roman" w:cs="Times New Roman"/>
                      <w:color w:val="auto"/>
                      <w:sz w:val="21"/>
                      <w:szCs w:val="21"/>
                      <w:highlight w:val="none"/>
                    </w:rPr>
                  </w:pPr>
                </w:p>
              </w:tc>
              <w:tc>
                <w:tcPr>
                  <w:tcW w:w="589" w:type="pct"/>
                  <w:vMerge w:val="continue"/>
                  <w:vAlign w:val="center"/>
                </w:tcPr>
                <w:p w14:paraId="73BB4C54">
                  <w:pPr>
                    <w:jc w:val="center"/>
                    <w:rPr>
                      <w:rFonts w:hint="default" w:ascii="Times New Roman" w:hAnsi="Times New Roman" w:cs="Times New Roman"/>
                      <w:color w:val="auto"/>
                      <w:sz w:val="21"/>
                      <w:szCs w:val="21"/>
                      <w:highlight w:val="none"/>
                    </w:rPr>
                  </w:pPr>
                </w:p>
              </w:tc>
              <w:tc>
                <w:tcPr>
                  <w:tcW w:w="1445" w:type="pct"/>
                  <w:vMerge w:val="continue"/>
                  <w:vAlign w:val="center"/>
                </w:tcPr>
                <w:p w14:paraId="3ECC822E">
                  <w:pPr>
                    <w:jc w:val="center"/>
                    <w:rPr>
                      <w:rFonts w:hint="default" w:ascii="Times New Roman" w:hAnsi="Times New Roman" w:cs="Times New Roman"/>
                      <w:color w:val="auto"/>
                      <w:sz w:val="21"/>
                      <w:szCs w:val="21"/>
                      <w:highlight w:val="none"/>
                    </w:rPr>
                  </w:pPr>
                </w:p>
              </w:tc>
              <w:tc>
                <w:tcPr>
                  <w:tcW w:w="539" w:type="pct"/>
                  <w:vMerge w:val="continue"/>
                  <w:vAlign w:val="center"/>
                </w:tcPr>
                <w:p w14:paraId="627E45C2">
                  <w:pPr>
                    <w:jc w:val="center"/>
                    <w:rPr>
                      <w:rFonts w:hint="default" w:ascii="Times New Roman" w:hAnsi="Times New Roman" w:cs="Times New Roman"/>
                      <w:color w:val="auto"/>
                      <w:sz w:val="21"/>
                      <w:szCs w:val="21"/>
                      <w:highlight w:val="none"/>
                    </w:rPr>
                  </w:pPr>
                </w:p>
              </w:tc>
              <w:tc>
                <w:tcPr>
                  <w:tcW w:w="792" w:type="pct"/>
                  <w:vMerge w:val="continue"/>
                  <w:shd w:val="clear" w:color="auto" w:fill="auto"/>
                  <w:vAlign w:val="center"/>
                </w:tcPr>
                <w:p w14:paraId="0E54571D">
                  <w:pPr>
                    <w:jc w:val="center"/>
                    <w:rPr>
                      <w:rFonts w:hint="default" w:ascii="Times New Roman" w:hAnsi="Times New Roman" w:eastAsia="宋体" w:cs="Times New Roman"/>
                      <w:color w:val="auto"/>
                      <w:kern w:val="2"/>
                      <w:sz w:val="21"/>
                      <w:szCs w:val="21"/>
                      <w:highlight w:val="none"/>
                      <w:lang w:val="en-US" w:eastAsia="zh-CN" w:bidi="ar-SA"/>
                    </w:rPr>
                  </w:pPr>
                </w:p>
              </w:tc>
              <w:tc>
                <w:tcPr>
                  <w:tcW w:w="343" w:type="pct"/>
                  <w:vAlign w:val="center"/>
                </w:tcPr>
                <w:p w14:paraId="12F30324">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w:t>
                  </w:r>
                </w:p>
              </w:tc>
              <w:tc>
                <w:tcPr>
                  <w:tcW w:w="343" w:type="pct"/>
                  <w:vAlign w:val="center"/>
                </w:tcPr>
                <w:p w14:paraId="3AEAA586">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w:t>
                  </w:r>
                </w:p>
              </w:tc>
              <w:tc>
                <w:tcPr>
                  <w:tcW w:w="343" w:type="pct"/>
                  <w:vAlign w:val="center"/>
                </w:tcPr>
                <w:p w14:paraId="6219C288">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w:t>
                  </w:r>
                </w:p>
              </w:tc>
              <w:tc>
                <w:tcPr>
                  <w:tcW w:w="345" w:type="pct"/>
                  <w:vAlign w:val="center"/>
                </w:tcPr>
                <w:p w14:paraId="4DFCB574">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北</w:t>
                  </w:r>
                </w:p>
              </w:tc>
            </w:tr>
            <w:tr w14:paraId="17CAC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vAlign w:val="center"/>
                </w:tcPr>
                <w:p w14:paraId="33805EB7">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p>
              </w:tc>
              <w:tc>
                <w:tcPr>
                  <w:tcW w:w="589" w:type="pct"/>
                  <w:vMerge w:val="restart"/>
                  <w:shd w:val="clear" w:color="auto" w:fill="auto"/>
                  <w:vAlign w:val="center"/>
                </w:tcPr>
                <w:p w14:paraId="4A410AAC">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塑料包装袋加工厂房</w:t>
                  </w:r>
                </w:p>
              </w:tc>
              <w:tc>
                <w:tcPr>
                  <w:tcW w:w="1445" w:type="pct"/>
                  <w:shd w:val="clear" w:color="auto" w:fill="auto"/>
                  <w:vAlign w:val="center"/>
                </w:tcPr>
                <w:p w14:paraId="329EBFAE">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55型ABA 共挤吹膜机</w:t>
                  </w:r>
                </w:p>
              </w:tc>
              <w:tc>
                <w:tcPr>
                  <w:tcW w:w="539" w:type="pct"/>
                  <w:vAlign w:val="center"/>
                </w:tcPr>
                <w:p w14:paraId="1D12872A">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w:t>
                  </w:r>
                </w:p>
              </w:tc>
              <w:tc>
                <w:tcPr>
                  <w:tcW w:w="792" w:type="pct"/>
                  <w:shd w:val="clear" w:color="auto" w:fill="auto"/>
                  <w:vAlign w:val="center"/>
                </w:tcPr>
                <w:p w14:paraId="6A2692F6">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61</w:t>
                  </w:r>
                  <w:r>
                    <w:rPr>
                      <w:rFonts w:hint="default" w:ascii="Times New Roman" w:hAnsi="Times New Roman" w:cs="Times New Roman"/>
                      <w:color w:val="auto"/>
                      <w:sz w:val="21"/>
                      <w:szCs w:val="21"/>
                      <w:highlight w:val="none"/>
                      <w:lang w:val="en-US" w:eastAsia="zh-CN"/>
                    </w:rPr>
                    <w:t>.99</w:t>
                  </w:r>
                </w:p>
              </w:tc>
              <w:tc>
                <w:tcPr>
                  <w:tcW w:w="343" w:type="pct"/>
                  <w:vAlign w:val="center"/>
                </w:tcPr>
                <w:p w14:paraId="1B7A46A5">
                  <w:pPr>
                    <w:jc w:val="center"/>
                    <w:rPr>
                      <w:rStyle w:val="187"/>
                      <w:rFonts w:hint="default" w:ascii="Times New Roman" w:hAnsi="Times New Roman" w:cs="Times New Roman"/>
                      <w:i w:val="0"/>
                      <w:color w:val="auto"/>
                      <w:sz w:val="21"/>
                      <w:szCs w:val="21"/>
                      <w:highlight w:val="none"/>
                      <w:lang w:val="en-US" w:eastAsia="zh-CN"/>
                    </w:rPr>
                  </w:pPr>
                  <w:r>
                    <w:rPr>
                      <w:rStyle w:val="187"/>
                      <w:rFonts w:hint="default" w:ascii="Times New Roman" w:hAnsi="Times New Roman" w:cs="Times New Roman"/>
                      <w:i w:val="0"/>
                      <w:color w:val="auto"/>
                      <w:sz w:val="21"/>
                      <w:szCs w:val="21"/>
                      <w:highlight w:val="none"/>
                      <w:lang w:val="en-US" w:eastAsia="zh-CN"/>
                    </w:rPr>
                    <w:t>60</w:t>
                  </w:r>
                </w:p>
              </w:tc>
              <w:tc>
                <w:tcPr>
                  <w:tcW w:w="343" w:type="pct"/>
                  <w:vAlign w:val="center"/>
                </w:tcPr>
                <w:p w14:paraId="77B9C9AD">
                  <w:pPr>
                    <w:jc w:val="center"/>
                    <w:rPr>
                      <w:rStyle w:val="187"/>
                      <w:rFonts w:hint="default" w:ascii="Times New Roman" w:hAnsi="Times New Roman" w:cs="Times New Roman"/>
                      <w:i w:val="0"/>
                      <w:color w:val="auto"/>
                      <w:sz w:val="21"/>
                      <w:szCs w:val="21"/>
                      <w:highlight w:val="none"/>
                      <w:lang w:val="en-US" w:eastAsia="zh-CN"/>
                    </w:rPr>
                  </w:pPr>
                  <w:r>
                    <w:rPr>
                      <w:rStyle w:val="187"/>
                      <w:rFonts w:hint="eastAsia" w:ascii="Times New Roman" w:hAnsi="Times New Roman" w:cs="Times New Roman"/>
                      <w:i w:val="0"/>
                      <w:color w:val="auto"/>
                      <w:sz w:val="21"/>
                      <w:szCs w:val="21"/>
                      <w:highlight w:val="none"/>
                      <w:lang w:val="en-US" w:eastAsia="zh-CN"/>
                    </w:rPr>
                    <w:t>50</w:t>
                  </w:r>
                </w:p>
              </w:tc>
              <w:tc>
                <w:tcPr>
                  <w:tcW w:w="343" w:type="pct"/>
                  <w:vAlign w:val="center"/>
                </w:tcPr>
                <w:p w14:paraId="00250AE9">
                  <w:pPr>
                    <w:jc w:val="center"/>
                    <w:rPr>
                      <w:rStyle w:val="187"/>
                      <w:rFonts w:hint="default" w:ascii="Times New Roman" w:hAnsi="Times New Roman" w:eastAsia="宋体" w:cs="Times New Roman"/>
                      <w:i w:val="0"/>
                      <w:color w:val="auto"/>
                      <w:sz w:val="21"/>
                      <w:szCs w:val="21"/>
                      <w:highlight w:val="none"/>
                      <w:lang w:val="en-US" w:eastAsia="zh-CN"/>
                    </w:rPr>
                  </w:pPr>
                  <w:r>
                    <w:rPr>
                      <w:rStyle w:val="187"/>
                      <w:rFonts w:hint="default" w:ascii="Times New Roman" w:hAnsi="Times New Roman" w:cs="Times New Roman"/>
                      <w:i w:val="0"/>
                      <w:color w:val="auto"/>
                      <w:sz w:val="21"/>
                      <w:szCs w:val="21"/>
                      <w:highlight w:val="none"/>
                      <w:lang w:val="en-US" w:eastAsia="zh-CN"/>
                    </w:rPr>
                    <w:t>10</w:t>
                  </w:r>
                </w:p>
              </w:tc>
              <w:tc>
                <w:tcPr>
                  <w:tcW w:w="345" w:type="pct"/>
                  <w:vAlign w:val="center"/>
                </w:tcPr>
                <w:p w14:paraId="75236E41">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16</w:t>
                  </w:r>
                </w:p>
              </w:tc>
            </w:tr>
            <w:tr w14:paraId="2DB4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vAlign w:val="center"/>
                </w:tcPr>
                <w:p w14:paraId="0A3AF6FF">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p>
              </w:tc>
              <w:tc>
                <w:tcPr>
                  <w:tcW w:w="589" w:type="pct"/>
                  <w:vMerge w:val="continue"/>
                  <w:shd w:val="clear" w:color="auto" w:fill="auto"/>
                  <w:vAlign w:val="center"/>
                </w:tcPr>
                <w:p w14:paraId="1D7820CD">
                  <w:pPr>
                    <w:adjustRightInd w:val="0"/>
                    <w:snapToGrid w:val="0"/>
                    <w:jc w:val="center"/>
                    <w:rPr>
                      <w:rFonts w:hint="default" w:ascii="Times New Roman" w:hAnsi="Times New Roman" w:eastAsia="宋体" w:cs="Times New Roman"/>
                      <w:color w:val="auto"/>
                      <w:kern w:val="2"/>
                      <w:sz w:val="21"/>
                      <w:szCs w:val="21"/>
                      <w:lang w:val="en-US" w:eastAsia="zh-CN" w:bidi="ar-SA"/>
                    </w:rPr>
                  </w:pPr>
                </w:p>
              </w:tc>
              <w:tc>
                <w:tcPr>
                  <w:tcW w:w="1445" w:type="pct"/>
                  <w:shd w:val="clear" w:color="auto" w:fill="auto"/>
                  <w:vAlign w:val="center"/>
                </w:tcPr>
                <w:p w14:paraId="21494740">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1"/>
                      <w:sz w:val="21"/>
                      <w:szCs w:val="21"/>
                      <w:vertAlign w:val="baseline"/>
                    </w:rPr>
                    <w:t>拌料机</w:t>
                  </w:r>
                </w:p>
              </w:tc>
              <w:tc>
                <w:tcPr>
                  <w:tcW w:w="539" w:type="pct"/>
                  <w:shd w:val="clear" w:color="auto" w:fill="auto"/>
                  <w:vAlign w:val="center"/>
                </w:tcPr>
                <w:p w14:paraId="72D35F34">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3</w:t>
                  </w:r>
                </w:p>
              </w:tc>
              <w:tc>
                <w:tcPr>
                  <w:tcW w:w="792" w:type="pct"/>
                  <w:shd w:val="clear" w:color="auto" w:fill="auto"/>
                  <w:vAlign w:val="center"/>
                </w:tcPr>
                <w:p w14:paraId="30EB7BA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66.99</w:t>
                  </w:r>
                </w:p>
              </w:tc>
              <w:tc>
                <w:tcPr>
                  <w:tcW w:w="343" w:type="pct"/>
                  <w:vAlign w:val="center"/>
                </w:tcPr>
                <w:p w14:paraId="1D9A3326">
                  <w:pPr>
                    <w:jc w:val="center"/>
                    <w:rPr>
                      <w:rStyle w:val="187"/>
                      <w:rFonts w:hint="default" w:ascii="Times New Roman" w:hAnsi="Times New Roman" w:cs="Times New Roman"/>
                      <w:i w:val="0"/>
                      <w:color w:val="auto"/>
                      <w:sz w:val="21"/>
                      <w:szCs w:val="21"/>
                      <w:highlight w:val="none"/>
                      <w:lang w:val="en-US" w:eastAsia="zh-CN"/>
                    </w:rPr>
                  </w:pPr>
                  <w:r>
                    <w:rPr>
                      <w:rStyle w:val="187"/>
                      <w:rFonts w:hint="eastAsia" w:ascii="Times New Roman" w:hAnsi="Times New Roman" w:cs="Times New Roman"/>
                      <w:i w:val="0"/>
                      <w:color w:val="auto"/>
                      <w:sz w:val="21"/>
                      <w:szCs w:val="21"/>
                      <w:highlight w:val="none"/>
                      <w:lang w:val="en-US" w:eastAsia="zh-CN"/>
                    </w:rPr>
                    <w:t>56</w:t>
                  </w:r>
                </w:p>
              </w:tc>
              <w:tc>
                <w:tcPr>
                  <w:tcW w:w="343" w:type="pct"/>
                  <w:vAlign w:val="center"/>
                </w:tcPr>
                <w:p w14:paraId="1B03A7AB">
                  <w:pPr>
                    <w:jc w:val="center"/>
                    <w:rPr>
                      <w:rStyle w:val="187"/>
                      <w:rFonts w:hint="default" w:ascii="Times New Roman" w:hAnsi="Times New Roman" w:cs="Times New Roman"/>
                      <w:i w:val="0"/>
                      <w:color w:val="auto"/>
                      <w:sz w:val="21"/>
                      <w:szCs w:val="21"/>
                      <w:highlight w:val="none"/>
                      <w:lang w:val="en-US" w:eastAsia="zh-CN"/>
                    </w:rPr>
                  </w:pPr>
                  <w:r>
                    <w:rPr>
                      <w:rStyle w:val="187"/>
                      <w:rFonts w:hint="default" w:ascii="Times New Roman" w:hAnsi="Times New Roman" w:cs="Times New Roman"/>
                      <w:i w:val="0"/>
                      <w:color w:val="auto"/>
                      <w:sz w:val="21"/>
                      <w:szCs w:val="21"/>
                      <w:highlight w:val="none"/>
                      <w:lang w:val="en-US" w:eastAsia="zh-CN"/>
                    </w:rPr>
                    <w:t>45</w:t>
                  </w:r>
                </w:p>
              </w:tc>
              <w:tc>
                <w:tcPr>
                  <w:tcW w:w="343" w:type="pct"/>
                  <w:vAlign w:val="center"/>
                </w:tcPr>
                <w:p w14:paraId="0D10F196">
                  <w:pPr>
                    <w:jc w:val="center"/>
                    <w:rPr>
                      <w:rStyle w:val="187"/>
                      <w:rFonts w:hint="default" w:ascii="Times New Roman" w:hAnsi="Times New Roman" w:cs="Times New Roman"/>
                      <w:i w:val="0"/>
                      <w:color w:val="auto"/>
                      <w:sz w:val="21"/>
                      <w:szCs w:val="21"/>
                      <w:highlight w:val="none"/>
                    </w:rPr>
                  </w:pPr>
                  <w:r>
                    <w:rPr>
                      <w:rStyle w:val="187"/>
                      <w:rFonts w:hint="eastAsia" w:ascii="Times New Roman" w:hAnsi="Times New Roman" w:cs="Times New Roman"/>
                      <w:i w:val="0"/>
                      <w:color w:val="auto"/>
                      <w:sz w:val="21"/>
                      <w:szCs w:val="21"/>
                      <w:highlight w:val="none"/>
                      <w:lang w:val="en-US" w:eastAsia="zh-CN"/>
                    </w:rPr>
                    <w:t>1</w:t>
                  </w:r>
                  <w:r>
                    <w:rPr>
                      <w:rStyle w:val="187"/>
                      <w:rFonts w:hint="default" w:ascii="Times New Roman" w:hAnsi="Times New Roman" w:cs="Times New Roman"/>
                      <w:i w:val="0"/>
                      <w:color w:val="auto"/>
                      <w:sz w:val="21"/>
                      <w:szCs w:val="21"/>
                      <w:highlight w:val="none"/>
                    </w:rPr>
                    <w:t>0</w:t>
                  </w:r>
                </w:p>
              </w:tc>
              <w:tc>
                <w:tcPr>
                  <w:tcW w:w="345" w:type="pct"/>
                  <w:vAlign w:val="center"/>
                </w:tcPr>
                <w:p w14:paraId="2DE47483">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r>
                    <w:rPr>
                      <w:rFonts w:hint="default" w:ascii="Times New Roman" w:hAnsi="Times New Roman" w:cs="Times New Roman"/>
                      <w:color w:val="auto"/>
                      <w:sz w:val="21"/>
                      <w:szCs w:val="21"/>
                      <w:highlight w:val="none"/>
                      <w:lang w:val="en-US" w:eastAsia="zh-CN"/>
                    </w:rPr>
                    <w:t>8</w:t>
                  </w:r>
                </w:p>
              </w:tc>
            </w:tr>
            <w:tr w14:paraId="3BBA4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vAlign w:val="center"/>
                </w:tcPr>
                <w:p w14:paraId="0382F5DE">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w:t>
                  </w:r>
                </w:p>
              </w:tc>
              <w:tc>
                <w:tcPr>
                  <w:tcW w:w="589" w:type="pct"/>
                  <w:vMerge w:val="continue"/>
                  <w:shd w:val="clear" w:color="auto" w:fill="auto"/>
                  <w:vAlign w:val="center"/>
                </w:tcPr>
                <w:p w14:paraId="1DE34E4D">
                  <w:pPr>
                    <w:spacing w:after="0"/>
                    <w:ind w:left="-42" w:leftChars="-20" w:right="-42" w:rightChars="-20" w:firstLine="0" w:firstLineChars="0"/>
                    <w:jc w:val="center"/>
                    <w:rPr>
                      <w:rFonts w:hint="default" w:ascii="Times New Roman" w:hAnsi="Times New Roman" w:eastAsia="宋体" w:cs="Times New Roman"/>
                      <w:color w:val="auto"/>
                      <w:kern w:val="2"/>
                      <w:sz w:val="21"/>
                      <w:szCs w:val="21"/>
                      <w:lang w:val="en-US" w:eastAsia="zh-CN" w:bidi="ar-SA"/>
                    </w:rPr>
                  </w:pPr>
                </w:p>
              </w:tc>
              <w:tc>
                <w:tcPr>
                  <w:tcW w:w="1445" w:type="pct"/>
                  <w:shd w:val="clear" w:color="auto" w:fill="auto"/>
                  <w:vAlign w:val="center"/>
                </w:tcPr>
                <w:p w14:paraId="48170A77">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1"/>
                      <w:sz w:val="21"/>
                      <w:szCs w:val="21"/>
                      <w:vertAlign w:val="baseline"/>
                    </w:rPr>
                    <w:t>单通道背心袋制袋机</w:t>
                  </w:r>
                </w:p>
              </w:tc>
              <w:tc>
                <w:tcPr>
                  <w:tcW w:w="539" w:type="pct"/>
                  <w:shd w:val="clear" w:color="auto" w:fill="auto"/>
                  <w:vAlign w:val="center"/>
                </w:tcPr>
                <w:p w14:paraId="4BAC652D">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3</w:t>
                  </w:r>
                </w:p>
              </w:tc>
              <w:tc>
                <w:tcPr>
                  <w:tcW w:w="792" w:type="pct"/>
                  <w:shd w:val="clear" w:color="auto" w:fill="auto"/>
                  <w:vAlign w:val="center"/>
                </w:tcPr>
                <w:p w14:paraId="2EF680C6">
                  <w:pPr>
                    <w:spacing w:line="2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64.9</w:t>
                  </w:r>
                </w:p>
              </w:tc>
              <w:tc>
                <w:tcPr>
                  <w:tcW w:w="343" w:type="pct"/>
                  <w:vAlign w:val="center"/>
                </w:tcPr>
                <w:p w14:paraId="32918318">
                  <w:pPr>
                    <w:jc w:val="center"/>
                    <w:rPr>
                      <w:rStyle w:val="187"/>
                      <w:rFonts w:hint="default" w:ascii="Times New Roman" w:hAnsi="Times New Roman" w:cs="Times New Roman"/>
                      <w:i w:val="0"/>
                      <w:color w:val="auto"/>
                      <w:sz w:val="21"/>
                      <w:szCs w:val="21"/>
                      <w:highlight w:val="none"/>
                      <w:lang w:val="en-US" w:eastAsia="zh-CN"/>
                    </w:rPr>
                  </w:pPr>
                  <w:r>
                    <w:rPr>
                      <w:rStyle w:val="187"/>
                      <w:rFonts w:hint="eastAsia" w:ascii="Times New Roman" w:hAnsi="Times New Roman" w:cs="Times New Roman"/>
                      <w:i w:val="0"/>
                      <w:color w:val="auto"/>
                      <w:sz w:val="21"/>
                      <w:szCs w:val="21"/>
                      <w:highlight w:val="none"/>
                      <w:lang w:val="en-US" w:eastAsia="zh-CN"/>
                    </w:rPr>
                    <w:t>42</w:t>
                  </w:r>
                </w:p>
              </w:tc>
              <w:tc>
                <w:tcPr>
                  <w:tcW w:w="343" w:type="pct"/>
                  <w:vAlign w:val="center"/>
                </w:tcPr>
                <w:p w14:paraId="53805F4D">
                  <w:pPr>
                    <w:jc w:val="center"/>
                    <w:rPr>
                      <w:rStyle w:val="187"/>
                      <w:rFonts w:hint="default" w:ascii="Times New Roman" w:hAnsi="Times New Roman" w:cs="Times New Roman"/>
                      <w:i w:val="0"/>
                      <w:color w:val="auto"/>
                      <w:sz w:val="21"/>
                      <w:szCs w:val="21"/>
                      <w:highlight w:val="none"/>
                      <w:lang w:val="en-US"/>
                    </w:rPr>
                  </w:pPr>
                  <w:r>
                    <w:rPr>
                      <w:rStyle w:val="187"/>
                      <w:rFonts w:hint="default" w:ascii="Times New Roman" w:hAnsi="Times New Roman" w:cs="Times New Roman"/>
                      <w:i w:val="0"/>
                      <w:color w:val="auto"/>
                      <w:sz w:val="21"/>
                      <w:szCs w:val="21"/>
                      <w:highlight w:val="none"/>
                      <w:lang w:val="en-US" w:eastAsia="zh-CN"/>
                    </w:rPr>
                    <w:t>45</w:t>
                  </w:r>
                </w:p>
              </w:tc>
              <w:tc>
                <w:tcPr>
                  <w:tcW w:w="343" w:type="pct"/>
                  <w:vAlign w:val="center"/>
                </w:tcPr>
                <w:p w14:paraId="24490CD4">
                  <w:pPr>
                    <w:jc w:val="center"/>
                    <w:rPr>
                      <w:rStyle w:val="187"/>
                      <w:rFonts w:hint="default" w:ascii="Times New Roman" w:hAnsi="Times New Roman" w:cs="Times New Roman"/>
                      <w:i w:val="0"/>
                      <w:color w:val="auto"/>
                      <w:sz w:val="21"/>
                      <w:szCs w:val="21"/>
                      <w:highlight w:val="none"/>
                    </w:rPr>
                  </w:pPr>
                  <w:r>
                    <w:rPr>
                      <w:rStyle w:val="187"/>
                      <w:rFonts w:hint="default" w:ascii="Times New Roman" w:hAnsi="Times New Roman" w:cs="Times New Roman"/>
                      <w:i w:val="0"/>
                      <w:color w:val="auto"/>
                      <w:sz w:val="21"/>
                      <w:szCs w:val="21"/>
                      <w:highlight w:val="none"/>
                    </w:rPr>
                    <w:t>70</w:t>
                  </w:r>
                </w:p>
              </w:tc>
              <w:tc>
                <w:tcPr>
                  <w:tcW w:w="345" w:type="pct"/>
                  <w:vAlign w:val="center"/>
                </w:tcPr>
                <w:p w14:paraId="57AB6965">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r>
                    <w:rPr>
                      <w:rFonts w:hint="default" w:ascii="Times New Roman" w:hAnsi="Times New Roman" w:cs="Times New Roman"/>
                      <w:color w:val="auto"/>
                      <w:sz w:val="21"/>
                      <w:szCs w:val="21"/>
                      <w:highlight w:val="none"/>
                      <w:lang w:val="en-US" w:eastAsia="zh-CN"/>
                    </w:rPr>
                    <w:t>8</w:t>
                  </w:r>
                </w:p>
              </w:tc>
            </w:tr>
            <w:tr w14:paraId="41C4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vAlign w:val="center"/>
                </w:tcPr>
                <w:p w14:paraId="4A21BBEA">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w:t>
                  </w:r>
                </w:p>
              </w:tc>
              <w:tc>
                <w:tcPr>
                  <w:tcW w:w="589" w:type="pct"/>
                  <w:vMerge w:val="continue"/>
                  <w:shd w:val="clear" w:color="auto" w:fill="auto"/>
                  <w:vAlign w:val="center"/>
                </w:tcPr>
                <w:p w14:paraId="28DFAB71">
                  <w:pPr>
                    <w:spacing w:after="0"/>
                    <w:ind w:left="-42" w:leftChars="-20" w:right="-42" w:rightChars="-20" w:firstLine="0" w:firstLineChars="0"/>
                    <w:jc w:val="center"/>
                    <w:rPr>
                      <w:rFonts w:hint="default" w:ascii="Times New Roman" w:hAnsi="Times New Roman" w:eastAsia="宋体" w:cs="Times New Roman"/>
                      <w:color w:val="auto"/>
                      <w:kern w:val="2"/>
                      <w:sz w:val="21"/>
                      <w:szCs w:val="21"/>
                      <w:lang w:val="en-US" w:eastAsia="zh-CN" w:bidi="ar-SA"/>
                    </w:rPr>
                  </w:pPr>
                </w:p>
              </w:tc>
              <w:tc>
                <w:tcPr>
                  <w:tcW w:w="1445" w:type="pct"/>
                  <w:shd w:val="clear" w:color="auto" w:fill="auto"/>
                  <w:vAlign w:val="center"/>
                </w:tcPr>
                <w:p w14:paraId="5CC2F5AC">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1"/>
                      <w:sz w:val="21"/>
                      <w:szCs w:val="21"/>
                      <w:vertAlign w:val="baseline"/>
                    </w:rPr>
                    <w:t>双通道背心袋制袋机</w:t>
                  </w:r>
                </w:p>
              </w:tc>
              <w:tc>
                <w:tcPr>
                  <w:tcW w:w="539" w:type="pct"/>
                  <w:shd w:val="clear" w:color="auto" w:fill="auto"/>
                  <w:vAlign w:val="center"/>
                </w:tcPr>
                <w:p w14:paraId="7206F01E">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6</w:t>
                  </w:r>
                </w:p>
              </w:tc>
              <w:tc>
                <w:tcPr>
                  <w:tcW w:w="792" w:type="pct"/>
                  <w:shd w:val="clear" w:color="auto" w:fill="auto"/>
                  <w:vAlign w:val="center"/>
                </w:tcPr>
                <w:p w14:paraId="6BB78C16">
                  <w:pPr>
                    <w:spacing w:line="2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66</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02</w:t>
                  </w:r>
                </w:p>
              </w:tc>
              <w:tc>
                <w:tcPr>
                  <w:tcW w:w="343" w:type="pct"/>
                  <w:vAlign w:val="center"/>
                </w:tcPr>
                <w:p w14:paraId="437F1CBA">
                  <w:pPr>
                    <w:jc w:val="center"/>
                    <w:rPr>
                      <w:rStyle w:val="187"/>
                      <w:rFonts w:hint="default" w:ascii="Times New Roman" w:hAnsi="Times New Roman" w:cs="Times New Roman"/>
                      <w:i w:val="0"/>
                      <w:color w:val="auto"/>
                      <w:sz w:val="21"/>
                      <w:szCs w:val="21"/>
                      <w:highlight w:val="none"/>
                      <w:lang w:val="en-US" w:eastAsia="zh-CN"/>
                    </w:rPr>
                  </w:pPr>
                  <w:r>
                    <w:rPr>
                      <w:rStyle w:val="187"/>
                      <w:rFonts w:hint="eastAsia" w:ascii="Times New Roman" w:hAnsi="Times New Roman" w:cs="Times New Roman"/>
                      <w:i w:val="0"/>
                      <w:color w:val="auto"/>
                      <w:sz w:val="21"/>
                      <w:szCs w:val="21"/>
                      <w:highlight w:val="none"/>
                      <w:lang w:val="en-US" w:eastAsia="zh-CN"/>
                    </w:rPr>
                    <w:t>63</w:t>
                  </w:r>
                </w:p>
              </w:tc>
              <w:tc>
                <w:tcPr>
                  <w:tcW w:w="343" w:type="pct"/>
                  <w:vAlign w:val="center"/>
                </w:tcPr>
                <w:p w14:paraId="39CBCB34">
                  <w:pPr>
                    <w:jc w:val="center"/>
                    <w:rPr>
                      <w:rStyle w:val="187"/>
                      <w:rFonts w:hint="default" w:ascii="Times New Roman" w:hAnsi="Times New Roman" w:cs="Times New Roman"/>
                      <w:i w:val="0"/>
                      <w:color w:val="auto"/>
                      <w:sz w:val="21"/>
                      <w:szCs w:val="21"/>
                      <w:highlight w:val="none"/>
                      <w:lang w:val="en-US"/>
                    </w:rPr>
                  </w:pPr>
                  <w:r>
                    <w:rPr>
                      <w:rStyle w:val="187"/>
                      <w:rFonts w:hint="default" w:ascii="Times New Roman" w:hAnsi="Times New Roman" w:cs="Times New Roman"/>
                      <w:i w:val="0"/>
                      <w:color w:val="auto"/>
                      <w:sz w:val="21"/>
                      <w:szCs w:val="21"/>
                      <w:highlight w:val="none"/>
                      <w:lang w:val="en-US" w:eastAsia="zh-CN"/>
                    </w:rPr>
                    <w:t>45</w:t>
                  </w:r>
                </w:p>
              </w:tc>
              <w:tc>
                <w:tcPr>
                  <w:tcW w:w="343" w:type="pct"/>
                  <w:vAlign w:val="center"/>
                </w:tcPr>
                <w:p w14:paraId="3D4CD065">
                  <w:pPr>
                    <w:jc w:val="center"/>
                    <w:rPr>
                      <w:rStyle w:val="187"/>
                      <w:rFonts w:hint="default" w:ascii="Times New Roman" w:hAnsi="Times New Roman" w:cs="Times New Roman"/>
                      <w:i w:val="0"/>
                      <w:color w:val="auto"/>
                      <w:sz w:val="21"/>
                      <w:szCs w:val="21"/>
                      <w:highlight w:val="none"/>
                    </w:rPr>
                  </w:pPr>
                  <w:r>
                    <w:rPr>
                      <w:rStyle w:val="187"/>
                      <w:rFonts w:hint="default" w:ascii="Times New Roman" w:hAnsi="Times New Roman" w:cs="Times New Roman"/>
                      <w:i w:val="0"/>
                      <w:color w:val="auto"/>
                      <w:sz w:val="21"/>
                      <w:szCs w:val="21"/>
                      <w:highlight w:val="none"/>
                    </w:rPr>
                    <w:t>70</w:t>
                  </w:r>
                </w:p>
              </w:tc>
              <w:tc>
                <w:tcPr>
                  <w:tcW w:w="345" w:type="pct"/>
                  <w:vAlign w:val="center"/>
                </w:tcPr>
                <w:p w14:paraId="079948A9">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r>
                    <w:rPr>
                      <w:rFonts w:hint="default" w:ascii="Times New Roman" w:hAnsi="Times New Roman" w:cs="Times New Roman"/>
                      <w:color w:val="auto"/>
                      <w:sz w:val="21"/>
                      <w:szCs w:val="21"/>
                      <w:highlight w:val="none"/>
                      <w:lang w:val="en-US" w:eastAsia="zh-CN"/>
                    </w:rPr>
                    <w:t>8</w:t>
                  </w:r>
                </w:p>
              </w:tc>
            </w:tr>
            <w:tr w14:paraId="29FB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vAlign w:val="center"/>
                </w:tcPr>
                <w:p w14:paraId="61E0EDF5">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w:t>
                  </w:r>
                </w:p>
              </w:tc>
              <w:tc>
                <w:tcPr>
                  <w:tcW w:w="589" w:type="pct"/>
                  <w:vMerge w:val="continue"/>
                  <w:shd w:val="clear" w:color="auto" w:fill="auto"/>
                  <w:vAlign w:val="center"/>
                </w:tcPr>
                <w:p w14:paraId="5A3EA6DC">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1445" w:type="pct"/>
                  <w:shd w:val="clear" w:color="auto" w:fill="auto"/>
                  <w:vAlign w:val="center"/>
                </w:tcPr>
                <w:p w14:paraId="34A345DE">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1"/>
                      <w:sz w:val="21"/>
                      <w:szCs w:val="21"/>
                      <w:vertAlign w:val="baseline"/>
                    </w:rPr>
                    <w:t>螺杆变频空压机</w:t>
                  </w:r>
                </w:p>
              </w:tc>
              <w:tc>
                <w:tcPr>
                  <w:tcW w:w="539" w:type="pct"/>
                  <w:shd w:val="clear" w:color="auto" w:fill="auto"/>
                  <w:vAlign w:val="center"/>
                </w:tcPr>
                <w:p w14:paraId="45EAB475">
                  <w:pPr>
                    <w:pStyle w:val="33"/>
                    <w:spacing w:after="0"/>
                    <w:ind w:left="-42" w:leftChars="-20" w:right="-42" w:rightChars="-2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2</w:t>
                  </w:r>
                </w:p>
              </w:tc>
              <w:tc>
                <w:tcPr>
                  <w:tcW w:w="792" w:type="pct"/>
                  <w:shd w:val="clear" w:color="auto" w:fill="auto"/>
                  <w:vAlign w:val="center"/>
                </w:tcPr>
                <w:p w14:paraId="1CD38071">
                  <w:pPr>
                    <w:spacing w:line="2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72.08</w:t>
                  </w:r>
                </w:p>
              </w:tc>
              <w:tc>
                <w:tcPr>
                  <w:tcW w:w="343" w:type="pct"/>
                  <w:vAlign w:val="center"/>
                </w:tcPr>
                <w:p w14:paraId="4946D035">
                  <w:pPr>
                    <w:jc w:val="center"/>
                    <w:rPr>
                      <w:rStyle w:val="187"/>
                      <w:rFonts w:hint="default" w:ascii="Times New Roman" w:hAnsi="Times New Roman" w:cs="Times New Roman"/>
                      <w:i w:val="0"/>
                      <w:color w:val="auto"/>
                      <w:sz w:val="21"/>
                      <w:szCs w:val="21"/>
                      <w:highlight w:val="none"/>
                      <w:lang w:val="en-US" w:eastAsia="zh-CN"/>
                    </w:rPr>
                  </w:pPr>
                  <w:r>
                    <w:rPr>
                      <w:rStyle w:val="187"/>
                      <w:rFonts w:hint="eastAsia" w:ascii="Times New Roman" w:hAnsi="Times New Roman" w:cs="Times New Roman"/>
                      <w:i w:val="0"/>
                      <w:color w:val="auto"/>
                      <w:sz w:val="21"/>
                      <w:szCs w:val="21"/>
                      <w:highlight w:val="none"/>
                      <w:lang w:val="en-US" w:eastAsia="zh-CN"/>
                    </w:rPr>
                    <w:t>46</w:t>
                  </w:r>
                </w:p>
              </w:tc>
              <w:tc>
                <w:tcPr>
                  <w:tcW w:w="343" w:type="pct"/>
                  <w:vAlign w:val="center"/>
                </w:tcPr>
                <w:p w14:paraId="54C110B4">
                  <w:pPr>
                    <w:jc w:val="center"/>
                    <w:rPr>
                      <w:rStyle w:val="187"/>
                      <w:rFonts w:hint="default" w:ascii="Times New Roman" w:hAnsi="Times New Roman" w:cs="Times New Roman"/>
                      <w:i w:val="0"/>
                      <w:color w:val="auto"/>
                      <w:sz w:val="21"/>
                      <w:szCs w:val="21"/>
                      <w:highlight w:val="none"/>
                      <w:lang w:val="en-US"/>
                    </w:rPr>
                  </w:pPr>
                  <w:r>
                    <w:rPr>
                      <w:rStyle w:val="187"/>
                      <w:rFonts w:hint="default" w:ascii="Times New Roman" w:hAnsi="Times New Roman" w:cs="Times New Roman"/>
                      <w:i w:val="0"/>
                      <w:color w:val="auto"/>
                      <w:sz w:val="21"/>
                      <w:szCs w:val="21"/>
                      <w:highlight w:val="none"/>
                      <w:lang w:val="en-US" w:eastAsia="zh-CN"/>
                    </w:rPr>
                    <w:t>45</w:t>
                  </w:r>
                </w:p>
              </w:tc>
              <w:tc>
                <w:tcPr>
                  <w:tcW w:w="343" w:type="pct"/>
                  <w:vAlign w:val="center"/>
                </w:tcPr>
                <w:p w14:paraId="58867047">
                  <w:pPr>
                    <w:jc w:val="center"/>
                    <w:rPr>
                      <w:rStyle w:val="187"/>
                      <w:rFonts w:hint="default" w:ascii="Times New Roman" w:hAnsi="Times New Roman" w:cs="Times New Roman"/>
                      <w:i w:val="0"/>
                      <w:color w:val="auto"/>
                      <w:sz w:val="21"/>
                      <w:szCs w:val="21"/>
                      <w:highlight w:val="none"/>
                    </w:rPr>
                  </w:pPr>
                  <w:r>
                    <w:rPr>
                      <w:rStyle w:val="187"/>
                      <w:rFonts w:hint="default" w:ascii="Times New Roman" w:hAnsi="Times New Roman" w:cs="Times New Roman"/>
                      <w:i w:val="0"/>
                      <w:color w:val="auto"/>
                      <w:sz w:val="21"/>
                      <w:szCs w:val="21"/>
                      <w:highlight w:val="none"/>
                    </w:rPr>
                    <w:t>70</w:t>
                  </w:r>
                </w:p>
              </w:tc>
              <w:tc>
                <w:tcPr>
                  <w:tcW w:w="345" w:type="pct"/>
                  <w:vAlign w:val="center"/>
                </w:tcPr>
                <w:p w14:paraId="0E9C9FF0">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r>
                    <w:rPr>
                      <w:rFonts w:hint="default" w:ascii="Times New Roman" w:hAnsi="Times New Roman" w:cs="Times New Roman"/>
                      <w:color w:val="auto"/>
                      <w:sz w:val="21"/>
                      <w:szCs w:val="21"/>
                      <w:highlight w:val="none"/>
                      <w:lang w:val="en-US" w:eastAsia="zh-CN"/>
                    </w:rPr>
                    <w:t>8</w:t>
                  </w:r>
                </w:p>
              </w:tc>
            </w:tr>
            <w:tr w14:paraId="779EB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vAlign w:val="center"/>
                </w:tcPr>
                <w:p w14:paraId="59FDB79D">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w:t>
                  </w:r>
                </w:p>
              </w:tc>
              <w:tc>
                <w:tcPr>
                  <w:tcW w:w="589" w:type="pct"/>
                  <w:vMerge w:val="continue"/>
                  <w:shd w:val="clear" w:color="auto" w:fill="auto"/>
                  <w:vAlign w:val="center"/>
                </w:tcPr>
                <w:p w14:paraId="20973806">
                  <w:pPr>
                    <w:adjustRightInd w:val="0"/>
                    <w:snapToGrid w:val="0"/>
                    <w:jc w:val="center"/>
                    <w:rPr>
                      <w:rFonts w:hint="default" w:ascii="Times New Roman" w:hAnsi="Times New Roman" w:eastAsia="宋体" w:cs="Times New Roman"/>
                      <w:color w:val="auto"/>
                      <w:kern w:val="21"/>
                      <w:sz w:val="21"/>
                      <w:szCs w:val="21"/>
                      <w:vertAlign w:val="baseline"/>
                      <w:lang w:val="en-US" w:eastAsia="zh-CN" w:bidi="ar-SA"/>
                    </w:rPr>
                  </w:pPr>
                </w:p>
              </w:tc>
              <w:tc>
                <w:tcPr>
                  <w:tcW w:w="1445" w:type="pct"/>
                  <w:shd w:val="clear" w:color="auto" w:fill="auto"/>
                  <w:vAlign w:val="center"/>
                </w:tcPr>
                <w:p w14:paraId="276305DA">
                  <w:pPr>
                    <w:adjustRightInd w:val="0"/>
                    <w:snapToGrid w:val="0"/>
                    <w:jc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冷冻式干燥机</w:t>
                  </w:r>
                </w:p>
              </w:tc>
              <w:tc>
                <w:tcPr>
                  <w:tcW w:w="539" w:type="pct"/>
                  <w:shd w:val="clear" w:color="auto" w:fill="auto"/>
                  <w:vAlign w:val="center"/>
                </w:tcPr>
                <w:p w14:paraId="22059D9C">
                  <w:pPr>
                    <w:pStyle w:val="33"/>
                    <w:spacing w:after="0"/>
                    <w:ind w:left="-42" w:leftChars="-20" w:right="-42" w:rightChars="-2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1</w:t>
                  </w:r>
                </w:p>
              </w:tc>
              <w:tc>
                <w:tcPr>
                  <w:tcW w:w="792" w:type="pct"/>
                  <w:vAlign w:val="center"/>
                </w:tcPr>
                <w:p w14:paraId="2D71E89B">
                  <w:pPr>
                    <w:spacing w:line="26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73.66</w:t>
                  </w:r>
                </w:p>
              </w:tc>
              <w:tc>
                <w:tcPr>
                  <w:tcW w:w="343" w:type="pct"/>
                  <w:vAlign w:val="center"/>
                </w:tcPr>
                <w:p w14:paraId="2A8B7D90">
                  <w:pPr>
                    <w:jc w:val="center"/>
                    <w:rPr>
                      <w:rStyle w:val="187"/>
                      <w:rFonts w:hint="default" w:ascii="Times New Roman" w:hAnsi="Times New Roman" w:cs="Times New Roman"/>
                      <w:i w:val="0"/>
                      <w:color w:val="auto"/>
                      <w:sz w:val="21"/>
                      <w:szCs w:val="21"/>
                      <w:highlight w:val="none"/>
                      <w:lang w:val="en-US" w:eastAsia="zh-CN"/>
                    </w:rPr>
                  </w:pPr>
                  <w:r>
                    <w:rPr>
                      <w:rStyle w:val="187"/>
                      <w:rFonts w:hint="eastAsia" w:ascii="Times New Roman" w:hAnsi="Times New Roman" w:cs="Times New Roman"/>
                      <w:i w:val="0"/>
                      <w:color w:val="auto"/>
                      <w:sz w:val="21"/>
                      <w:szCs w:val="21"/>
                      <w:highlight w:val="none"/>
                      <w:lang w:val="en-US" w:eastAsia="zh-CN"/>
                    </w:rPr>
                    <w:t>40</w:t>
                  </w:r>
                </w:p>
              </w:tc>
              <w:tc>
                <w:tcPr>
                  <w:tcW w:w="343" w:type="pct"/>
                  <w:vAlign w:val="center"/>
                </w:tcPr>
                <w:p w14:paraId="36F3AC90">
                  <w:pPr>
                    <w:jc w:val="center"/>
                    <w:rPr>
                      <w:rStyle w:val="187"/>
                      <w:rFonts w:hint="default" w:ascii="Times New Roman" w:hAnsi="Times New Roman" w:cs="Times New Roman"/>
                      <w:i w:val="0"/>
                      <w:color w:val="auto"/>
                      <w:sz w:val="21"/>
                      <w:szCs w:val="21"/>
                      <w:highlight w:val="none"/>
                      <w:lang w:val="en-US" w:eastAsia="zh-CN"/>
                    </w:rPr>
                  </w:pPr>
                  <w:r>
                    <w:rPr>
                      <w:rStyle w:val="187"/>
                      <w:rFonts w:hint="eastAsia" w:ascii="Times New Roman" w:hAnsi="Times New Roman" w:cs="Times New Roman"/>
                      <w:i w:val="0"/>
                      <w:color w:val="auto"/>
                      <w:sz w:val="21"/>
                      <w:szCs w:val="21"/>
                      <w:highlight w:val="none"/>
                      <w:lang w:val="en-US" w:eastAsia="zh-CN"/>
                    </w:rPr>
                    <w:t>50</w:t>
                  </w:r>
                </w:p>
              </w:tc>
              <w:tc>
                <w:tcPr>
                  <w:tcW w:w="343" w:type="pct"/>
                  <w:vAlign w:val="center"/>
                </w:tcPr>
                <w:p w14:paraId="35ED0B73">
                  <w:pPr>
                    <w:jc w:val="center"/>
                    <w:rPr>
                      <w:rStyle w:val="187"/>
                      <w:rFonts w:hint="default" w:ascii="Times New Roman" w:hAnsi="Times New Roman" w:cs="Times New Roman"/>
                      <w:i w:val="0"/>
                      <w:color w:val="auto"/>
                      <w:sz w:val="21"/>
                      <w:szCs w:val="21"/>
                      <w:highlight w:val="none"/>
                    </w:rPr>
                  </w:pPr>
                  <w:r>
                    <w:rPr>
                      <w:rStyle w:val="187"/>
                      <w:rFonts w:hint="default" w:ascii="Times New Roman" w:hAnsi="Times New Roman" w:cs="Times New Roman"/>
                      <w:i w:val="0"/>
                      <w:color w:val="auto"/>
                      <w:sz w:val="21"/>
                      <w:szCs w:val="21"/>
                      <w:highlight w:val="none"/>
                      <w:lang w:val="en-US" w:eastAsia="zh-CN"/>
                    </w:rPr>
                    <w:t>10</w:t>
                  </w:r>
                </w:p>
              </w:tc>
              <w:tc>
                <w:tcPr>
                  <w:tcW w:w="345" w:type="pct"/>
                  <w:vAlign w:val="center"/>
                </w:tcPr>
                <w:p w14:paraId="37B26473">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16</w:t>
                  </w:r>
                </w:p>
              </w:tc>
            </w:tr>
            <w:tr w14:paraId="15E5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vAlign w:val="center"/>
                </w:tcPr>
                <w:p w14:paraId="59FF395C">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7</w:t>
                  </w:r>
                </w:p>
              </w:tc>
              <w:tc>
                <w:tcPr>
                  <w:tcW w:w="589" w:type="pct"/>
                  <w:vMerge w:val="continue"/>
                  <w:shd w:val="clear" w:color="auto" w:fill="auto"/>
                  <w:vAlign w:val="center"/>
                </w:tcPr>
                <w:p w14:paraId="0C3ADB5F">
                  <w:pPr>
                    <w:adjustRightInd w:val="0"/>
                    <w:snapToGrid w:val="0"/>
                    <w:jc w:val="center"/>
                    <w:rPr>
                      <w:rFonts w:hint="default" w:ascii="Times New Roman" w:hAnsi="Times New Roman" w:eastAsia="宋体" w:cs="Times New Roman"/>
                      <w:color w:val="auto"/>
                      <w:kern w:val="21"/>
                      <w:sz w:val="21"/>
                      <w:szCs w:val="21"/>
                      <w:vertAlign w:val="baseline"/>
                      <w:lang w:val="en-US" w:eastAsia="zh-CN" w:bidi="ar-SA"/>
                    </w:rPr>
                  </w:pPr>
                </w:p>
              </w:tc>
              <w:tc>
                <w:tcPr>
                  <w:tcW w:w="1445" w:type="pct"/>
                  <w:shd w:val="clear" w:color="auto" w:fill="auto"/>
                  <w:vAlign w:val="center"/>
                </w:tcPr>
                <w:p w14:paraId="456C6F80">
                  <w:pPr>
                    <w:adjustRightInd w:val="0"/>
                    <w:snapToGrid w:val="0"/>
                    <w:jc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color w:val="auto"/>
                      <w:kern w:val="21"/>
                      <w:sz w:val="21"/>
                      <w:szCs w:val="21"/>
                      <w:vertAlign w:val="baseline"/>
                    </w:rPr>
                    <w:t>冷却塔</w:t>
                  </w:r>
                </w:p>
              </w:tc>
              <w:tc>
                <w:tcPr>
                  <w:tcW w:w="539" w:type="pct"/>
                  <w:shd w:val="clear" w:color="auto" w:fill="auto"/>
                  <w:vAlign w:val="center"/>
                </w:tcPr>
                <w:p w14:paraId="44E35F68">
                  <w:pPr>
                    <w:pStyle w:val="33"/>
                    <w:spacing w:after="0"/>
                    <w:ind w:left="-42" w:leftChars="-20" w:right="-42" w:rightChars="-2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1</w:t>
                  </w:r>
                </w:p>
              </w:tc>
              <w:tc>
                <w:tcPr>
                  <w:tcW w:w="792" w:type="pct"/>
                  <w:vAlign w:val="center"/>
                </w:tcPr>
                <w:p w14:paraId="74811177">
                  <w:pPr>
                    <w:spacing w:line="26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74.52</w:t>
                  </w:r>
                </w:p>
              </w:tc>
              <w:tc>
                <w:tcPr>
                  <w:tcW w:w="343" w:type="pct"/>
                  <w:vAlign w:val="center"/>
                </w:tcPr>
                <w:p w14:paraId="452B4ACB">
                  <w:pPr>
                    <w:jc w:val="center"/>
                    <w:rPr>
                      <w:rStyle w:val="187"/>
                      <w:rFonts w:hint="default" w:ascii="Times New Roman" w:hAnsi="Times New Roman" w:cs="Times New Roman"/>
                      <w:i w:val="0"/>
                      <w:color w:val="auto"/>
                      <w:sz w:val="21"/>
                      <w:szCs w:val="21"/>
                      <w:highlight w:val="none"/>
                      <w:lang w:val="en-US" w:eastAsia="zh-CN"/>
                    </w:rPr>
                  </w:pPr>
                  <w:r>
                    <w:rPr>
                      <w:rStyle w:val="187"/>
                      <w:rFonts w:hint="eastAsia" w:ascii="Times New Roman" w:hAnsi="Times New Roman" w:cs="Times New Roman"/>
                      <w:i w:val="0"/>
                      <w:color w:val="auto"/>
                      <w:sz w:val="21"/>
                      <w:szCs w:val="21"/>
                      <w:highlight w:val="none"/>
                      <w:lang w:val="en-US" w:eastAsia="zh-CN"/>
                    </w:rPr>
                    <w:t>38</w:t>
                  </w:r>
                </w:p>
              </w:tc>
              <w:tc>
                <w:tcPr>
                  <w:tcW w:w="343" w:type="pct"/>
                  <w:vAlign w:val="center"/>
                </w:tcPr>
                <w:p w14:paraId="1F964897">
                  <w:pPr>
                    <w:jc w:val="center"/>
                    <w:rPr>
                      <w:rStyle w:val="187"/>
                      <w:rFonts w:hint="default" w:ascii="Times New Roman" w:hAnsi="Times New Roman" w:cs="Times New Roman"/>
                      <w:i w:val="0"/>
                      <w:color w:val="auto"/>
                      <w:sz w:val="21"/>
                      <w:szCs w:val="21"/>
                      <w:highlight w:val="none"/>
                      <w:lang w:val="en-US" w:eastAsia="zh-CN"/>
                    </w:rPr>
                  </w:pPr>
                  <w:r>
                    <w:rPr>
                      <w:rStyle w:val="187"/>
                      <w:rFonts w:hint="default" w:ascii="Times New Roman" w:hAnsi="Times New Roman" w:cs="Times New Roman"/>
                      <w:i w:val="0"/>
                      <w:color w:val="auto"/>
                      <w:sz w:val="21"/>
                      <w:szCs w:val="21"/>
                      <w:highlight w:val="none"/>
                      <w:lang w:val="en-US" w:eastAsia="zh-CN"/>
                    </w:rPr>
                    <w:t>45</w:t>
                  </w:r>
                </w:p>
              </w:tc>
              <w:tc>
                <w:tcPr>
                  <w:tcW w:w="343" w:type="pct"/>
                  <w:vAlign w:val="center"/>
                </w:tcPr>
                <w:p w14:paraId="50F32A03">
                  <w:pPr>
                    <w:jc w:val="center"/>
                    <w:rPr>
                      <w:rStyle w:val="187"/>
                      <w:rFonts w:hint="default" w:ascii="Times New Roman" w:hAnsi="Times New Roman" w:cs="Times New Roman"/>
                      <w:i w:val="0"/>
                      <w:color w:val="auto"/>
                      <w:sz w:val="21"/>
                      <w:szCs w:val="21"/>
                      <w:highlight w:val="none"/>
                    </w:rPr>
                  </w:pPr>
                  <w:r>
                    <w:rPr>
                      <w:rStyle w:val="187"/>
                      <w:rFonts w:hint="eastAsia" w:ascii="Times New Roman" w:hAnsi="Times New Roman" w:cs="Times New Roman"/>
                      <w:i w:val="0"/>
                      <w:color w:val="auto"/>
                      <w:sz w:val="21"/>
                      <w:szCs w:val="21"/>
                      <w:highlight w:val="none"/>
                      <w:lang w:val="en-US" w:eastAsia="zh-CN"/>
                    </w:rPr>
                    <w:t>1</w:t>
                  </w:r>
                  <w:r>
                    <w:rPr>
                      <w:rStyle w:val="187"/>
                      <w:rFonts w:hint="default" w:ascii="Times New Roman" w:hAnsi="Times New Roman" w:cs="Times New Roman"/>
                      <w:i w:val="0"/>
                      <w:color w:val="auto"/>
                      <w:sz w:val="21"/>
                      <w:szCs w:val="21"/>
                      <w:highlight w:val="none"/>
                    </w:rPr>
                    <w:t>0</w:t>
                  </w:r>
                </w:p>
              </w:tc>
              <w:tc>
                <w:tcPr>
                  <w:tcW w:w="345" w:type="pct"/>
                  <w:vAlign w:val="center"/>
                </w:tcPr>
                <w:p w14:paraId="4258733A">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r>
                    <w:rPr>
                      <w:rFonts w:hint="default" w:ascii="Times New Roman" w:hAnsi="Times New Roman" w:cs="Times New Roman"/>
                      <w:color w:val="auto"/>
                      <w:sz w:val="21"/>
                      <w:szCs w:val="21"/>
                      <w:highlight w:val="none"/>
                      <w:lang w:val="en-US" w:eastAsia="zh-CN"/>
                    </w:rPr>
                    <w:t>8</w:t>
                  </w:r>
                </w:p>
              </w:tc>
            </w:tr>
            <w:tr w14:paraId="2AEFD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vAlign w:val="center"/>
                </w:tcPr>
                <w:p w14:paraId="78A9E818">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8</w:t>
                  </w:r>
                </w:p>
              </w:tc>
              <w:tc>
                <w:tcPr>
                  <w:tcW w:w="589" w:type="pct"/>
                  <w:vMerge w:val="restart"/>
                  <w:vAlign w:val="center"/>
                </w:tcPr>
                <w:p w14:paraId="3B82108C">
                  <w:pPr>
                    <w:adjustRightInd w:val="0"/>
                    <w:snapToGrid w:val="0"/>
                    <w:jc w:val="center"/>
                    <w:rPr>
                      <w:rFonts w:hint="default" w:ascii="Times New Roman" w:hAnsi="Times New Roman" w:cs="Times New Roman"/>
                      <w:color w:val="auto"/>
                      <w:sz w:val="21"/>
                      <w:szCs w:val="21"/>
                      <w:highlight w:val="none"/>
                    </w:rPr>
                  </w:pPr>
                  <w:r>
                    <w:rPr>
                      <w:rFonts w:hint="eastAsia" w:cs="Times New Roman"/>
                      <w:color w:val="auto"/>
                      <w:kern w:val="2"/>
                      <w:sz w:val="21"/>
                      <w:szCs w:val="21"/>
                      <w:highlight w:val="none"/>
                      <w:lang w:val="en-US" w:eastAsia="zh-CN" w:bidi="ar-SA"/>
                    </w:rPr>
                    <w:t>农用贴片滴灌带加工厂房</w:t>
                  </w:r>
                </w:p>
              </w:tc>
              <w:tc>
                <w:tcPr>
                  <w:tcW w:w="1445" w:type="pct"/>
                  <w:shd w:val="clear" w:color="auto" w:fill="auto"/>
                  <w:vAlign w:val="center"/>
                </w:tcPr>
                <w:p w14:paraId="2BB070B5">
                  <w:pPr>
                    <w:adjustRightInd w:val="0"/>
                    <w:snapToGrid w:val="0"/>
                    <w:jc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color w:val="auto"/>
                      <w:kern w:val="21"/>
                      <w:sz w:val="21"/>
                      <w:szCs w:val="21"/>
                      <w:vertAlign w:val="baseline"/>
                    </w:rPr>
                    <w:t>贴片式滴灌带生产线</w:t>
                  </w:r>
                </w:p>
              </w:tc>
              <w:tc>
                <w:tcPr>
                  <w:tcW w:w="539" w:type="pct"/>
                  <w:shd w:val="clear" w:color="auto" w:fill="auto"/>
                  <w:vAlign w:val="center"/>
                </w:tcPr>
                <w:p w14:paraId="284CAF89">
                  <w:pPr>
                    <w:pStyle w:val="33"/>
                    <w:spacing w:after="0"/>
                    <w:ind w:left="-42" w:leftChars="-20" w:right="-42" w:rightChars="-2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4</w:t>
                  </w:r>
                </w:p>
              </w:tc>
              <w:tc>
                <w:tcPr>
                  <w:tcW w:w="792" w:type="pct"/>
                  <w:vAlign w:val="center"/>
                </w:tcPr>
                <w:p w14:paraId="06DD3206">
                  <w:pPr>
                    <w:spacing w:line="26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63.88</w:t>
                  </w:r>
                </w:p>
              </w:tc>
              <w:tc>
                <w:tcPr>
                  <w:tcW w:w="343" w:type="pct"/>
                  <w:vAlign w:val="center"/>
                </w:tcPr>
                <w:p w14:paraId="5328019B">
                  <w:pPr>
                    <w:jc w:val="center"/>
                    <w:rPr>
                      <w:rStyle w:val="187"/>
                      <w:rFonts w:hint="default" w:ascii="Times New Roman" w:hAnsi="Times New Roman" w:cs="Times New Roman"/>
                      <w:i w:val="0"/>
                      <w:color w:val="auto"/>
                      <w:sz w:val="21"/>
                      <w:szCs w:val="21"/>
                      <w:highlight w:val="none"/>
                      <w:lang w:val="en-US" w:eastAsia="zh-CN"/>
                    </w:rPr>
                  </w:pPr>
                  <w:r>
                    <w:rPr>
                      <w:rStyle w:val="187"/>
                      <w:rFonts w:hint="eastAsia" w:ascii="Times New Roman" w:hAnsi="Times New Roman" w:cs="Times New Roman"/>
                      <w:i w:val="0"/>
                      <w:color w:val="auto"/>
                      <w:sz w:val="21"/>
                      <w:szCs w:val="21"/>
                      <w:highlight w:val="none"/>
                      <w:lang w:val="en-US" w:eastAsia="zh-CN"/>
                    </w:rPr>
                    <w:t>55</w:t>
                  </w:r>
                </w:p>
              </w:tc>
              <w:tc>
                <w:tcPr>
                  <w:tcW w:w="343" w:type="pct"/>
                  <w:vAlign w:val="center"/>
                </w:tcPr>
                <w:p w14:paraId="0A9EBFF8">
                  <w:pPr>
                    <w:jc w:val="center"/>
                    <w:rPr>
                      <w:rStyle w:val="187"/>
                      <w:rFonts w:hint="default" w:ascii="Times New Roman" w:hAnsi="Times New Roman" w:cs="Times New Roman"/>
                      <w:i w:val="0"/>
                      <w:color w:val="auto"/>
                      <w:sz w:val="21"/>
                      <w:szCs w:val="21"/>
                      <w:highlight w:val="none"/>
                      <w:lang w:val="en-US" w:eastAsia="zh-CN"/>
                    </w:rPr>
                  </w:pPr>
                  <w:r>
                    <w:rPr>
                      <w:rStyle w:val="187"/>
                      <w:rFonts w:hint="default" w:ascii="Times New Roman" w:hAnsi="Times New Roman" w:cs="Times New Roman"/>
                      <w:i w:val="0"/>
                      <w:color w:val="auto"/>
                      <w:sz w:val="21"/>
                      <w:szCs w:val="21"/>
                      <w:highlight w:val="none"/>
                      <w:lang w:val="en-US" w:eastAsia="zh-CN"/>
                    </w:rPr>
                    <w:t>45</w:t>
                  </w:r>
                </w:p>
              </w:tc>
              <w:tc>
                <w:tcPr>
                  <w:tcW w:w="343" w:type="pct"/>
                  <w:vAlign w:val="center"/>
                </w:tcPr>
                <w:p w14:paraId="09F22DD8">
                  <w:pPr>
                    <w:jc w:val="center"/>
                    <w:rPr>
                      <w:rStyle w:val="187"/>
                      <w:rFonts w:hint="default" w:ascii="Times New Roman" w:hAnsi="Times New Roman" w:cs="Times New Roman"/>
                      <w:i w:val="0"/>
                      <w:color w:val="auto"/>
                      <w:sz w:val="21"/>
                      <w:szCs w:val="21"/>
                      <w:highlight w:val="none"/>
                    </w:rPr>
                  </w:pPr>
                  <w:r>
                    <w:rPr>
                      <w:rStyle w:val="187"/>
                      <w:rFonts w:hint="default" w:ascii="Times New Roman" w:hAnsi="Times New Roman" w:cs="Times New Roman"/>
                      <w:i w:val="0"/>
                      <w:color w:val="auto"/>
                      <w:sz w:val="21"/>
                      <w:szCs w:val="21"/>
                      <w:highlight w:val="none"/>
                    </w:rPr>
                    <w:t>70</w:t>
                  </w:r>
                </w:p>
              </w:tc>
              <w:tc>
                <w:tcPr>
                  <w:tcW w:w="345" w:type="pct"/>
                  <w:vAlign w:val="center"/>
                </w:tcPr>
                <w:p w14:paraId="39BC830D">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r>
                    <w:rPr>
                      <w:rFonts w:hint="default" w:ascii="Times New Roman" w:hAnsi="Times New Roman" w:cs="Times New Roman"/>
                      <w:color w:val="auto"/>
                      <w:sz w:val="21"/>
                      <w:szCs w:val="21"/>
                      <w:highlight w:val="none"/>
                      <w:lang w:val="en-US" w:eastAsia="zh-CN"/>
                    </w:rPr>
                    <w:t>8</w:t>
                  </w:r>
                </w:p>
              </w:tc>
            </w:tr>
            <w:tr w14:paraId="58E8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vAlign w:val="center"/>
                </w:tcPr>
                <w:p w14:paraId="545A639F">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9</w:t>
                  </w:r>
                </w:p>
              </w:tc>
              <w:tc>
                <w:tcPr>
                  <w:tcW w:w="589" w:type="pct"/>
                  <w:vMerge w:val="continue"/>
                  <w:shd w:val="clear" w:color="auto" w:fill="auto"/>
                  <w:vAlign w:val="center"/>
                </w:tcPr>
                <w:p w14:paraId="1259FCCB">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lang w:val="en-US" w:eastAsia="zh-CN" w:bidi="ar-SA"/>
                    </w:rPr>
                  </w:pPr>
                </w:p>
              </w:tc>
              <w:tc>
                <w:tcPr>
                  <w:tcW w:w="1445" w:type="pct"/>
                  <w:shd w:val="clear" w:color="auto" w:fill="auto"/>
                  <w:vAlign w:val="center"/>
                </w:tcPr>
                <w:p w14:paraId="33BE18DC">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1"/>
                      <w:sz w:val="21"/>
                      <w:szCs w:val="21"/>
                      <w:vertAlign w:val="baseline"/>
                    </w:rPr>
                    <w:t>拌料机</w:t>
                  </w:r>
                </w:p>
              </w:tc>
              <w:tc>
                <w:tcPr>
                  <w:tcW w:w="539" w:type="pct"/>
                  <w:shd w:val="clear" w:color="auto" w:fill="auto"/>
                  <w:vAlign w:val="center"/>
                </w:tcPr>
                <w:p w14:paraId="6CF32112">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c>
                <w:tcPr>
                  <w:tcW w:w="792" w:type="pct"/>
                  <w:vAlign w:val="center"/>
                </w:tcPr>
                <w:p w14:paraId="7F87F61F">
                  <w:pPr>
                    <w:spacing w:line="26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66.99</w:t>
                  </w:r>
                </w:p>
              </w:tc>
              <w:tc>
                <w:tcPr>
                  <w:tcW w:w="343" w:type="pct"/>
                  <w:vAlign w:val="center"/>
                </w:tcPr>
                <w:p w14:paraId="62E58A03">
                  <w:pPr>
                    <w:jc w:val="center"/>
                    <w:rPr>
                      <w:rStyle w:val="187"/>
                      <w:rFonts w:hint="default" w:ascii="Times New Roman" w:hAnsi="Times New Roman" w:cs="Times New Roman"/>
                      <w:i w:val="0"/>
                      <w:color w:val="auto"/>
                      <w:sz w:val="21"/>
                      <w:szCs w:val="21"/>
                      <w:highlight w:val="none"/>
                      <w:lang w:val="en-US" w:eastAsia="zh-CN"/>
                    </w:rPr>
                  </w:pPr>
                  <w:r>
                    <w:rPr>
                      <w:rStyle w:val="187"/>
                      <w:rFonts w:hint="eastAsia" w:ascii="Times New Roman" w:hAnsi="Times New Roman" w:cs="Times New Roman"/>
                      <w:i w:val="0"/>
                      <w:color w:val="auto"/>
                      <w:sz w:val="21"/>
                      <w:szCs w:val="21"/>
                      <w:highlight w:val="none"/>
                      <w:lang w:val="en-US" w:eastAsia="zh-CN"/>
                    </w:rPr>
                    <w:t>52</w:t>
                  </w:r>
                </w:p>
              </w:tc>
              <w:tc>
                <w:tcPr>
                  <w:tcW w:w="343" w:type="pct"/>
                  <w:vAlign w:val="center"/>
                </w:tcPr>
                <w:p w14:paraId="4AB2AD23">
                  <w:pPr>
                    <w:jc w:val="center"/>
                    <w:rPr>
                      <w:rStyle w:val="187"/>
                      <w:rFonts w:hint="default" w:ascii="Times New Roman" w:hAnsi="Times New Roman" w:cs="Times New Roman"/>
                      <w:i w:val="0"/>
                      <w:color w:val="auto"/>
                      <w:sz w:val="21"/>
                      <w:szCs w:val="21"/>
                      <w:highlight w:val="none"/>
                      <w:lang w:val="en-US" w:eastAsia="zh-CN"/>
                    </w:rPr>
                  </w:pPr>
                  <w:r>
                    <w:rPr>
                      <w:rStyle w:val="187"/>
                      <w:rFonts w:hint="default" w:ascii="Times New Roman" w:hAnsi="Times New Roman" w:cs="Times New Roman"/>
                      <w:i w:val="0"/>
                      <w:color w:val="auto"/>
                      <w:sz w:val="21"/>
                      <w:szCs w:val="21"/>
                      <w:highlight w:val="none"/>
                      <w:lang w:val="en-US" w:eastAsia="zh-CN"/>
                    </w:rPr>
                    <w:t>45</w:t>
                  </w:r>
                </w:p>
              </w:tc>
              <w:tc>
                <w:tcPr>
                  <w:tcW w:w="343" w:type="pct"/>
                  <w:vAlign w:val="center"/>
                </w:tcPr>
                <w:p w14:paraId="049870D4">
                  <w:pPr>
                    <w:jc w:val="center"/>
                    <w:rPr>
                      <w:rStyle w:val="187"/>
                      <w:rFonts w:hint="default" w:ascii="Times New Roman" w:hAnsi="Times New Roman" w:cs="Times New Roman"/>
                      <w:i w:val="0"/>
                      <w:color w:val="auto"/>
                      <w:sz w:val="21"/>
                      <w:szCs w:val="21"/>
                      <w:highlight w:val="none"/>
                    </w:rPr>
                  </w:pPr>
                  <w:r>
                    <w:rPr>
                      <w:rStyle w:val="187"/>
                      <w:rFonts w:hint="default" w:ascii="Times New Roman" w:hAnsi="Times New Roman" w:cs="Times New Roman"/>
                      <w:i w:val="0"/>
                      <w:color w:val="auto"/>
                      <w:sz w:val="21"/>
                      <w:szCs w:val="21"/>
                      <w:highlight w:val="none"/>
                    </w:rPr>
                    <w:t>70</w:t>
                  </w:r>
                </w:p>
              </w:tc>
              <w:tc>
                <w:tcPr>
                  <w:tcW w:w="345" w:type="pct"/>
                  <w:vAlign w:val="center"/>
                </w:tcPr>
                <w:p w14:paraId="2E5B91BE">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r>
                    <w:rPr>
                      <w:rFonts w:hint="default" w:ascii="Times New Roman" w:hAnsi="Times New Roman" w:cs="Times New Roman"/>
                      <w:color w:val="auto"/>
                      <w:sz w:val="21"/>
                      <w:szCs w:val="21"/>
                      <w:highlight w:val="none"/>
                      <w:lang w:val="en-US" w:eastAsia="zh-CN"/>
                    </w:rPr>
                    <w:t>8</w:t>
                  </w:r>
                </w:p>
              </w:tc>
            </w:tr>
            <w:tr w14:paraId="59106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vAlign w:val="center"/>
                </w:tcPr>
                <w:p w14:paraId="7D15C9DA">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10</w:t>
                  </w:r>
                </w:p>
              </w:tc>
              <w:tc>
                <w:tcPr>
                  <w:tcW w:w="589" w:type="pct"/>
                  <w:vMerge w:val="continue"/>
                  <w:shd w:val="clear" w:color="auto" w:fill="auto"/>
                  <w:vAlign w:val="center"/>
                </w:tcPr>
                <w:p w14:paraId="3E385D8E">
                  <w:pPr>
                    <w:pStyle w:val="33"/>
                    <w:spacing w:after="0"/>
                    <w:ind w:left="-42" w:leftChars="-20" w:right="-42" w:rightChars="-20" w:firstLine="0" w:firstLineChars="0"/>
                    <w:jc w:val="center"/>
                    <w:rPr>
                      <w:rFonts w:hint="default" w:ascii="Times New Roman" w:hAnsi="Times New Roman" w:eastAsia="宋体" w:cs="Times New Roman"/>
                      <w:color w:val="auto"/>
                      <w:kern w:val="2"/>
                      <w:sz w:val="21"/>
                      <w:szCs w:val="21"/>
                      <w:lang w:val="en-US" w:eastAsia="zh-CN" w:bidi="ar-SA"/>
                    </w:rPr>
                  </w:pPr>
                </w:p>
              </w:tc>
              <w:tc>
                <w:tcPr>
                  <w:tcW w:w="1445" w:type="pct"/>
                  <w:shd w:val="clear" w:color="auto" w:fill="auto"/>
                  <w:vAlign w:val="center"/>
                </w:tcPr>
                <w:p w14:paraId="42279D87">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1"/>
                      <w:sz w:val="21"/>
                      <w:szCs w:val="21"/>
                      <w:vertAlign w:val="baseline"/>
                    </w:rPr>
                    <w:t>螺杆变频空压机</w:t>
                  </w:r>
                </w:p>
              </w:tc>
              <w:tc>
                <w:tcPr>
                  <w:tcW w:w="539" w:type="pct"/>
                  <w:shd w:val="clear" w:color="auto" w:fill="auto"/>
                  <w:vAlign w:val="center"/>
                </w:tcPr>
                <w:p w14:paraId="0206F339">
                  <w:pPr>
                    <w:pStyle w:val="33"/>
                    <w:spacing w:after="0"/>
                    <w:ind w:left="-42" w:leftChars="-20" w:right="-42" w:rightChars="-2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2</w:t>
                  </w:r>
                </w:p>
              </w:tc>
              <w:tc>
                <w:tcPr>
                  <w:tcW w:w="792" w:type="pct"/>
                  <w:vAlign w:val="center"/>
                </w:tcPr>
                <w:p w14:paraId="09282DFD">
                  <w:pPr>
                    <w:spacing w:line="26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73.06</w:t>
                  </w:r>
                </w:p>
              </w:tc>
              <w:tc>
                <w:tcPr>
                  <w:tcW w:w="343" w:type="pct"/>
                  <w:vAlign w:val="center"/>
                </w:tcPr>
                <w:p w14:paraId="60F59A5E">
                  <w:pPr>
                    <w:jc w:val="center"/>
                    <w:rPr>
                      <w:rStyle w:val="187"/>
                      <w:rFonts w:hint="default" w:ascii="Times New Roman" w:hAnsi="Times New Roman" w:cs="Times New Roman"/>
                      <w:i w:val="0"/>
                      <w:color w:val="auto"/>
                      <w:sz w:val="21"/>
                      <w:szCs w:val="21"/>
                      <w:highlight w:val="none"/>
                      <w:lang w:val="en-US" w:eastAsia="zh-CN"/>
                    </w:rPr>
                  </w:pPr>
                  <w:r>
                    <w:rPr>
                      <w:rStyle w:val="187"/>
                      <w:rFonts w:hint="eastAsia" w:ascii="Times New Roman" w:hAnsi="Times New Roman" w:cs="Times New Roman"/>
                      <w:i w:val="0"/>
                      <w:color w:val="auto"/>
                      <w:sz w:val="21"/>
                      <w:szCs w:val="21"/>
                      <w:highlight w:val="none"/>
                      <w:lang w:val="en-US" w:eastAsia="zh-CN"/>
                    </w:rPr>
                    <w:t>50</w:t>
                  </w:r>
                </w:p>
              </w:tc>
              <w:tc>
                <w:tcPr>
                  <w:tcW w:w="343" w:type="pct"/>
                  <w:vAlign w:val="center"/>
                </w:tcPr>
                <w:p w14:paraId="3250B1C7">
                  <w:pPr>
                    <w:jc w:val="center"/>
                    <w:rPr>
                      <w:rStyle w:val="187"/>
                      <w:rFonts w:hint="default" w:ascii="Times New Roman" w:hAnsi="Times New Roman" w:cs="Times New Roman"/>
                      <w:i w:val="0"/>
                      <w:color w:val="auto"/>
                      <w:sz w:val="21"/>
                      <w:szCs w:val="21"/>
                      <w:highlight w:val="none"/>
                      <w:lang w:val="en-US" w:eastAsia="zh-CN"/>
                    </w:rPr>
                  </w:pPr>
                  <w:r>
                    <w:rPr>
                      <w:rStyle w:val="187"/>
                      <w:rFonts w:hint="default" w:ascii="Times New Roman" w:hAnsi="Times New Roman" w:cs="Times New Roman"/>
                      <w:i w:val="0"/>
                      <w:color w:val="auto"/>
                      <w:sz w:val="21"/>
                      <w:szCs w:val="21"/>
                      <w:highlight w:val="none"/>
                      <w:lang w:val="en-US" w:eastAsia="zh-CN"/>
                    </w:rPr>
                    <w:t>45</w:t>
                  </w:r>
                </w:p>
              </w:tc>
              <w:tc>
                <w:tcPr>
                  <w:tcW w:w="343" w:type="pct"/>
                  <w:vAlign w:val="center"/>
                </w:tcPr>
                <w:p w14:paraId="36CBAB38">
                  <w:pPr>
                    <w:jc w:val="center"/>
                    <w:rPr>
                      <w:rStyle w:val="187"/>
                      <w:rFonts w:hint="default" w:ascii="Times New Roman" w:hAnsi="Times New Roman" w:cs="Times New Roman"/>
                      <w:i w:val="0"/>
                      <w:color w:val="auto"/>
                      <w:sz w:val="21"/>
                      <w:szCs w:val="21"/>
                      <w:highlight w:val="none"/>
                    </w:rPr>
                  </w:pPr>
                  <w:r>
                    <w:rPr>
                      <w:rStyle w:val="187"/>
                      <w:rFonts w:hint="default" w:ascii="Times New Roman" w:hAnsi="Times New Roman" w:cs="Times New Roman"/>
                      <w:i w:val="0"/>
                      <w:color w:val="auto"/>
                      <w:sz w:val="21"/>
                      <w:szCs w:val="21"/>
                      <w:highlight w:val="none"/>
                    </w:rPr>
                    <w:t>70</w:t>
                  </w:r>
                </w:p>
              </w:tc>
              <w:tc>
                <w:tcPr>
                  <w:tcW w:w="345" w:type="pct"/>
                  <w:vAlign w:val="center"/>
                </w:tcPr>
                <w:p w14:paraId="663FC5C2">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r>
                    <w:rPr>
                      <w:rFonts w:hint="default" w:ascii="Times New Roman" w:hAnsi="Times New Roman" w:cs="Times New Roman"/>
                      <w:color w:val="auto"/>
                      <w:sz w:val="21"/>
                      <w:szCs w:val="21"/>
                      <w:highlight w:val="none"/>
                      <w:lang w:val="en-US" w:eastAsia="zh-CN"/>
                    </w:rPr>
                    <w:t>8</w:t>
                  </w:r>
                </w:p>
              </w:tc>
            </w:tr>
            <w:tr w14:paraId="4E3DA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vAlign w:val="center"/>
                </w:tcPr>
                <w:p w14:paraId="75A5C404">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11</w:t>
                  </w:r>
                </w:p>
              </w:tc>
              <w:tc>
                <w:tcPr>
                  <w:tcW w:w="589" w:type="pct"/>
                  <w:vMerge w:val="continue"/>
                  <w:vAlign w:val="center"/>
                </w:tcPr>
                <w:p w14:paraId="4E731508">
                  <w:pPr>
                    <w:adjustRightInd w:val="0"/>
                    <w:snapToGrid w:val="0"/>
                    <w:jc w:val="center"/>
                    <w:rPr>
                      <w:rFonts w:hint="default" w:ascii="Times New Roman" w:hAnsi="Times New Roman" w:cs="Times New Roman"/>
                      <w:color w:val="auto"/>
                      <w:sz w:val="21"/>
                      <w:szCs w:val="21"/>
                      <w:highlight w:val="none"/>
                    </w:rPr>
                  </w:pPr>
                </w:p>
              </w:tc>
              <w:tc>
                <w:tcPr>
                  <w:tcW w:w="1445" w:type="pct"/>
                  <w:shd w:val="clear" w:color="auto" w:fill="auto"/>
                  <w:vAlign w:val="center"/>
                </w:tcPr>
                <w:p w14:paraId="3687AD4F">
                  <w:pPr>
                    <w:adjustRightInd w:val="0"/>
                    <w:snapToGrid w:val="0"/>
                    <w:jc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i w:val="0"/>
                      <w:iCs w:val="0"/>
                      <w:caps w:val="0"/>
                      <w:color w:val="auto"/>
                      <w:spacing w:val="0"/>
                      <w:kern w:val="21"/>
                      <w:sz w:val="21"/>
                      <w:szCs w:val="21"/>
                      <w:lang w:val="en-US" w:eastAsia="zh-CN" w:bidi="ar"/>
                    </w:rPr>
                    <w:t>冷冻式干燥机</w:t>
                  </w:r>
                </w:p>
              </w:tc>
              <w:tc>
                <w:tcPr>
                  <w:tcW w:w="539" w:type="pct"/>
                  <w:shd w:val="clear" w:color="auto" w:fill="auto"/>
                  <w:vAlign w:val="center"/>
                </w:tcPr>
                <w:p w14:paraId="0FF983A2">
                  <w:pPr>
                    <w:pStyle w:val="33"/>
                    <w:spacing w:after="0"/>
                    <w:ind w:left="-42" w:leftChars="-20" w:right="-42" w:rightChars="-2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1</w:t>
                  </w:r>
                </w:p>
              </w:tc>
              <w:tc>
                <w:tcPr>
                  <w:tcW w:w="792" w:type="pct"/>
                  <w:vAlign w:val="center"/>
                </w:tcPr>
                <w:p w14:paraId="4F044C86">
                  <w:pPr>
                    <w:spacing w:line="26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74.16</w:t>
                  </w:r>
                </w:p>
              </w:tc>
              <w:tc>
                <w:tcPr>
                  <w:tcW w:w="343" w:type="pct"/>
                  <w:vAlign w:val="center"/>
                </w:tcPr>
                <w:p w14:paraId="574AB5B7">
                  <w:pPr>
                    <w:jc w:val="center"/>
                    <w:rPr>
                      <w:rStyle w:val="187"/>
                      <w:rFonts w:hint="default" w:ascii="Times New Roman" w:hAnsi="Times New Roman" w:cs="Times New Roman"/>
                      <w:i w:val="0"/>
                      <w:color w:val="auto"/>
                      <w:sz w:val="21"/>
                      <w:szCs w:val="21"/>
                      <w:highlight w:val="none"/>
                      <w:lang w:val="en-US" w:eastAsia="zh-CN"/>
                    </w:rPr>
                  </w:pPr>
                  <w:r>
                    <w:rPr>
                      <w:rStyle w:val="187"/>
                      <w:rFonts w:hint="eastAsia" w:ascii="Times New Roman" w:hAnsi="Times New Roman" w:cs="Times New Roman"/>
                      <w:i w:val="0"/>
                      <w:color w:val="auto"/>
                      <w:sz w:val="21"/>
                      <w:szCs w:val="21"/>
                      <w:highlight w:val="none"/>
                      <w:lang w:val="en-US" w:eastAsia="zh-CN"/>
                    </w:rPr>
                    <w:t>48</w:t>
                  </w:r>
                </w:p>
              </w:tc>
              <w:tc>
                <w:tcPr>
                  <w:tcW w:w="343" w:type="pct"/>
                  <w:vAlign w:val="center"/>
                </w:tcPr>
                <w:p w14:paraId="3DD88868">
                  <w:pPr>
                    <w:jc w:val="center"/>
                    <w:rPr>
                      <w:rStyle w:val="187"/>
                      <w:rFonts w:hint="default" w:ascii="Times New Roman" w:hAnsi="Times New Roman" w:cs="Times New Roman"/>
                      <w:i w:val="0"/>
                      <w:color w:val="auto"/>
                      <w:sz w:val="21"/>
                      <w:szCs w:val="21"/>
                      <w:highlight w:val="none"/>
                      <w:lang w:val="en-US" w:eastAsia="zh-CN"/>
                    </w:rPr>
                  </w:pPr>
                  <w:r>
                    <w:rPr>
                      <w:rStyle w:val="187"/>
                      <w:rFonts w:hint="eastAsia" w:ascii="Times New Roman" w:hAnsi="Times New Roman" w:cs="Times New Roman"/>
                      <w:i w:val="0"/>
                      <w:color w:val="auto"/>
                      <w:sz w:val="21"/>
                      <w:szCs w:val="21"/>
                      <w:highlight w:val="none"/>
                      <w:lang w:val="en-US" w:eastAsia="zh-CN"/>
                    </w:rPr>
                    <w:t>50</w:t>
                  </w:r>
                </w:p>
              </w:tc>
              <w:tc>
                <w:tcPr>
                  <w:tcW w:w="343" w:type="pct"/>
                  <w:vAlign w:val="center"/>
                </w:tcPr>
                <w:p w14:paraId="5B88180D">
                  <w:pPr>
                    <w:jc w:val="center"/>
                    <w:rPr>
                      <w:rStyle w:val="187"/>
                      <w:rFonts w:hint="default" w:ascii="Times New Roman" w:hAnsi="Times New Roman" w:cs="Times New Roman"/>
                      <w:i w:val="0"/>
                      <w:color w:val="auto"/>
                      <w:sz w:val="21"/>
                      <w:szCs w:val="21"/>
                      <w:highlight w:val="none"/>
                    </w:rPr>
                  </w:pPr>
                  <w:r>
                    <w:rPr>
                      <w:rStyle w:val="187"/>
                      <w:rFonts w:hint="default" w:ascii="Times New Roman" w:hAnsi="Times New Roman" w:cs="Times New Roman"/>
                      <w:i w:val="0"/>
                      <w:color w:val="auto"/>
                      <w:sz w:val="21"/>
                      <w:szCs w:val="21"/>
                      <w:highlight w:val="none"/>
                      <w:lang w:val="en-US" w:eastAsia="zh-CN"/>
                    </w:rPr>
                    <w:t>10</w:t>
                  </w:r>
                </w:p>
              </w:tc>
              <w:tc>
                <w:tcPr>
                  <w:tcW w:w="345" w:type="pct"/>
                  <w:vAlign w:val="center"/>
                </w:tcPr>
                <w:p w14:paraId="6CADECE1">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16</w:t>
                  </w:r>
                </w:p>
              </w:tc>
            </w:tr>
            <w:tr w14:paraId="2E477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7" w:type="pct"/>
                  <w:vAlign w:val="center"/>
                </w:tcPr>
                <w:p w14:paraId="586CC3FC">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12</w:t>
                  </w:r>
                </w:p>
              </w:tc>
              <w:tc>
                <w:tcPr>
                  <w:tcW w:w="589" w:type="pct"/>
                  <w:vMerge w:val="continue"/>
                  <w:vAlign w:val="center"/>
                </w:tcPr>
                <w:p w14:paraId="7DDE1C40">
                  <w:pPr>
                    <w:adjustRightInd w:val="0"/>
                    <w:snapToGrid w:val="0"/>
                    <w:jc w:val="center"/>
                    <w:rPr>
                      <w:rFonts w:hint="default" w:ascii="Times New Roman" w:hAnsi="Times New Roman" w:cs="Times New Roman"/>
                      <w:color w:val="auto"/>
                      <w:sz w:val="21"/>
                      <w:szCs w:val="21"/>
                      <w:highlight w:val="none"/>
                    </w:rPr>
                  </w:pPr>
                </w:p>
              </w:tc>
              <w:tc>
                <w:tcPr>
                  <w:tcW w:w="1445" w:type="pct"/>
                  <w:shd w:val="clear" w:color="auto" w:fill="auto"/>
                  <w:vAlign w:val="center"/>
                </w:tcPr>
                <w:p w14:paraId="6EB33626">
                  <w:pPr>
                    <w:adjustRightInd w:val="0"/>
                    <w:snapToGrid w:val="0"/>
                    <w:jc w:val="center"/>
                    <w:rPr>
                      <w:rFonts w:hint="default" w:ascii="Times New Roman" w:hAnsi="Times New Roman" w:eastAsia="宋体" w:cs="Times New Roman"/>
                      <w:color w:val="auto"/>
                      <w:kern w:val="21"/>
                      <w:sz w:val="21"/>
                      <w:szCs w:val="21"/>
                      <w:vertAlign w:val="baseline"/>
                      <w:lang w:val="en-US" w:eastAsia="zh-CN" w:bidi="ar-SA"/>
                    </w:rPr>
                  </w:pPr>
                  <w:r>
                    <w:rPr>
                      <w:rFonts w:hint="default" w:ascii="Times New Roman" w:hAnsi="Times New Roman" w:eastAsia="宋体" w:cs="Times New Roman"/>
                      <w:color w:val="auto"/>
                      <w:kern w:val="21"/>
                      <w:sz w:val="21"/>
                      <w:szCs w:val="21"/>
                      <w:vertAlign w:val="baseline"/>
                    </w:rPr>
                    <w:t>冷却塔</w:t>
                  </w:r>
                </w:p>
              </w:tc>
              <w:tc>
                <w:tcPr>
                  <w:tcW w:w="539" w:type="pct"/>
                  <w:shd w:val="clear" w:color="auto" w:fill="auto"/>
                  <w:vAlign w:val="center"/>
                </w:tcPr>
                <w:p w14:paraId="047BC920">
                  <w:pPr>
                    <w:pStyle w:val="33"/>
                    <w:spacing w:after="0"/>
                    <w:ind w:left="-42" w:leftChars="-20" w:right="-42" w:rightChars="-2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1</w:t>
                  </w:r>
                </w:p>
              </w:tc>
              <w:tc>
                <w:tcPr>
                  <w:tcW w:w="792" w:type="pct"/>
                  <w:vAlign w:val="center"/>
                </w:tcPr>
                <w:p w14:paraId="66656B76">
                  <w:pPr>
                    <w:spacing w:line="26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72.18</w:t>
                  </w:r>
                </w:p>
              </w:tc>
              <w:tc>
                <w:tcPr>
                  <w:tcW w:w="343" w:type="pct"/>
                  <w:vAlign w:val="center"/>
                </w:tcPr>
                <w:p w14:paraId="174001F0">
                  <w:pPr>
                    <w:jc w:val="center"/>
                    <w:rPr>
                      <w:rStyle w:val="187"/>
                      <w:rFonts w:hint="default" w:ascii="Times New Roman" w:hAnsi="Times New Roman" w:cs="Times New Roman"/>
                      <w:i w:val="0"/>
                      <w:color w:val="auto"/>
                      <w:sz w:val="21"/>
                      <w:szCs w:val="21"/>
                      <w:highlight w:val="none"/>
                      <w:lang w:val="en-US" w:eastAsia="zh-CN"/>
                    </w:rPr>
                  </w:pPr>
                  <w:r>
                    <w:rPr>
                      <w:rStyle w:val="187"/>
                      <w:rFonts w:hint="eastAsia" w:ascii="Times New Roman" w:hAnsi="Times New Roman" w:cs="Times New Roman"/>
                      <w:i w:val="0"/>
                      <w:color w:val="auto"/>
                      <w:sz w:val="21"/>
                      <w:szCs w:val="21"/>
                      <w:highlight w:val="none"/>
                      <w:lang w:val="en-US" w:eastAsia="zh-CN"/>
                    </w:rPr>
                    <w:t>43</w:t>
                  </w:r>
                </w:p>
              </w:tc>
              <w:tc>
                <w:tcPr>
                  <w:tcW w:w="343" w:type="pct"/>
                  <w:vAlign w:val="center"/>
                </w:tcPr>
                <w:p w14:paraId="16D7112F">
                  <w:pPr>
                    <w:jc w:val="center"/>
                    <w:rPr>
                      <w:rStyle w:val="187"/>
                      <w:rFonts w:hint="default" w:ascii="Times New Roman" w:hAnsi="Times New Roman" w:cs="Times New Roman"/>
                      <w:i w:val="0"/>
                      <w:color w:val="auto"/>
                      <w:sz w:val="21"/>
                      <w:szCs w:val="21"/>
                      <w:highlight w:val="none"/>
                      <w:lang w:val="en-US" w:eastAsia="zh-CN"/>
                    </w:rPr>
                  </w:pPr>
                  <w:r>
                    <w:rPr>
                      <w:rStyle w:val="187"/>
                      <w:rFonts w:hint="default" w:ascii="Times New Roman" w:hAnsi="Times New Roman" w:cs="Times New Roman"/>
                      <w:i w:val="0"/>
                      <w:color w:val="auto"/>
                      <w:sz w:val="21"/>
                      <w:szCs w:val="21"/>
                      <w:highlight w:val="none"/>
                      <w:lang w:val="en-US" w:eastAsia="zh-CN"/>
                    </w:rPr>
                    <w:t>45</w:t>
                  </w:r>
                </w:p>
              </w:tc>
              <w:tc>
                <w:tcPr>
                  <w:tcW w:w="343" w:type="pct"/>
                  <w:vAlign w:val="center"/>
                </w:tcPr>
                <w:p w14:paraId="36D1C6CC">
                  <w:pPr>
                    <w:jc w:val="center"/>
                    <w:rPr>
                      <w:rStyle w:val="187"/>
                      <w:rFonts w:hint="default" w:ascii="Times New Roman" w:hAnsi="Times New Roman" w:cs="Times New Roman"/>
                      <w:i w:val="0"/>
                      <w:color w:val="auto"/>
                      <w:sz w:val="21"/>
                      <w:szCs w:val="21"/>
                      <w:highlight w:val="none"/>
                    </w:rPr>
                  </w:pPr>
                  <w:r>
                    <w:rPr>
                      <w:rStyle w:val="187"/>
                      <w:rFonts w:hint="eastAsia" w:ascii="Times New Roman" w:hAnsi="Times New Roman" w:cs="Times New Roman"/>
                      <w:i w:val="0"/>
                      <w:color w:val="auto"/>
                      <w:sz w:val="21"/>
                      <w:szCs w:val="21"/>
                      <w:highlight w:val="none"/>
                      <w:lang w:val="en-US" w:eastAsia="zh-CN"/>
                    </w:rPr>
                    <w:t>1</w:t>
                  </w:r>
                  <w:r>
                    <w:rPr>
                      <w:rStyle w:val="187"/>
                      <w:rFonts w:hint="default" w:ascii="Times New Roman" w:hAnsi="Times New Roman" w:cs="Times New Roman"/>
                      <w:i w:val="0"/>
                      <w:color w:val="auto"/>
                      <w:sz w:val="21"/>
                      <w:szCs w:val="21"/>
                      <w:highlight w:val="none"/>
                    </w:rPr>
                    <w:t>0</w:t>
                  </w:r>
                </w:p>
              </w:tc>
              <w:tc>
                <w:tcPr>
                  <w:tcW w:w="345" w:type="pct"/>
                  <w:vAlign w:val="center"/>
                </w:tcPr>
                <w:p w14:paraId="5494F885">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r>
                    <w:rPr>
                      <w:rFonts w:hint="default" w:ascii="Times New Roman" w:hAnsi="Times New Roman" w:cs="Times New Roman"/>
                      <w:color w:val="auto"/>
                      <w:sz w:val="21"/>
                      <w:szCs w:val="21"/>
                      <w:highlight w:val="none"/>
                      <w:lang w:val="en-US" w:eastAsia="zh-CN"/>
                    </w:rPr>
                    <w:t>8</w:t>
                  </w:r>
                </w:p>
              </w:tc>
            </w:tr>
          </w:tbl>
          <w:p w14:paraId="151189F6">
            <w:pPr>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表</w:t>
            </w:r>
            <w:r>
              <w:rPr>
                <w:rFonts w:hint="eastAsia" w:cs="Times New Roman"/>
                <w:b/>
                <w:color w:val="auto"/>
                <w:sz w:val="21"/>
                <w:szCs w:val="21"/>
                <w:highlight w:val="none"/>
                <w:lang w:val="en-US" w:eastAsia="zh-CN"/>
              </w:rPr>
              <w:t>4-14</w:t>
            </w:r>
            <w:r>
              <w:rPr>
                <w:rFonts w:hint="default" w:ascii="Times New Roman" w:hAnsi="Times New Roman" w:eastAsia="宋体" w:cs="Times New Roman"/>
                <w:b/>
                <w:bCs/>
                <w:color w:val="auto"/>
                <w:sz w:val="21"/>
                <w:szCs w:val="21"/>
                <w:highlight w:val="none"/>
              </w:rPr>
              <w:t xml:space="preserve">        本项目</w:t>
            </w:r>
            <w:r>
              <w:rPr>
                <w:rFonts w:hint="default" w:ascii="Times New Roman" w:hAnsi="Times New Roman" w:eastAsia="宋体" w:cs="Times New Roman"/>
                <w:b/>
                <w:color w:val="auto"/>
                <w:sz w:val="21"/>
                <w:szCs w:val="21"/>
                <w:highlight w:val="none"/>
              </w:rPr>
              <w:t>噪声</w:t>
            </w:r>
            <w:r>
              <w:rPr>
                <w:rFonts w:hint="default" w:ascii="Times New Roman" w:hAnsi="Times New Roman" w:eastAsia="宋体" w:cs="Times New Roman"/>
                <w:b/>
                <w:bCs/>
                <w:color w:val="auto"/>
                <w:sz w:val="21"/>
                <w:szCs w:val="21"/>
                <w:highlight w:val="none"/>
              </w:rPr>
              <w:t>贡献值</w:t>
            </w:r>
            <w:r>
              <w:rPr>
                <w:rFonts w:hint="default" w:ascii="Times New Roman" w:hAnsi="Times New Roman" w:eastAsia="宋体" w:cs="Times New Roman"/>
                <w:b/>
                <w:color w:val="auto"/>
                <w:sz w:val="21"/>
                <w:szCs w:val="21"/>
                <w:highlight w:val="none"/>
              </w:rPr>
              <w:t>预测结果单位：dB（A）</w:t>
            </w:r>
          </w:p>
          <w:tbl>
            <w:tblPr>
              <w:tblStyle w:val="35"/>
              <w:tblW w:w="8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357"/>
              <w:gridCol w:w="1378"/>
              <w:gridCol w:w="1180"/>
              <w:gridCol w:w="1062"/>
              <w:gridCol w:w="1194"/>
              <w:gridCol w:w="1000"/>
            </w:tblGrid>
            <w:tr w14:paraId="590CE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47" w:type="pct"/>
                  <w:vAlign w:val="center"/>
                </w:tcPr>
                <w:p w14:paraId="029BE583">
                  <w:pPr>
                    <w:adjustRightInd w:val="0"/>
                    <w:snapToGrid w:val="0"/>
                    <w:ind w:left="-63" w:leftChars="-30" w:right="-63" w:rightChars="-30"/>
                    <w:jc w:val="center"/>
                    <w:rPr>
                      <w:rStyle w:val="186"/>
                      <w:rFonts w:hint="default" w:ascii="Times New Roman" w:hAnsi="Times New Roman" w:eastAsia="宋体" w:cs="Times New Roman"/>
                      <w:color w:val="auto"/>
                      <w:sz w:val="21"/>
                      <w:szCs w:val="21"/>
                      <w:highlight w:val="none"/>
                    </w:rPr>
                  </w:pPr>
                  <w:r>
                    <w:rPr>
                      <w:rStyle w:val="186"/>
                      <w:rFonts w:hint="default" w:ascii="Times New Roman" w:hAnsi="Times New Roman" w:eastAsia="宋体" w:cs="Times New Roman"/>
                      <w:color w:val="auto"/>
                      <w:sz w:val="21"/>
                      <w:szCs w:val="21"/>
                      <w:highlight w:val="none"/>
                    </w:rPr>
                    <w:t>噪声源</w:t>
                  </w:r>
                </w:p>
              </w:tc>
              <w:tc>
                <w:tcPr>
                  <w:tcW w:w="805" w:type="pct"/>
                  <w:vAlign w:val="center"/>
                </w:tcPr>
                <w:p w14:paraId="7CCF76DA">
                  <w:pPr>
                    <w:adjustRightInd w:val="0"/>
                    <w:snapToGrid w:val="0"/>
                    <w:ind w:left="-63" w:leftChars="-30" w:right="-63" w:rightChars="-30"/>
                    <w:jc w:val="center"/>
                    <w:rPr>
                      <w:rStyle w:val="186"/>
                      <w:rFonts w:hint="default" w:ascii="Times New Roman" w:hAnsi="Times New Roman" w:eastAsia="宋体" w:cs="Times New Roman"/>
                      <w:color w:val="auto"/>
                      <w:sz w:val="21"/>
                      <w:szCs w:val="21"/>
                      <w:highlight w:val="none"/>
                    </w:rPr>
                  </w:pPr>
                  <w:r>
                    <w:rPr>
                      <w:rStyle w:val="186"/>
                      <w:rFonts w:hint="default" w:ascii="Times New Roman" w:hAnsi="Times New Roman" w:eastAsia="宋体" w:cs="Times New Roman"/>
                      <w:color w:val="auto"/>
                      <w:sz w:val="21"/>
                      <w:szCs w:val="21"/>
                      <w:highlight w:val="none"/>
                    </w:rPr>
                    <w:t>噪声设备</w:t>
                  </w:r>
                </w:p>
              </w:tc>
              <w:tc>
                <w:tcPr>
                  <w:tcW w:w="817" w:type="pct"/>
                  <w:vAlign w:val="center"/>
                </w:tcPr>
                <w:p w14:paraId="2AF696ED">
                  <w:pPr>
                    <w:adjustRightInd w:val="0"/>
                    <w:snapToGrid w:val="0"/>
                    <w:ind w:left="-63" w:leftChars="-30" w:right="-63" w:rightChars="-30"/>
                    <w:jc w:val="center"/>
                    <w:rPr>
                      <w:rStyle w:val="186"/>
                      <w:rFonts w:hint="default" w:ascii="Times New Roman" w:hAnsi="Times New Roman" w:eastAsia="宋体" w:cs="Times New Roman"/>
                      <w:color w:val="auto"/>
                      <w:sz w:val="21"/>
                      <w:szCs w:val="21"/>
                      <w:highlight w:val="none"/>
                    </w:rPr>
                  </w:pPr>
                  <w:r>
                    <w:rPr>
                      <w:rStyle w:val="186"/>
                      <w:rFonts w:hint="default" w:ascii="Times New Roman" w:hAnsi="Times New Roman" w:eastAsia="宋体" w:cs="Times New Roman"/>
                      <w:color w:val="auto"/>
                      <w:sz w:val="21"/>
                      <w:szCs w:val="21"/>
                      <w:highlight w:val="none"/>
                    </w:rPr>
                    <w:t>降噪后声级</w:t>
                  </w:r>
                </w:p>
              </w:tc>
              <w:tc>
                <w:tcPr>
                  <w:tcW w:w="700" w:type="pct"/>
                  <w:vAlign w:val="center"/>
                </w:tcPr>
                <w:p w14:paraId="1BF6D4A6">
                  <w:pPr>
                    <w:adjustRightInd w:val="0"/>
                    <w:snapToGrid w:val="0"/>
                    <w:ind w:left="-63" w:leftChars="-30" w:right="-63" w:rightChars="-30"/>
                    <w:jc w:val="center"/>
                    <w:rPr>
                      <w:rStyle w:val="186"/>
                      <w:rFonts w:hint="default" w:ascii="Times New Roman" w:hAnsi="Times New Roman" w:eastAsia="宋体" w:cs="Times New Roman"/>
                      <w:color w:val="auto"/>
                      <w:sz w:val="21"/>
                      <w:szCs w:val="21"/>
                      <w:highlight w:val="none"/>
                    </w:rPr>
                  </w:pPr>
                  <w:r>
                    <w:rPr>
                      <w:rStyle w:val="186"/>
                      <w:rFonts w:hint="default" w:ascii="Times New Roman" w:hAnsi="Times New Roman" w:eastAsia="宋体" w:cs="Times New Roman"/>
                      <w:color w:val="auto"/>
                      <w:sz w:val="21"/>
                      <w:szCs w:val="21"/>
                      <w:highlight w:val="none"/>
                    </w:rPr>
                    <w:t>厂界东</w:t>
                  </w:r>
                </w:p>
              </w:tc>
              <w:tc>
                <w:tcPr>
                  <w:tcW w:w="630" w:type="pct"/>
                  <w:vAlign w:val="center"/>
                </w:tcPr>
                <w:p w14:paraId="49EE87DA">
                  <w:pPr>
                    <w:adjustRightInd w:val="0"/>
                    <w:snapToGrid w:val="0"/>
                    <w:ind w:left="-63" w:leftChars="-30" w:right="-63" w:rightChars="-30"/>
                    <w:jc w:val="center"/>
                    <w:rPr>
                      <w:rStyle w:val="186"/>
                      <w:rFonts w:hint="default" w:ascii="Times New Roman" w:hAnsi="Times New Roman" w:eastAsia="宋体" w:cs="Times New Roman"/>
                      <w:color w:val="auto"/>
                      <w:sz w:val="21"/>
                      <w:szCs w:val="21"/>
                      <w:highlight w:val="none"/>
                    </w:rPr>
                  </w:pPr>
                  <w:r>
                    <w:rPr>
                      <w:rStyle w:val="186"/>
                      <w:rFonts w:hint="default" w:ascii="Times New Roman" w:hAnsi="Times New Roman" w:eastAsia="宋体" w:cs="Times New Roman"/>
                      <w:color w:val="auto"/>
                      <w:sz w:val="21"/>
                      <w:szCs w:val="21"/>
                      <w:highlight w:val="none"/>
                    </w:rPr>
                    <w:t>厂界南</w:t>
                  </w:r>
                </w:p>
              </w:tc>
              <w:tc>
                <w:tcPr>
                  <w:tcW w:w="708" w:type="pct"/>
                  <w:vAlign w:val="center"/>
                </w:tcPr>
                <w:p w14:paraId="17D8D25C">
                  <w:pPr>
                    <w:adjustRightInd w:val="0"/>
                    <w:snapToGrid w:val="0"/>
                    <w:ind w:left="-63" w:leftChars="-30" w:right="-63" w:rightChars="-30"/>
                    <w:jc w:val="center"/>
                    <w:rPr>
                      <w:rStyle w:val="186"/>
                      <w:rFonts w:hint="default" w:ascii="Times New Roman" w:hAnsi="Times New Roman" w:eastAsia="宋体" w:cs="Times New Roman"/>
                      <w:color w:val="auto"/>
                      <w:sz w:val="21"/>
                      <w:szCs w:val="21"/>
                      <w:highlight w:val="none"/>
                    </w:rPr>
                  </w:pPr>
                  <w:r>
                    <w:rPr>
                      <w:rStyle w:val="186"/>
                      <w:rFonts w:hint="default" w:ascii="Times New Roman" w:hAnsi="Times New Roman" w:eastAsia="宋体" w:cs="Times New Roman"/>
                      <w:color w:val="auto"/>
                      <w:sz w:val="21"/>
                      <w:szCs w:val="21"/>
                      <w:highlight w:val="none"/>
                    </w:rPr>
                    <w:t>厂界西</w:t>
                  </w:r>
                </w:p>
              </w:tc>
              <w:tc>
                <w:tcPr>
                  <w:tcW w:w="594" w:type="pct"/>
                  <w:vAlign w:val="center"/>
                </w:tcPr>
                <w:p w14:paraId="35462445">
                  <w:pPr>
                    <w:adjustRightInd w:val="0"/>
                    <w:snapToGrid w:val="0"/>
                    <w:ind w:left="-63" w:leftChars="-30" w:right="-63" w:rightChars="-30"/>
                    <w:jc w:val="center"/>
                    <w:rPr>
                      <w:rFonts w:hint="default" w:ascii="Times New Roman" w:hAnsi="Times New Roman" w:eastAsia="宋体" w:cs="Times New Roman"/>
                      <w:color w:val="auto"/>
                      <w:sz w:val="21"/>
                      <w:szCs w:val="21"/>
                      <w:highlight w:val="none"/>
                    </w:rPr>
                  </w:pPr>
                  <w:r>
                    <w:rPr>
                      <w:rStyle w:val="186"/>
                      <w:rFonts w:hint="default" w:ascii="Times New Roman" w:hAnsi="Times New Roman" w:eastAsia="宋体" w:cs="Times New Roman"/>
                      <w:color w:val="auto"/>
                      <w:sz w:val="21"/>
                      <w:szCs w:val="21"/>
                      <w:highlight w:val="none"/>
                    </w:rPr>
                    <w:t>厂界北</w:t>
                  </w:r>
                </w:p>
              </w:tc>
            </w:tr>
            <w:tr w14:paraId="5FCC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47" w:type="pct"/>
                  <w:vAlign w:val="center"/>
                </w:tcPr>
                <w:p w14:paraId="751F420A">
                  <w:pPr>
                    <w:adjustRightInd w:val="0"/>
                    <w:snapToGrid w:val="0"/>
                    <w:ind w:left="-63" w:leftChars="-30" w:right="-63" w:rightChars="-3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噪声设备</w:t>
                  </w:r>
                </w:p>
              </w:tc>
              <w:tc>
                <w:tcPr>
                  <w:tcW w:w="805" w:type="pct"/>
                  <w:vAlign w:val="center"/>
                </w:tcPr>
                <w:p w14:paraId="38C5A956">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所有设备</w:t>
                  </w:r>
                </w:p>
              </w:tc>
              <w:tc>
                <w:tcPr>
                  <w:tcW w:w="817" w:type="pct"/>
                  <w:vAlign w:val="center"/>
                </w:tcPr>
                <w:p w14:paraId="25151376">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72.66</w:t>
                  </w:r>
                </w:p>
              </w:tc>
              <w:tc>
                <w:tcPr>
                  <w:tcW w:w="700" w:type="pct"/>
                  <w:vAlign w:val="center"/>
                </w:tcPr>
                <w:p w14:paraId="1CD8DE69">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37.1</w:t>
                  </w:r>
                </w:p>
              </w:tc>
              <w:tc>
                <w:tcPr>
                  <w:tcW w:w="630" w:type="pct"/>
                  <w:vAlign w:val="center"/>
                </w:tcPr>
                <w:p w14:paraId="64982385">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39.6</w:t>
                  </w:r>
                </w:p>
              </w:tc>
              <w:tc>
                <w:tcPr>
                  <w:tcW w:w="708" w:type="pct"/>
                  <w:vAlign w:val="center"/>
                </w:tcPr>
                <w:p w14:paraId="6A2140C1">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35.76</w:t>
                  </w:r>
                </w:p>
              </w:tc>
              <w:tc>
                <w:tcPr>
                  <w:tcW w:w="594" w:type="pct"/>
                  <w:vAlign w:val="center"/>
                </w:tcPr>
                <w:p w14:paraId="42C321BF">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47.55</w:t>
                  </w:r>
                </w:p>
              </w:tc>
            </w:tr>
            <w:tr w14:paraId="0FBDB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68" w:type="pct"/>
                  <w:gridSpan w:val="3"/>
                  <w:vAlign w:val="center"/>
                </w:tcPr>
                <w:p w14:paraId="1B5DD13A">
                  <w:pPr>
                    <w:adjustRightInd w:val="0"/>
                    <w:snapToGrid w:val="0"/>
                    <w:ind w:left="-63" w:leftChars="-30" w:right="-63" w:rightChars="-30"/>
                    <w:jc w:val="center"/>
                    <w:rPr>
                      <w:rStyle w:val="187"/>
                      <w:rFonts w:hint="default" w:ascii="Times New Roman" w:hAnsi="Times New Roman" w:eastAsia="宋体" w:cs="Times New Roman"/>
                      <w:i w:val="0"/>
                      <w:color w:val="auto"/>
                      <w:sz w:val="21"/>
                      <w:szCs w:val="21"/>
                      <w:highlight w:val="none"/>
                    </w:rPr>
                  </w:pPr>
                  <w:r>
                    <w:rPr>
                      <w:rStyle w:val="187"/>
                      <w:rFonts w:hint="default" w:ascii="Times New Roman" w:hAnsi="Times New Roman" w:eastAsia="宋体" w:cs="Times New Roman"/>
                      <w:i w:val="0"/>
                      <w:color w:val="auto"/>
                      <w:sz w:val="21"/>
                      <w:szCs w:val="21"/>
                      <w:highlight w:val="none"/>
                    </w:rPr>
                    <w:t>本项目对厂界贡献值</w:t>
                  </w:r>
                </w:p>
              </w:tc>
              <w:tc>
                <w:tcPr>
                  <w:tcW w:w="1180" w:type="dxa"/>
                  <w:vAlign w:val="center"/>
                </w:tcPr>
                <w:p w14:paraId="1FA8FA8B">
                  <w:pPr>
                    <w:jc w:val="center"/>
                    <w:rPr>
                      <w:rStyle w:val="187"/>
                      <w:rFonts w:hint="default" w:ascii="Times New Roman" w:hAnsi="Times New Roman" w:eastAsia="宋体" w:cs="Times New Roman"/>
                      <w:i w:val="0"/>
                      <w:color w:val="auto"/>
                      <w:sz w:val="21"/>
                      <w:szCs w:val="21"/>
                      <w:highlight w:val="none"/>
                    </w:rPr>
                  </w:pPr>
                  <w:r>
                    <w:rPr>
                      <w:rFonts w:hint="eastAsia" w:ascii="Times New Roman" w:hAnsi="Times New Roman" w:eastAsia="宋体" w:cs="Times New Roman"/>
                      <w:color w:val="auto"/>
                      <w:sz w:val="21"/>
                      <w:szCs w:val="21"/>
                      <w:highlight w:val="none"/>
                      <w:lang w:val="en-US" w:eastAsia="zh-CN"/>
                    </w:rPr>
                    <w:t>37.1</w:t>
                  </w:r>
                </w:p>
              </w:tc>
              <w:tc>
                <w:tcPr>
                  <w:tcW w:w="1062" w:type="dxa"/>
                  <w:vAlign w:val="center"/>
                </w:tcPr>
                <w:p w14:paraId="0F499584">
                  <w:pPr>
                    <w:jc w:val="center"/>
                    <w:rPr>
                      <w:rStyle w:val="187"/>
                      <w:rFonts w:hint="default" w:ascii="Times New Roman" w:hAnsi="Times New Roman" w:eastAsia="宋体" w:cs="Times New Roman"/>
                      <w:i w:val="0"/>
                      <w:color w:val="auto"/>
                      <w:sz w:val="21"/>
                      <w:szCs w:val="21"/>
                      <w:highlight w:val="none"/>
                    </w:rPr>
                  </w:pPr>
                  <w:r>
                    <w:rPr>
                      <w:rFonts w:hint="eastAsia" w:ascii="Times New Roman" w:hAnsi="Times New Roman" w:eastAsia="宋体" w:cs="Times New Roman"/>
                      <w:color w:val="auto"/>
                      <w:sz w:val="21"/>
                      <w:szCs w:val="21"/>
                      <w:highlight w:val="none"/>
                      <w:lang w:val="en-US" w:eastAsia="zh-CN"/>
                    </w:rPr>
                    <w:t>39.6</w:t>
                  </w:r>
                </w:p>
              </w:tc>
              <w:tc>
                <w:tcPr>
                  <w:tcW w:w="1194" w:type="dxa"/>
                  <w:vAlign w:val="center"/>
                </w:tcPr>
                <w:p w14:paraId="03719D78">
                  <w:pPr>
                    <w:jc w:val="center"/>
                    <w:rPr>
                      <w:rStyle w:val="187"/>
                      <w:rFonts w:hint="default" w:ascii="Times New Roman" w:hAnsi="Times New Roman" w:eastAsia="宋体" w:cs="Times New Roman"/>
                      <w:i w:val="0"/>
                      <w:color w:val="auto"/>
                      <w:sz w:val="21"/>
                      <w:szCs w:val="21"/>
                      <w:highlight w:val="none"/>
                    </w:rPr>
                  </w:pPr>
                  <w:r>
                    <w:rPr>
                      <w:rFonts w:hint="eastAsia" w:ascii="Times New Roman" w:hAnsi="Times New Roman" w:eastAsia="宋体" w:cs="Times New Roman"/>
                      <w:color w:val="auto"/>
                      <w:sz w:val="21"/>
                      <w:szCs w:val="21"/>
                      <w:highlight w:val="none"/>
                      <w:lang w:val="en-US" w:eastAsia="zh-CN"/>
                    </w:rPr>
                    <w:t>35.76</w:t>
                  </w:r>
                </w:p>
              </w:tc>
              <w:tc>
                <w:tcPr>
                  <w:tcW w:w="1000" w:type="dxa"/>
                  <w:vAlign w:val="center"/>
                </w:tcPr>
                <w:p w14:paraId="1B5C1FF1">
                  <w:pPr>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47.55</w:t>
                  </w:r>
                </w:p>
              </w:tc>
            </w:tr>
          </w:tbl>
          <w:p w14:paraId="569DBACA">
            <w:pPr>
              <w:spacing w:line="540" w:lineRule="exact"/>
              <w:ind w:firstLine="480" w:firstLineChars="200"/>
              <w:rPr>
                <w:rFonts w:hAnsiTheme="minorEastAsia" w:eastAsiaTheme="minorEastAsia"/>
                <w:color w:val="auto"/>
                <w:sz w:val="24"/>
                <w:highlight w:val="none"/>
              </w:rPr>
            </w:pPr>
            <w:r>
              <w:rPr>
                <w:rFonts w:hAnsiTheme="minorEastAsia" w:eastAsiaTheme="minorEastAsia"/>
                <w:color w:val="auto"/>
                <w:sz w:val="24"/>
                <w:highlight w:val="none"/>
              </w:rPr>
              <w:t>根据分析及预测结果可以看到，项目噪声较大的生产设备采取</w:t>
            </w:r>
            <w:r>
              <w:rPr>
                <w:rFonts w:hint="eastAsia" w:hAnsiTheme="minorEastAsia" w:eastAsiaTheme="minorEastAsia"/>
                <w:color w:val="auto"/>
                <w:sz w:val="24"/>
                <w:highlight w:val="none"/>
              </w:rPr>
              <w:t>合理布局、厂房隔声</w:t>
            </w:r>
            <w:r>
              <w:rPr>
                <w:rFonts w:hAnsiTheme="minorEastAsia" w:eastAsiaTheme="minorEastAsia"/>
                <w:color w:val="auto"/>
                <w:sz w:val="24"/>
                <w:highlight w:val="none"/>
              </w:rPr>
              <w:t>等措施，其设备噪声对</w:t>
            </w:r>
            <w:r>
              <w:rPr>
                <w:rFonts w:hint="eastAsia" w:hAnsiTheme="minorEastAsia" w:eastAsiaTheme="minorEastAsia"/>
                <w:color w:val="auto"/>
                <w:sz w:val="24"/>
                <w:highlight w:val="none"/>
              </w:rPr>
              <w:t>厂界</w:t>
            </w:r>
            <w:r>
              <w:rPr>
                <w:rFonts w:hAnsiTheme="minorEastAsia" w:eastAsiaTheme="minorEastAsia"/>
                <w:color w:val="auto"/>
                <w:sz w:val="24"/>
                <w:highlight w:val="none"/>
              </w:rPr>
              <w:t>噪声贡献值满足《工业企业厂界环境噪声排放标准》（</w:t>
            </w:r>
            <w:r>
              <w:rPr>
                <w:rFonts w:eastAsiaTheme="minorEastAsia"/>
                <w:color w:val="auto"/>
                <w:sz w:val="24"/>
                <w:highlight w:val="none"/>
              </w:rPr>
              <w:t>GB12348-2008</w:t>
            </w:r>
            <w:r>
              <w:rPr>
                <w:rFonts w:hAnsiTheme="minorEastAsia" w:eastAsiaTheme="minorEastAsia"/>
                <w:color w:val="auto"/>
                <w:sz w:val="24"/>
                <w:highlight w:val="none"/>
              </w:rPr>
              <w:t>）</w:t>
            </w:r>
            <w:r>
              <w:rPr>
                <w:rFonts w:hint="eastAsia" w:eastAsiaTheme="minorEastAsia"/>
                <w:color w:val="auto"/>
                <w:sz w:val="24"/>
                <w:highlight w:val="none"/>
              </w:rPr>
              <w:t>3</w:t>
            </w:r>
            <w:r>
              <w:rPr>
                <w:rFonts w:hAnsiTheme="minorEastAsia" w:eastAsiaTheme="minorEastAsia"/>
                <w:color w:val="auto"/>
                <w:sz w:val="24"/>
                <w:highlight w:val="none"/>
              </w:rPr>
              <w:t>类标准要求。因此，本项目产生的噪声对周围环境影响较小。</w:t>
            </w:r>
          </w:p>
          <w:p w14:paraId="78B396F2">
            <w:pPr>
              <w:spacing w:line="540" w:lineRule="exact"/>
              <w:ind w:firstLine="480" w:firstLineChars="200"/>
              <w:rPr>
                <w:rFonts w:hAnsiTheme="minorEastAsia" w:eastAsiaTheme="minorEastAsia"/>
                <w:color w:val="auto"/>
                <w:sz w:val="24"/>
                <w:highlight w:val="none"/>
              </w:rPr>
            </w:pPr>
            <w:r>
              <w:rPr>
                <w:rFonts w:hint="eastAsia" w:hAnsiTheme="minorEastAsia" w:eastAsiaTheme="minorEastAsia"/>
                <w:color w:val="auto"/>
                <w:sz w:val="24"/>
                <w:highlight w:val="none"/>
              </w:rPr>
              <w:t>（5）噪声防治措施</w:t>
            </w:r>
          </w:p>
          <w:p w14:paraId="72FB09C1">
            <w:pPr>
              <w:spacing w:line="540" w:lineRule="exact"/>
              <w:ind w:firstLine="480" w:firstLineChars="200"/>
              <w:rPr>
                <w:rFonts w:hAnsiTheme="minorEastAsia" w:eastAsiaTheme="minorEastAsia"/>
                <w:color w:val="auto"/>
                <w:sz w:val="24"/>
                <w:highlight w:val="none"/>
              </w:rPr>
            </w:pPr>
            <w:r>
              <w:rPr>
                <w:rFonts w:hint="eastAsia" w:hAnsiTheme="minorEastAsia" w:eastAsiaTheme="minorEastAsia"/>
                <w:color w:val="auto"/>
                <w:sz w:val="24"/>
                <w:highlight w:val="none"/>
              </w:rPr>
              <w:t>噪声防治贯彻“以防为主，防治结合”的原则，建议采取以下措施：</w:t>
            </w:r>
          </w:p>
          <w:p w14:paraId="2EE70B41">
            <w:pPr>
              <w:spacing w:line="540" w:lineRule="exact"/>
              <w:ind w:firstLine="480" w:firstLineChars="200"/>
              <w:rPr>
                <w:rFonts w:hAnsiTheme="minorEastAsia" w:eastAsiaTheme="minorEastAsia"/>
                <w:color w:val="auto"/>
                <w:sz w:val="24"/>
                <w:highlight w:val="none"/>
              </w:rPr>
            </w:pPr>
            <w:r>
              <w:rPr>
                <w:rFonts w:hint="eastAsia" w:hAnsiTheme="minorEastAsia" w:eastAsiaTheme="minorEastAsia"/>
                <w:color w:val="auto"/>
                <w:sz w:val="24"/>
                <w:highlight w:val="none"/>
              </w:rPr>
              <w:t>①本工程对噪声的控制首先从声源上着手。如选用低噪声设备，并进行防噪隔声措施；强噪声设备在设备安装时，加装隔声罩和减振装置，以阻挡噪声传播，一般可消声10-20dB(A</w:t>
            </w:r>
            <w:r>
              <w:rPr>
                <w:rFonts w:hint="eastAsia" w:hAnsiTheme="minorEastAsia" w:eastAsiaTheme="minorEastAsia"/>
                <w:color w:val="auto"/>
                <w:sz w:val="24"/>
                <w:highlight w:val="none"/>
                <w:lang w:eastAsia="zh-CN"/>
              </w:rPr>
              <w:t>）</w:t>
            </w:r>
            <w:r>
              <w:rPr>
                <w:rFonts w:hint="eastAsia" w:hAnsiTheme="minorEastAsia" w:eastAsiaTheme="minorEastAsia"/>
                <w:color w:val="auto"/>
                <w:sz w:val="24"/>
                <w:highlight w:val="none"/>
              </w:rPr>
              <w:t>。</w:t>
            </w:r>
          </w:p>
          <w:p w14:paraId="5511E23D">
            <w:pPr>
              <w:spacing w:line="540" w:lineRule="exact"/>
              <w:ind w:firstLine="480" w:firstLineChars="200"/>
              <w:rPr>
                <w:rFonts w:hAnsiTheme="minorEastAsia" w:eastAsiaTheme="minorEastAsia"/>
                <w:color w:val="auto"/>
                <w:sz w:val="24"/>
                <w:highlight w:val="none"/>
              </w:rPr>
            </w:pPr>
            <w:r>
              <w:rPr>
                <w:rFonts w:hint="eastAsia" w:hAnsiTheme="minorEastAsia" w:eastAsiaTheme="minorEastAsia"/>
                <w:color w:val="auto"/>
                <w:sz w:val="24"/>
                <w:highlight w:val="none"/>
              </w:rPr>
              <w:t>②厂区建筑应合理布局，将高噪声安装在室内，以减少对厂界噪声的影响，同时运行过程中加强设备检修工作。</w:t>
            </w:r>
          </w:p>
          <w:p w14:paraId="6B7F49F7">
            <w:pPr>
              <w:spacing w:line="540" w:lineRule="exact"/>
              <w:ind w:firstLine="480" w:firstLineChars="200"/>
              <w:rPr>
                <w:rFonts w:hAnsiTheme="minorEastAsia" w:eastAsiaTheme="minorEastAsia"/>
                <w:color w:val="auto"/>
                <w:sz w:val="24"/>
                <w:highlight w:val="none"/>
              </w:rPr>
            </w:pPr>
            <w:r>
              <w:rPr>
                <w:rFonts w:hint="eastAsia" w:hAnsiTheme="minorEastAsia" w:eastAsiaTheme="minorEastAsia"/>
                <w:color w:val="auto"/>
                <w:sz w:val="24"/>
                <w:highlight w:val="none"/>
              </w:rPr>
              <w:t>③长期在厂区内工作的工人可以戴耳塞、耳罩等护耳器。</w:t>
            </w:r>
          </w:p>
          <w:p w14:paraId="683044BB">
            <w:pPr>
              <w:overflowPunct w:val="0"/>
              <w:spacing w:line="540" w:lineRule="exact"/>
              <w:ind w:firstLine="480" w:firstLineChars="200"/>
              <w:rPr>
                <w:rFonts w:hAnsiTheme="minorEastAsia" w:eastAsiaTheme="minorEastAsia"/>
                <w:color w:val="auto"/>
                <w:sz w:val="24"/>
                <w:highlight w:val="none"/>
              </w:rPr>
            </w:pPr>
            <w:r>
              <w:rPr>
                <w:rFonts w:hint="eastAsia" w:hAnsiTheme="minorEastAsia" w:eastAsiaTheme="minorEastAsia"/>
                <w:color w:val="auto"/>
                <w:sz w:val="24"/>
                <w:highlight w:val="none"/>
              </w:rPr>
              <w:t>（6）噪声监测计划</w:t>
            </w:r>
          </w:p>
          <w:p w14:paraId="28FB2FF2">
            <w:pPr>
              <w:overflowPunct w:val="0"/>
              <w:spacing w:line="540" w:lineRule="exact"/>
              <w:ind w:firstLine="480" w:firstLineChars="200"/>
              <w:rPr>
                <w:color w:val="auto"/>
                <w:sz w:val="24"/>
                <w:highlight w:val="none"/>
              </w:rPr>
            </w:pPr>
            <w:r>
              <w:rPr>
                <w:color w:val="auto"/>
                <w:sz w:val="24"/>
                <w:highlight w:val="none"/>
              </w:rPr>
              <w:t>根据</w:t>
            </w:r>
            <w:r>
              <w:rPr>
                <w:rFonts w:hint="eastAsia"/>
                <w:color w:val="auto"/>
                <w:sz w:val="24"/>
                <w:highlight w:val="none"/>
              </w:rPr>
              <w:t>《排污单位自行监测技术指南 总则》（HJ 819-2017）中的要求，</w:t>
            </w:r>
            <w:r>
              <w:rPr>
                <w:color w:val="auto"/>
                <w:sz w:val="24"/>
                <w:highlight w:val="none"/>
              </w:rPr>
              <w:t>本项目</w:t>
            </w:r>
            <w:r>
              <w:rPr>
                <w:rFonts w:hint="eastAsia"/>
                <w:color w:val="auto"/>
                <w:sz w:val="24"/>
                <w:highlight w:val="none"/>
              </w:rPr>
              <w:t>噪声</w:t>
            </w:r>
            <w:r>
              <w:rPr>
                <w:color w:val="auto"/>
                <w:sz w:val="24"/>
                <w:highlight w:val="none"/>
              </w:rPr>
              <w:t>监测计划见表</w:t>
            </w:r>
            <w:r>
              <w:rPr>
                <w:rFonts w:hint="eastAsia"/>
                <w:color w:val="auto"/>
                <w:sz w:val="24"/>
                <w:highlight w:val="none"/>
                <w:lang w:val="en-US" w:eastAsia="zh-CN"/>
              </w:rPr>
              <w:t>4-15</w:t>
            </w:r>
            <w:r>
              <w:rPr>
                <w:color w:val="auto"/>
                <w:sz w:val="24"/>
                <w:highlight w:val="none"/>
              </w:rPr>
              <w:t>。</w:t>
            </w:r>
          </w:p>
          <w:p w14:paraId="6E7B07FB">
            <w:pPr>
              <w:overflowPunct w:val="0"/>
              <w:spacing w:line="540" w:lineRule="exact"/>
              <w:jc w:val="center"/>
              <w:rPr>
                <w:rFonts w:hAnsiTheme="minorEastAsia" w:eastAsiaTheme="minorEastAsia"/>
                <w:b/>
                <w:color w:val="auto"/>
                <w:szCs w:val="21"/>
                <w:highlight w:val="none"/>
              </w:rPr>
            </w:pPr>
            <w:r>
              <w:rPr>
                <w:rFonts w:hint="eastAsia"/>
                <w:b/>
                <w:color w:val="auto"/>
                <w:szCs w:val="21"/>
                <w:highlight w:val="none"/>
              </w:rPr>
              <w:t>表</w:t>
            </w:r>
            <w:r>
              <w:rPr>
                <w:rFonts w:hint="eastAsia"/>
                <w:b/>
                <w:color w:val="auto"/>
                <w:szCs w:val="21"/>
                <w:highlight w:val="none"/>
                <w:lang w:val="en-US" w:eastAsia="zh-CN"/>
              </w:rPr>
              <w:t>4-15</w:t>
            </w:r>
            <w:r>
              <w:rPr>
                <w:b/>
                <w:bCs/>
                <w:color w:val="auto"/>
                <w:szCs w:val="21"/>
                <w:highlight w:val="none"/>
              </w:rPr>
              <w:t xml:space="preserve">       </w:t>
            </w:r>
            <w:r>
              <w:rPr>
                <w:b/>
                <w:color w:val="auto"/>
                <w:szCs w:val="21"/>
                <w:highlight w:val="none"/>
              </w:rPr>
              <w:t>项目</w:t>
            </w:r>
            <w:r>
              <w:rPr>
                <w:rFonts w:hint="eastAsia"/>
                <w:b/>
                <w:color w:val="auto"/>
                <w:szCs w:val="21"/>
                <w:highlight w:val="none"/>
              </w:rPr>
              <w:t>噪声</w:t>
            </w:r>
            <w:r>
              <w:rPr>
                <w:b/>
                <w:color w:val="auto"/>
                <w:szCs w:val="21"/>
                <w:highlight w:val="none"/>
              </w:rPr>
              <w:t>监测计划</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10"/>
              <w:gridCol w:w="2072"/>
              <w:gridCol w:w="1795"/>
              <w:gridCol w:w="3224"/>
            </w:tblGrid>
            <w:tr w14:paraId="09F987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29" w:type="pct"/>
                  <w:vAlign w:val="center"/>
                </w:tcPr>
                <w:p w14:paraId="7FE38CF2">
                  <w:pPr>
                    <w:adjustRightInd w:val="0"/>
                    <w:snapToGrid w:val="0"/>
                    <w:spacing w:line="300" w:lineRule="atLeast"/>
                    <w:ind w:left="-63" w:leftChars="-30" w:right="-63" w:rightChars="-30"/>
                    <w:jc w:val="center"/>
                    <w:rPr>
                      <w:b/>
                      <w:bCs/>
                      <w:snapToGrid w:val="0"/>
                      <w:color w:val="auto"/>
                      <w:kern w:val="0"/>
                      <w:szCs w:val="21"/>
                      <w:highlight w:val="none"/>
                      <w:lang w:val="zh-CN"/>
                    </w:rPr>
                  </w:pPr>
                  <w:r>
                    <w:rPr>
                      <w:rFonts w:hint="eastAsia"/>
                      <w:b/>
                      <w:bCs/>
                      <w:snapToGrid w:val="0"/>
                      <w:color w:val="auto"/>
                      <w:kern w:val="0"/>
                      <w:szCs w:val="21"/>
                      <w:highlight w:val="none"/>
                      <w:lang w:val="zh-CN"/>
                    </w:rPr>
                    <w:t>监测点位</w:t>
                  </w:r>
                </w:p>
              </w:tc>
              <w:tc>
                <w:tcPr>
                  <w:tcW w:w="1248" w:type="pct"/>
                  <w:vAlign w:val="center"/>
                </w:tcPr>
                <w:p w14:paraId="5C9B3222">
                  <w:pPr>
                    <w:adjustRightInd w:val="0"/>
                    <w:snapToGrid w:val="0"/>
                    <w:spacing w:line="300" w:lineRule="atLeast"/>
                    <w:ind w:left="-63" w:leftChars="-30" w:right="-63" w:rightChars="-30"/>
                    <w:jc w:val="center"/>
                    <w:rPr>
                      <w:b/>
                      <w:bCs/>
                      <w:snapToGrid w:val="0"/>
                      <w:color w:val="auto"/>
                      <w:kern w:val="0"/>
                      <w:szCs w:val="21"/>
                      <w:highlight w:val="none"/>
                      <w:lang w:val="zh-CN"/>
                    </w:rPr>
                  </w:pPr>
                  <w:r>
                    <w:rPr>
                      <w:b/>
                      <w:bCs/>
                      <w:snapToGrid w:val="0"/>
                      <w:color w:val="auto"/>
                      <w:kern w:val="0"/>
                      <w:szCs w:val="21"/>
                      <w:highlight w:val="none"/>
                      <w:lang w:val="zh-CN"/>
                    </w:rPr>
                    <w:t>监测指标</w:t>
                  </w:r>
                </w:p>
              </w:tc>
              <w:tc>
                <w:tcPr>
                  <w:tcW w:w="1081" w:type="pct"/>
                  <w:vAlign w:val="center"/>
                </w:tcPr>
                <w:p w14:paraId="10C5A97A">
                  <w:pPr>
                    <w:adjustRightInd w:val="0"/>
                    <w:snapToGrid w:val="0"/>
                    <w:spacing w:line="300" w:lineRule="atLeast"/>
                    <w:ind w:left="-63" w:leftChars="-30" w:right="-63" w:rightChars="-30"/>
                    <w:jc w:val="center"/>
                    <w:rPr>
                      <w:b/>
                      <w:bCs/>
                      <w:snapToGrid w:val="0"/>
                      <w:color w:val="auto"/>
                      <w:kern w:val="0"/>
                      <w:szCs w:val="21"/>
                      <w:highlight w:val="none"/>
                      <w:lang w:val="zh-CN"/>
                    </w:rPr>
                  </w:pPr>
                  <w:r>
                    <w:rPr>
                      <w:b/>
                      <w:bCs/>
                      <w:snapToGrid w:val="0"/>
                      <w:color w:val="auto"/>
                      <w:kern w:val="0"/>
                      <w:szCs w:val="21"/>
                      <w:highlight w:val="none"/>
                      <w:lang w:val="zh-CN"/>
                    </w:rPr>
                    <w:t>监测频次</w:t>
                  </w:r>
                </w:p>
              </w:tc>
              <w:tc>
                <w:tcPr>
                  <w:tcW w:w="1943" w:type="pct"/>
                </w:tcPr>
                <w:p w14:paraId="55E9AB1D">
                  <w:pPr>
                    <w:adjustRightInd w:val="0"/>
                    <w:snapToGrid w:val="0"/>
                    <w:spacing w:line="300" w:lineRule="atLeast"/>
                    <w:ind w:left="-63" w:leftChars="-30" w:right="-63" w:rightChars="-30"/>
                    <w:jc w:val="center"/>
                    <w:rPr>
                      <w:b/>
                      <w:bCs/>
                      <w:snapToGrid w:val="0"/>
                      <w:color w:val="auto"/>
                      <w:kern w:val="0"/>
                      <w:szCs w:val="21"/>
                      <w:highlight w:val="none"/>
                      <w:lang w:val="zh-CN"/>
                    </w:rPr>
                  </w:pPr>
                  <w:r>
                    <w:rPr>
                      <w:rFonts w:hint="eastAsia"/>
                      <w:b/>
                      <w:bCs/>
                      <w:snapToGrid w:val="0"/>
                      <w:color w:val="auto"/>
                      <w:kern w:val="0"/>
                      <w:szCs w:val="21"/>
                      <w:highlight w:val="none"/>
                      <w:lang w:val="zh-CN"/>
                    </w:rPr>
                    <w:t>执行标准</w:t>
                  </w:r>
                </w:p>
              </w:tc>
            </w:tr>
            <w:tr w14:paraId="3B182D5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29" w:type="pct"/>
                  <w:vAlign w:val="center"/>
                </w:tcPr>
                <w:p w14:paraId="0031DAFD">
                  <w:pPr>
                    <w:adjustRightInd w:val="0"/>
                    <w:snapToGrid w:val="0"/>
                    <w:spacing w:line="300" w:lineRule="atLeast"/>
                    <w:ind w:left="-63" w:leftChars="-30" w:right="-63" w:rightChars="-30"/>
                    <w:jc w:val="center"/>
                    <w:rPr>
                      <w:snapToGrid w:val="0"/>
                      <w:color w:val="auto"/>
                      <w:kern w:val="0"/>
                      <w:szCs w:val="21"/>
                      <w:highlight w:val="none"/>
                      <w:lang w:val="zh-CN"/>
                    </w:rPr>
                  </w:pPr>
                  <w:r>
                    <w:rPr>
                      <w:snapToGrid w:val="0"/>
                      <w:color w:val="auto"/>
                      <w:kern w:val="0"/>
                      <w:szCs w:val="21"/>
                      <w:highlight w:val="none"/>
                      <w:lang w:val="zh-CN"/>
                    </w:rPr>
                    <w:t>厂界</w:t>
                  </w:r>
                </w:p>
              </w:tc>
              <w:tc>
                <w:tcPr>
                  <w:tcW w:w="1248" w:type="pct"/>
                  <w:vAlign w:val="center"/>
                </w:tcPr>
                <w:p w14:paraId="313DC8AE">
                  <w:pPr>
                    <w:adjustRightInd w:val="0"/>
                    <w:snapToGrid w:val="0"/>
                    <w:spacing w:line="300" w:lineRule="atLeast"/>
                    <w:ind w:left="-63" w:leftChars="-30" w:right="-63" w:rightChars="-30"/>
                    <w:jc w:val="center"/>
                    <w:rPr>
                      <w:snapToGrid w:val="0"/>
                      <w:color w:val="auto"/>
                      <w:kern w:val="0"/>
                      <w:szCs w:val="21"/>
                      <w:highlight w:val="none"/>
                      <w:lang w:val="zh-CN"/>
                    </w:rPr>
                  </w:pPr>
                  <w:r>
                    <w:rPr>
                      <w:snapToGrid w:val="0"/>
                      <w:color w:val="auto"/>
                      <w:kern w:val="0"/>
                      <w:szCs w:val="21"/>
                      <w:highlight w:val="none"/>
                      <w:lang w:val="zh-CN"/>
                    </w:rPr>
                    <w:t>昼夜噪声等效A声级</w:t>
                  </w:r>
                </w:p>
              </w:tc>
              <w:tc>
                <w:tcPr>
                  <w:tcW w:w="1081" w:type="pct"/>
                  <w:vAlign w:val="center"/>
                </w:tcPr>
                <w:p w14:paraId="5BB3AFF3">
                  <w:pPr>
                    <w:adjustRightInd w:val="0"/>
                    <w:snapToGrid w:val="0"/>
                    <w:spacing w:line="300" w:lineRule="atLeast"/>
                    <w:ind w:left="-63" w:leftChars="-30" w:right="-63" w:rightChars="-30"/>
                    <w:jc w:val="center"/>
                    <w:rPr>
                      <w:snapToGrid w:val="0"/>
                      <w:color w:val="auto"/>
                      <w:kern w:val="0"/>
                      <w:szCs w:val="21"/>
                      <w:highlight w:val="none"/>
                      <w:lang w:val="zh-CN"/>
                    </w:rPr>
                  </w:pPr>
                  <w:r>
                    <w:rPr>
                      <w:rFonts w:eastAsiaTheme="minorEastAsia"/>
                      <w:color w:val="auto"/>
                      <w:szCs w:val="21"/>
                      <w:highlight w:val="none"/>
                      <w:lang w:val="zh-CN"/>
                    </w:rPr>
                    <w:t>每</w:t>
                  </w:r>
                  <w:r>
                    <w:rPr>
                      <w:rFonts w:hint="eastAsia" w:eastAsiaTheme="minorEastAsia"/>
                      <w:color w:val="auto"/>
                      <w:szCs w:val="21"/>
                      <w:highlight w:val="none"/>
                      <w:lang w:val="zh-CN"/>
                    </w:rPr>
                    <w:t>季度</w:t>
                  </w:r>
                  <w:r>
                    <w:rPr>
                      <w:rFonts w:eastAsiaTheme="minorEastAsia"/>
                      <w:color w:val="auto"/>
                      <w:szCs w:val="21"/>
                      <w:highlight w:val="none"/>
                      <w:lang w:val="zh-CN"/>
                    </w:rPr>
                    <w:t>一次</w:t>
                  </w:r>
                </w:p>
              </w:tc>
              <w:tc>
                <w:tcPr>
                  <w:tcW w:w="1943" w:type="pct"/>
                </w:tcPr>
                <w:p w14:paraId="553D3F0D">
                  <w:pPr>
                    <w:adjustRightInd w:val="0"/>
                    <w:snapToGrid w:val="0"/>
                    <w:spacing w:line="300" w:lineRule="atLeast"/>
                    <w:ind w:left="-63" w:leftChars="-30" w:right="-63" w:rightChars="-30"/>
                    <w:jc w:val="center"/>
                    <w:rPr>
                      <w:rFonts w:eastAsiaTheme="minorEastAsia"/>
                      <w:color w:val="auto"/>
                      <w:szCs w:val="21"/>
                      <w:highlight w:val="none"/>
                      <w:lang w:val="zh-CN"/>
                    </w:rPr>
                  </w:pPr>
                  <w:r>
                    <w:rPr>
                      <w:rFonts w:hint="eastAsia" w:eastAsiaTheme="minorEastAsia"/>
                      <w:color w:val="auto"/>
                      <w:szCs w:val="21"/>
                      <w:highlight w:val="none"/>
                      <w:lang w:val="zh-CN"/>
                    </w:rPr>
                    <w:t>《工业企业厂界环境噪声排放标准》（GB12348-2008)</w:t>
                  </w:r>
                  <w:r>
                    <w:rPr>
                      <w:rFonts w:hint="eastAsia" w:eastAsiaTheme="minorEastAsia"/>
                      <w:color w:val="auto"/>
                      <w:szCs w:val="21"/>
                      <w:highlight w:val="none"/>
                    </w:rPr>
                    <w:t>3</w:t>
                  </w:r>
                  <w:r>
                    <w:rPr>
                      <w:rFonts w:hint="eastAsia" w:eastAsiaTheme="minorEastAsia"/>
                      <w:color w:val="auto"/>
                      <w:szCs w:val="21"/>
                      <w:highlight w:val="none"/>
                      <w:lang w:val="zh-CN"/>
                    </w:rPr>
                    <w:t>类标准</w:t>
                  </w:r>
                </w:p>
              </w:tc>
            </w:tr>
          </w:tbl>
          <w:p w14:paraId="6C76EE17">
            <w:pPr>
              <w:spacing w:line="500" w:lineRule="exact"/>
              <w:rPr>
                <w:rStyle w:val="39"/>
                <w:rFonts w:eastAsiaTheme="minorEastAsia"/>
                <w:b/>
                <w:snapToGrid w:val="0"/>
                <w:color w:val="auto"/>
                <w:kern w:val="0"/>
                <w:sz w:val="24"/>
                <w:highlight w:val="none"/>
              </w:rPr>
            </w:pPr>
            <w:r>
              <w:rPr>
                <w:rStyle w:val="39"/>
                <w:rFonts w:hint="eastAsia" w:eastAsiaTheme="minorEastAsia"/>
                <w:b/>
                <w:snapToGrid w:val="0"/>
                <w:color w:val="auto"/>
                <w:kern w:val="0"/>
                <w:sz w:val="24"/>
                <w:highlight w:val="none"/>
              </w:rPr>
              <w:t>5</w:t>
            </w:r>
            <w:r>
              <w:rPr>
                <w:rStyle w:val="39"/>
                <w:rFonts w:hAnsiTheme="minorEastAsia" w:eastAsiaTheme="minorEastAsia"/>
                <w:b/>
                <w:snapToGrid w:val="0"/>
                <w:color w:val="auto"/>
                <w:kern w:val="0"/>
                <w:sz w:val="24"/>
                <w:highlight w:val="none"/>
              </w:rPr>
              <w:t>、固体废物环境影响</w:t>
            </w:r>
          </w:p>
          <w:p w14:paraId="56569292">
            <w:pPr>
              <w:spacing w:line="500" w:lineRule="exact"/>
              <w:rPr>
                <w:rStyle w:val="39"/>
                <w:rFonts w:eastAsiaTheme="minorEastAsia"/>
                <w:b/>
                <w:snapToGrid w:val="0"/>
                <w:color w:val="auto"/>
                <w:kern w:val="0"/>
                <w:sz w:val="24"/>
                <w:highlight w:val="none"/>
              </w:rPr>
            </w:pPr>
            <w:r>
              <w:rPr>
                <w:rStyle w:val="39"/>
                <w:rFonts w:hint="eastAsia" w:eastAsiaTheme="minorEastAsia"/>
                <w:b/>
                <w:snapToGrid w:val="0"/>
                <w:color w:val="auto"/>
                <w:kern w:val="0"/>
                <w:sz w:val="24"/>
                <w:highlight w:val="none"/>
              </w:rPr>
              <w:t>5.1</w:t>
            </w:r>
            <w:r>
              <w:rPr>
                <w:rStyle w:val="39"/>
                <w:rFonts w:hAnsiTheme="minorEastAsia" w:eastAsiaTheme="minorEastAsia"/>
                <w:b/>
                <w:snapToGrid w:val="0"/>
                <w:color w:val="auto"/>
                <w:kern w:val="0"/>
                <w:sz w:val="24"/>
                <w:highlight w:val="none"/>
              </w:rPr>
              <w:t>固体废物</w:t>
            </w:r>
            <w:r>
              <w:rPr>
                <w:rStyle w:val="39"/>
                <w:rFonts w:hint="eastAsia" w:hAnsiTheme="minorEastAsia" w:eastAsiaTheme="minorEastAsia"/>
                <w:b/>
                <w:snapToGrid w:val="0"/>
                <w:color w:val="auto"/>
                <w:kern w:val="0"/>
                <w:sz w:val="24"/>
                <w:highlight w:val="none"/>
              </w:rPr>
              <w:t>产生情况</w:t>
            </w:r>
          </w:p>
          <w:p w14:paraId="54C91C08">
            <w:pPr>
              <w:pStyle w:val="33"/>
              <w:spacing w:after="0" w:line="500" w:lineRule="exact"/>
              <w:ind w:left="0" w:leftChars="0" w:firstLine="480"/>
              <w:rPr>
                <w:bCs/>
                <w:color w:val="auto"/>
                <w:sz w:val="24"/>
                <w:highlight w:val="none"/>
              </w:rPr>
            </w:pPr>
            <w:r>
              <w:rPr>
                <w:rFonts w:hAnsi="宋体"/>
                <w:bCs/>
                <w:color w:val="auto"/>
                <w:sz w:val="24"/>
                <w:highlight w:val="none"/>
              </w:rPr>
              <w:t>项目产生的固废主要为</w:t>
            </w:r>
            <w:r>
              <w:rPr>
                <w:rFonts w:hint="eastAsia" w:hAnsi="宋体"/>
                <w:bCs/>
                <w:color w:val="auto"/>
                <w:sz w:val="24"/>
                <w:highlight w:val="none"/>
              </w:rPr>
              <w:t>边角料及残次品、原材料废包装、</w:t>
            </w:r>
            <w:r>
              <w:rPr>
                <w:rFonts w:hAnsi="宋体"/>
                <w:bCs/>
                <w:color w:val="auto"/>
                <w:sz w:val="24"/>
                <w:highlight w:val="none"/>
              </w:rPr>
              <w:t>职工生活垃圾</w:t>
            </w:r>
            <w:r>
              <w:rPr>
                <w:rFonts w:hint="eastAsia" w:hAnsi="宋体"/>
                <w:bCs/>
                <w:color w:val="auto"/>
                <w:sz w:val="24"/>
                <w:highlight w:val="none"/>
              </w:rPr>
              <w:t>、废机油、废活性炭、</w:t>
            </w:r>
            <w:r>
              <w:rPr>
                <w:rFonts w:hint="eastAsia" w:hAnsi="宋体"/>
                <w:bCs/>
                <w:color w:val="auto"/>
                <w:sz w:val="24"/>
                <w:highlight w:val="none"/>
                <w:lang w:eastAsia="zh-CN"/>
              </w:rPr>
              <w:t>废催化剂</w:t>
            </w:r>
            <w:r>
              <w:rPr>
                <w:rFonts w:hAnsi="宋体"/>
                <w:bCs/>
                <w:color w:val="auto"/>
                <w:sz w:val="24"/>
                <w:highlight w:val="none"/>
              </w:rPr>
              <w:t>等。</w:t>
            </w:r>
          </w:p>
          <w:p w14:paraId="33EC415E">
            <w:pPr>
              <w:pStyle w:val="33"/>
              <w:spacing w:after="0" w:line="500" w:lineRule="exact"/>
              <w:ind w:left="0" w:leftChars="0" w:firstLine="480"/>
              <w:rPr>
                <w:bCs/>
                <w:color w:val="auto"/>
                <w:sz w:val="24"/>
                <w:highlight w:val="none"/>
              </w:rPr>
            </w:pPr>
            <w:r>
              <w:rPr>
                <w:rFonts w:hAnsi="宋体"/>
                <w:bCs/>
                <w:color w:val="auto"/>
                <w:sz w:val="24"/>
                <w:highlight w:val="none"/>
              </w:rPr>
              <w:t>（</w:t>
            </w:r>
            <w:r>
              <w:rPr>
                <w:bCs/>
                <w:color w:val="auto"/>
                <w:sz w:val="24"/>
                <w:highlight w:val="none"/>
              </w:rPr>
              <w:t>1</w:t>
            </w:r>
            <w:r>
              <w:rPr>
                <w:rFonts w:hAnsi="宋体"/>
                <w:bCs/>
                <w:color w:val="auto"/>
                <w:sz w:val="24"/>
                <w:highlight w:val="none"/>
              </w:rPr>
              <w:t>）</w:t>
            </w:r>
            <w:r>
              <w:rPr>
                <w:rFonts w:hint="eastAsia" w:hAnsi="宋体"/>
                <w:bCs/>
                <w:color w:val="auto"/>
                <w:sz w:val="24"/>
                <w:highlight w:val="none"/>
              </w:rPr>
              <w:t>边角料及残次品</w:t>
            </w:r>
          </w:p>
          <w:p w14:paraId="1938745D">
            <w:pPr>
              <w:pStyle w:val="33"/>
              <w:spacing w:after="0" w:line="500" w:lineRule="exact"/>
              <w:ind w:left="0" w:leftChars="0" w:firstLine="480"/>
              <w:rPr>
                <w:bCs/>
                <w:color w:val="auto"/>
                <w:sz w:val="24"/>
                <w:highlight w:val="none"/>
              </w:rPr>
            </w:pPr>
            <w:r>
              <w:rPr>
                <w:rFonts w:hint="eastAsia" w:hAnsi="宋体"/>
                <w:bCs/>
                <w:color w:val="auto"/>
                <w:sz w:val="24"/>
                <w:highlight w:val="none"/>
                <w:lang w:val="en-US" w:eastAsia="zh-CN"/>
              </w:rPr>
              <w:t>根据建设单位提供的资料，本</w:t>
            </w:r>
            <w:r>
              <w:rPr>
                <w:rFonts w:hint="eastAsia" w:hAnsi="宋体"/>
                <w:bCs/>
                <w:color w:val="auto"/>
                <w:sz w:val="24"/>
                <w:highlight w:val="none"/>
              </w:rPr>
              <w:t>项目生产过程中产生的边角料、残次品产生量为</w:t>
            </w:r>
            <w:r>
              <w:rPr>
                <w:rFonts w:hint="eastAsia" w:hAnsi="宋体"/>
                <w:bCs/>
                <w:color w:val="auto"/>
                <w:sz w:val="24"/>
                <w:highlight w:val="none"/>
                <w:lang w:val="en-US" w:eastAsia="zh-CN"/>
              </w:rPr>
              <w:t>17.866</w:t>
            </w:r>
            <w:r>
              <w:rPr>
                <w:rFonts w:hint="eastAsia" w:hAnsi="宋体"/>
                <w:bCs/>
                <w:color w:val="auto"/>
                <w:sz w:val="24"/>
                <w:highlight w:val="none"/>
              </w:rPr>
              <w:t>t/a，该部分固体废物集中收集后</w:t>
            </w:r>
            <w:r>
              <w:rPr>
                <w:rFonts w:hint="eastAsia" w:hAnsi="宋体"/>
                <w:bCs/>
                <w:color w:val="auto"/>
                <w:sz w:val="24"/>
                <w:highlight w:val="none"/>
                <w:lang w:val="en-US" w:eastAsia="zh-CN"/>
              </w:rPr>
              <w:t>回用于生产</w:t>
            </w:r>
            <w:r>
              <w:rPr>
                <w:rFonts w:hint="eastAsia" w:hAnsi="宋体"/>
                <w:bCs/>
                <w:color w:val="auto"/>
                <w:sz w:val="24"/>
                <w:highlight w:val="none"/>
              </w:rPr>
              <w:t>。</w:t>
            </w:r>
          </w:p>
          <w:p w14:paraId="0505BEE8">
            <w:pPr>
              <w:pStyle w:val="33"/>
              <w:spacing w:after="0" w:line="500" w:lineRule="exact"/>
              <w:ind w:left="0" w:leftChars="0" w:firstLine="480"/>
              <w:rPr>
                <w:bCs/>
                <w:color w:val="auto"/>
                <w:sz w:val="24"/>
                <w:highlight w:val="none"/>
              </w:rPr>
            </w:pPr>
            <w:r>
              <w:rPr>
                <w:rFonts w:hAnsi="宋体"/>
                <w:bCs/>
                <w:color w:val="auto"/>
                <w:sz w:val="24"/>
                <w:highlight w:val="none"/>
              </w:rPr>
              <w:t>（</w:t>
            </w:r>
            <w:r>
              <w:rPr>
                <w:rFonts w:hint="eastAsia"/>
                <w:bCs/>
                <w:color w:val="auto"/>
                <w:sz w:val="24"/>
                <w:highlight w:val="none"/>
              </w:rPr>
              <w:t>2</w:t>
            </w:r>
            <w:r>
              <w:rPr>
                <w:rFonts w:hAnsi="宋体"/>
                <w:bCs/>
                <w:color w:val="auto"/>
                <w:sz w:val="24"/>
                <w:highlight w:val="none"/>
              </w:rPr>
              <w:t>）</w:t>
            </w:r>
            <w:r>
              <w:rPr>
                <w:rFonts w:hint="eastAsia" w:hAnsi="宋体"/>
                <w:bCs/>
                <w:color w:val="auto"/>
                <w:sz w:val="24"/>
                <w:highlight w:val="none"/>
              </w:rPr>
              <w:t>原材料废包装</w:t>
            </w:r>
          </w:p>
          <w:p w14:paraId="1FBA2524">
            <w:pPr>
              <w:pStyle w:val="33"/>
              <w:spacing w:after="0" w:line="500" w:lineRule="exact"/>
              <w:ind w:left="0" w:leftChars="0" w:firstLine="480"/>
              <w:rPr>
                <w:bCs/>
                <w:color w:val="auto"/>
                <w:sz w:val="24"/>
                <w:highlight w:val="none"/>
              </w:rPr>
            </w:pPr>
            <w:r>
              <w:rPr>
                <w:rFonts w:hint="eastAsia" w:hAnsi="宋体"/>
                <w:bCs/>
                <w:color w:val="auto"/>
                <w:sz w:val="24"/>
                <w:highlight w:val="none"/>
              </w:rPr>
              <w:t>项目原材料废包装主要是指原料用塑料包装袋、尼龙绳及纸箱</w:t>
            </w:r>
            <w:r>
              <w:rPr>
                <w:rFonts w:hint="eastAsia" w:hAnsi="宋体"/>
                <w:bCs/>
                <w:color w:val="auto"/>
                <w:sz w:val="24"/>
                <w:highlight w:val="none"/>
                <w:lang w:eastAsia="zh-CN"/>
              </w:rPr>
              <w:t>、</w:t>
            </w:r>
            <w:r>
              <w:rPr>
                <w:rFonts w:hint="eastAsia" w:hAnsi="宋体"/>
                <w:bCs/>
                <w:color w:val="auto"/>
                <w:sz w:val="24"/>
                <w:highlight w:val="none"/>
                <w:lang w:val="en-US" w:eastAsia="zh-CN"/>
              </w:rPr>
              <w:t>水性油墨桶</w:t>
            </w:r>
            <w:r>
              <w:rPr>
                <w:rFonts w:hint="eastAsia" w:hAnsi="宋体"/>
                <w:bCs/>
                <w:color w:val="auto"/>
                <w:sz w:val="24"/>
                <w:highlight w:val="none"/>
              </w:rPr>
              <w:t>等，年产生量约</w:t>
            </w:r>
            <w:r>
              <w:rPr>
                <w:rFonts w:hint="eastAsia" w:hAnsi="宋体"/>
                <w:bCs/>
                <w:color w:val="auto"/>
                <w:sz w:val="24"/>
                <w:highlight w:val="none"/>
                <w:lang w:val="en-US" w:eastAsia="zh-CN"/>
              </w:rPr>
              <w:t>2.5</w:t>
            </w:r>
            <w:r>
              <w:rPr>
                <w:rFonts w:hint="eastAsia" w:hAnsi="宋体"/>
                <w:bCs/>
                <w:color w:val="auto"/>
                <w:sz w:val="24"/>
                <w:highlight w:val="none"/>
              </w:rPr>
              <w:t>t/a，属于一般固废，集中收集后外售废品回收站。</w:t>
            </w:r>
          </w:p>
          <w:p w14:paraId="1E22471A">
            <w:pPr>
              <w:pStyle w:val="33"/>
              <w:spacing w:after="0" w:line="500" w:lineRule="exact"/>
              <w:ind w:left="0" w:leftChars="0" w:firstLine="480"/>
              <w:rPr>
                <w:rFonts w:hint="eastAsia" w:eastAsia="宋体"/>
                <w:bCs/>
                <w:color w:val="auto"/>
                <w:sz w:val="24"/>
                <w:highlight w:val="none"/>
                <w:lang w:eastAsia="zh-CN"/>
              </w:rPr>
            </w:pPr>
            <w:r>
              <w:rPr>
                <w:rFonts w:hAnsi="宋体"/>
                <w:bCs/>
                <w:color w:val="auto"/>
                <w:sz w:val="24"/>
                <w:highlight w:val="none"/>
              </w:rPr>
              <w:t>（</w:t>
            </w:r>
            <w:r>
              <w:rPr>
                <w:rFonts w:hint="eastAsia"/>
                <w:bCs/>
                <w:color w:val="auto"/>
                <w:sz w:val="24"/>
                <w:highlight w:val="none"/>
              </w:rPr>
              <w:t>3</w:t>
            </w:r>
            <w:r>
              <w:rPr>
                <w:rFonts w:hAnsi="宋体"/>
                <w:bCs/>
                <w:color w:val="auto"/>
                <w:sz w:val="24"/>
                <w:highlight w:val="none"/>
              </w:rPr>
              <w:t>）</w:t>
            </w:r>
            <w:r>
              <w:rPr>
                <w:rFonts w:hint="eastAsia" w:hAnsi="宋体"/>
                <w:bCs/>
                <w:color w:val="auto"/>
                <w:sz w:val="24"/>
                <w:highlight w:val="none"/>
                <w:lang w:val="en-US" w:eastAsia="zh-CN"/>
              </w:rPr>
              <w:t>除尘灰</w:t>
            </w:r>
          </w:p>
          <w:p w14:paraId="6F39C349">
            <w:pPr>
              <w:pStyle w:val="33"/>
              <w:spacing w:after="0" w:line="500" w:lineRule="exact"/>
              <w:ind w:left="0" w:leftChars="0" w:firstLine="480"/>
              <w:rPr>
                <w:rFonts w:hint="eastAsia" w:ascii="宋体" w:hAnsi="宋体" w:cs="宋体"/>
                <w:color w:val="auto"/>
                <w:sz w:val="24"/>
                <w:highlight w:val="none"/>
              </w:rPr>
            </w:pPr>
            <w:r>
              <w:rPr>
                <w:rFonts w:hint="eastAsia" w:ascii="宋体" w:hAnsi="宋体" w:cs="宋体"/>
                <w:color w:val="auto"/>
                <w:sz w:val="24"/>
                <w:highlight w:val="none"/>
              </w:rPr>
              <w:t>布袋除尘器</w:t>
            </w:r>
            <w:r>
              <w:rPr>
                <w:rFonts w:hint="eastAsia" w:ascii="宋体" w:hAnsi="宋体" w:cs="宋体"/>
                <w:color w:val="auto"/>
                <w:sz w:val="24"/>
                <w:highlight w:val="none"/>
                <w:lang w:val="en-US" w:eastAsia="zh-CN"/>
              </w:rPr>
              <w:t>收集</w:t>
            </w:r>
            <w:r>
              <w:rPr>
                <w:rFonts w:hint="eastAsia" w:ascii="宋体" w:hAnsi="宋体" w:cs="宋体"/>
                <w:color w:val="auto"/>
                <w:sz w:val="24"/>
                <w:highlight w:val="none"/>
              </w:rPr>
              <w:t>的</w:t>
            </w:r>
            <w:r>
              <w:rPr>
                <w:rFonts w:hint="eastAsia" w:ascii="宋体" w:hAnsi="宋体" w:cs="宋体"/>
                <w:color w:val="auto"/>
                <w:sz w:val="24"/>
                <w:highlight w:val="none"/>
                <w:lang w:val="en-US" w:eastAsia="zh-CN"/>
              </w:rPr>
              <w:t>除尘灰</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收集</w:t>
            </w:r>
            <w:r>
              <w:rPr>
                <w:rFonts w:hint="eastAsia" w:ascii="宋体" w:hAnsi="宋体" w:cs="宋体"/>
                <w:color w:val="auto"/>
                <w:sz w:val="24"/>
                <w:highlight w:val="none"/>
              </w:rPr>
              <w:t>量为</w:t>
            </w:r>
            <w:r>
              <w:rPr>
                <w:rFonts w:hint="default" w:ascii="Times New Roman" w:hAnsi="Times New Roman" w:cs="Times New Roman"/>
                <w:color w:val="auto"/>
                <w:sz w:val="24"/>
                <w:highlight w:val="none"/>
                <w:lang w:val="en-US" w:eastAsia="zh-CN"/>
              </w:rPr>
              <w:t>10.692</w:t>
            </w:r>
            <w:r>
              <w:rPr>
                <w:rFonts w:hint="default" w:ascii="Times New Roman" w:hAnsi="Times New Roman" w:cs="Times New Roman"/>
                <w:color w:val="auto"/>
                <w:sz w:val="24"/>
                <w:highlight w:val="none"/>
              </w:rPr>
              <w:t>t/a</w:t>
            </w:r>
            <w:r>
              <w:rPr>
                <w:rFonts w:hint="eastAsia" w:ascii="宋体" w:hAnsi="宋体" w:cs="宋体"/>
                <w:color w:val="auto"/>
                <w:sz w:val="24"/>
                <w:highlight w:val="none"/>
              </w:rPr>
              <w:t>，集中收集后外售。</w:t>
            </w:r>
          </w:p>
          <w:p w14:paraId="506875EF">
            <w:pPr>
              <w:pStyle w:val="33"/>
              <w:spacing w:after="0" w:line="500" w:lineRule="exact"/>
              <w:ind w:left="0" w:leftChars="0" w:firstLine="480"/>
              <w:rPr>
                <w:bCs/>
                <w:color w:val="auto"/>
                <w:sz w:val="24"/>
                <w:highlight w:val="none"/>
              </w:rPr>
            </w:pPr>
            <w:r>
              <w:rPr>
                <w:rFonts w:hAnsi="宋体"/>
                <w:bCs/>
                <w:color w:val="auto"/>
                <w:sz w:val="24"/>
                <w:highlight w:val="none"/>
              </w:rPr>
              <w:t>（</w:t>
            </w:r>
            <w:r>
              <w:rPr>
                <w:rFonts w:hint="eastAsia"/>
                <w:bCs/>
                <w:color w:val="auto"/>
                <w:sz w:val="24"/>
                <w:highlight w:val="none"/>
                <w:lang w:val="en-US" w:eastAsia="zh-CN"/>
              </w:rPr>
              <w:t>4</w:t>
            </w:r>
            <w:r>
              <w:rPr>
                <w:rFonts w:hAnsi="宋体"/>
                <w:bCs/>
                <w:color w:val="auto"/>
                <w:sz w:val="24"/>
                <w:highlight w:val="none"/>
              </w:rPr>
              <w:t>）生活垃圾</w:t>
            </w:r>
          </w:p>
          <w:p w14:paraId="4B65E8AE">
            <w:pPr>
              <w:pStyle w:val="33"/>
              <w:spacing w:after="0" w:line="500" w:lineRule="exact"/>
              <w:ind w:left="0" w:leftChars="0" w:firstLine="480"/>
              <w:rPr>
                <w:bCs/>
                <w:color w:val="auto"/>
                <w:sz w:val="24"/>
                <w:highlight w:val="none"/>
              </w:rPr>
            </w:pPr>
            <w:r>
              <w:rPr>
                <w:rFonts w:hAnsi="宋体"/>
                <w:color w:val="auto"/>
                <w:sz w:val="24"/>
                <w:highlight w:val="none"/>
              </w:rPr>
              <w:t>项目劳动定员</w:t>
            </w:r>
            <w:r>
              <w:rPr>
                <w:rFonts w:hAnsi="宋体"/>
                <w:snapToGrid w:val="0"/>
                <w:color w:val="auto"/>
                <w:sz w:val="24"/>
                <w:highlight w:val="none"/>
              </w:rPr>
              <w:t>为</w:t>
            </w:r>
            <w:r>
              <w:rPr>
                <w:rFonts w:hint="eastAsia" w:hAnsi="宋体"/>
                <w:snapToGrid w:val="0"/>
                <w:color w:val="auto"/>
                <w:sz w:val="24"/>
                <w:highlight w:val="none"/>
                <w:lang w:val="en-US" w:eastAsia="zh-CN"/>
              </w:rPr>
              <w:t>2</w:t>
            </w:r>
            <w:r>
              <w:rPr>
                <w:rFonts w:hint="eastAsia"/>
                <w:snapToGrid w:val="0"/>
                <w:color w:val="auto"/>
                <w:kern w:val="0"/>
                <w:sz w:val="24"/>
                <w:highlight w:val="none"/>
                <w:lang w:val="en-US" w:eastAsia="zh-CN"/>
              </w:rPr>
              <w:t>5</w:t>
            </w:r>
            <w:r>
              <w:rPr>
                <w:rFonts w:hAnsi="宋体"/>
                <w:snapToGrid w:val="0"/>
                <w:color w:val="auto"/>
                <w:kern w:val="0"/>
                <w:sz w:val="24"/>
                <w:highlight w:val="none"/>
              </w:rPr>
              <w:t>人，年工作</w:t>
            </w:r>
            <w:r>
              <w:rPr>
                <w:rFonts w:hint="eastAsia"/>
                <w:snapToGrid w:val="0"/>
                <w:color w:val="auto"/>
                <w:kern w:val="0"/>
                <w:sz w:val="24"/>
                <w:highlight w:val="none"/>
                <w:lang w:val="en-US" w:eastAsia="zh-CN"/>
              </w:rPr>
              <w:t>300</w:t>
            </w:r>
            <w:r>
              <w:rPr>
                <w:snapToGrid w:val="0"/>
                <w:color w:val="auto"/>
                <w:kern w:val="0"/>
                <w:sz w:val="24"/>
                <w:highlight w:val="none"/>
              </w:rPr>
              <w:t>d</w:t>
            </w:r>
            <w:r>
              <w:rPr>
                <w:rFonts w:hAnsi="宋体"/>
                <w:snapToGrid w:val="0"/>
                <w:color w:val="auto"/>
                <w:kern w:val="0"/>
                <w:sz w:val="24"/>
                <w:highlight w:val="none"/>
              </w:rPr>
              <w:t>，</w:t>
            </w:r>
            <w:r>
              <w:rPr>
                <w:rFonts w:hAnsi="宋体"/>
                <w:color w:val="auto"/>
                <w:sz w:val="24"/>
                <w:highlight w:val="none"/>
              </w:rPr>
              <w:t>按每人每天产生</w:t>
            </w:r>
            <w:r>
              <w:rPr>
                <w:rFonts w:hint="eastAsia"/>
                <w:color w:val="auto"/>
                <w:sz w:val="24"/>
                <w:highlight w:val="none"/>
              </w:rPr>
              <w:t>0.5</w:t>
            </w:r>
            <w:r>
              <w:rPr>
                <w:color w:val="auto"/>
                <w:sz w:val="24"/>
                <w:highlight w:val="none"/>
              </w:rPr>
              <w:t>kg</w:t>
            </w:r>
            <w:r>
              <w:rPr>
                <w:rFonts w:hAnsi="宋体"/>
                <w:color w:val="auto"/>
                <w:sz w:val="24"/>
                <w:highlight w:val="none"/>
              </w:rPr>
              <w:t>生活垃圾计，则年产生活垃圾约</w:t>
            </w:r>
            <w:r>
              <w:rPr>
                <w:rFonts w:hint="eastAsia"/>
                <w:color w:val="auto"/>
                <w:sz w:val="24"/>
                <w:highlight w:val="none"/>
                <w:lang w:val="en-US" w:eastAsia="zh-CN"/>
              </w:rPr>
              <w:t>3.75</w:t>
            </w:r>
            <w:r>
              <w:rPr>
                <w:color w:val="auto"/>
                <w:sz w:val="24"/>
                <w:highlight w:val="none"/>
              </w:rPr>
              <w:t>t/a</w:t>
            </w:r>
            <w:r>
              <w:rPr>
                <w:rFonts w:hAnsi="宋体"/>
                <w:color w:val="auto"/>
                <w:sz w:val="24"/>
                <w:highlight w:val="none"/>
              </w:rPr>
              <w:t>。</w:t>
            </w:r>
            <w:r>
              <w:rPr>
                <w:rFonts w:hint="eastAsia" w:hAnsi="宋体"/>
                <w:color w:val="auto"/>
                <w:sz w:val="24"/>
                <w:highlight w:val="none"/>
              </w:rPr>
              <w:t>生活垃圾</w:t>
            </w:r>
            <w:r>
              <w:rPr>
                <w:rFonts w:hint="eastAsia" w:ascii="宋体" w:hAnsi="宋体" w:cs="宋体"/>
                <w:color w:val="auto"/>
                <w:sz w:val="24"/>
                <w:highlight w:val="none"/>
              </w:rPr>
              <w:t>集中收集后交由环卫部门定期清运。</w:t>
            </w:r>
          </w:p>
          <w:p w14:paraId="39AA26A7">
            <w:pPr>
              <w:pStyle w:val="33"/>
              <w:spacing w:after="0" w:line="500" w:lineRule="exact"/>
              <w:ind w:left="0" w:leftChars="0" w:firstLine="480"/>
              <w:rPr>
                <w:bCs/>
                <w:color w:val="auto"/>
                <w:sz w:val="24"/>
                <w:highlight w:val="none"/>
              </w:rPr>
            </w:pPr>
            <w:r>
              <w:rPr>
                <w:bCs/>
                <w:color w:val="auto"/>
                <w:sz w:val="24"/>
                <w:highlight w:val="none"/>
              </w:rPr>
              <w:t>（</w:t>
            </w:r>
            <w:r>
              <w:rPr>
                <w:rFonts w:hint="eastAsia"/>
                <w:bCs/>
                <w:color w:val="auto"/>
                <w:sz w:val="24"/>
                <w:highlight w:val="none"/>
                <w:lang w:val="en-US" w:eastAsia="zh-CN"/>
              </w:rPr>
              <w:t>5</w:t>
            </w:r>
            <w:r>
              <w:rPr>
                <w:bCs/>
                <w:color w:val="auto"/>
                <w:sz w:val="24"/>
                <w:highlight w:val="none"/>
              </w:rPr>
              <w:t>）废活性炭</w:t>
            </w:r>
          </w:p>
          <w:p w14:paraId="14A86A79">
            <w:pPr>
              <w:pStyle w:val="33"/>
              <w:spacing w:after="0" w:line="500" w:lineRule="exact"/>
              <w:ind w:left="0" w:leftChars="0" w:firstLine="480"/>
              <w:rPr>
                <w:bCs/>
                <w:color w:val="auto"/>
                <w:sz w:val="24"/>
                <w:highlight w:val="none"/>
              </w:rPr>
            </w:pPr>
            <w:r>
              <w:rPr>
                <w:rFonts w:hint="eastAsia" w:ascii="Times New Roman" w:hAnsi="Times New Roman" w:eastAsia="宋体" w:cs="Times New Roman"/>
                <w:b w:val="0"/>
                <w:bCs w:val="0"/>
                <w:color w:val="auto"/>
                <w:kern w:val="2"/>
                <w:sz w:val="24"/>
                <w:szCs w:val="24"/>
                <w:highlight w:val="none"/>
                <w:lang w:val="en-US" w:eastAsia="zh-CN" w:bidi="ar-SA"/>
              </w:rPr>
              <w:t>吸附催化燃烧设备活性炭一般为蜂窝活性炭，比重约为0.45g/cm</w:t>
            </w:r>
            <w:r>
              <w:rPr>
                <w:rFonts w:hint="eastAsia" w:ascii="Times New Roman" w:hAnsi="Times New Roman" w:eastAsia="宋体" w:cs="Times New Roman"/>
                <w:b w:val="0"/>
                <w:bCs w:val="0"/>
                <w:color w:val="auto"/>
                <w:kern w:val="2"/>
                <w:sz w:val="24"/>
                <w:szCs w:val="24"/>
                <w:highlight w:val="none"/>
                <w:vertAlign w:val="superscript"/>
                <w:lang w:val="en-US" w:eastAsia="zh-CN" w:bidi="ar-SA"/>
              </w:rPr>
              <w:t>3</w:t>
            </w:r>
            <w:r>
              <w:rPr>
                <w:rFonts w:hint="eastAsia" w:ascii="Times New Roman" w:hAnsi="Times New Roman" w:eastAsia="宋体" w:cs="Times New Roman"/>
                <w:b w:val="0"/>
                <w:bCs w:val="0"/>
                <w:color w:val="auto"/>
                <w:kern w:val="2"/>
                <w:sz w:val="24"/>
                <w:szCs w:val="24"/>
                <w:highlight w:val="none"/>
                <w:vertAlign w:val="baseline"/>
                <w:lang w:val="en-US" w:eastAsia="zh-CN" w:bidi="ar-SA"/>
              </w:rPr>
              <w:t>，其</w:t>
            </w:r>
            <w:r>
              <w:rPr>
                <w:rFonts w:hint="eastAsia" w:ascii="Times New Roman" w:hAnsi="Times New Roman" w:eastAsia="宋体" w:cs="Times New Roman"/>
                <w:b w:val="0"/>
                <w:bCs w:val="0"/>
                <w:color w:val="auto"/>
                <w:kern w:val="2"/>
                <w:sz w:val="24"/>
                <w:szCs w:val="24"/>
                <w:highlight w:val="none"/>
                <w:lang w:val="en-US" w:eastAsia="zh-CN" w:bidi="ar-SA"/>
              </w:rPr>
              <w:t>填充量约为</w:t>
            </w:r>
            <w:r>
              <w:rPr>
                <w:rFonts w:hint="eastAsia" w:cs="Times New Roman"/>
                <w:b w:val="0"/>
                <w:bCs w:val="0"/>
                <w:color w:val="auto"/>
                <w:kern w:val="2"/>
                <w:sz w:val="24"/>
                <w:szCs w:val="24"/>
                <w:highlight w:val="none"/>
                <w:lang w:val="en-US" w:eastAsia="zh-CN" w:bidi="ar-SA"/>
              </w:rPr>
              <w:t>3.4</w:t>
            </w:r>
            <w:r>
              <w:rPr>
                <w:rFonts w:hint="eastAsia" w:ascii="Times New Roman" w:hAnsi="Times New Roman" w:eastAsia="宋体" w:cs="Times New Roman"/>
                <w:b w:val="0"/>
                <w:bCs w:val="0"/>
                <w:color w:val="auto"/>
                <w:kern w:val="2"/>
                <w:sz w:val="24"/>
                <w:szCs w:val="24"/>
                <w:highlight w:val="none"/>
                <w:lang w:val="en-US" w:eastAsia="zh-CN" w:bidi="ar-SA"/>
              </w:rPr>
              <w:t>m</w:t>
            </w:r>
            <w:r>
              <w:rPr>
                <w:rFonts w:hint="eastAsia" w:ascii="Times New Roman" w:hAnsi="Times New Roman" w:eastAsia="宋体" w:cs="Times New Roman"/>
                <w:b w:val="0"/>
                <w:bCs w:val="0"/>
                <w:color w:val="auto"/>
                <w:kern w:val="2"/>
                <w:sz w:val="24"/>
                <w:szCs w:val="24"/>
                <w:highlight w:val="none"/>
                <w:vertAlign w:val="superscript"/>
                <w:lang w:val="en-US" w:eastAsia="zh-CN" w:bidi="ar-SA"/>
              </w:rPr>
              <w:t>3</w:t>
            </w:r>
            <w:r>
              <w:rPr>
                <w:rFonts w:hint="eastAsia" w:ascii="Times New Roman" w:hAnsi="Times New Roman" w:eastAsia="宋体" w:cs="Times New Roman"/>
                <w:b w:val="0"/>
                <w:bCs w:val="0"/>
                <w:color w:val="auto"/>
                <w:kern w:val="2"/>
                <w:sz w:val="24"/>
                <w:szCs w:val="24"/>
                <w:highlight w:val="none"/>
                <w:vertAlign w:val="baseline"/>
                <w:lang w:val="en-US" w:eastAsia="zh-CN" w:bidi="ar-SA"/>
              </w:rPr>
              <w:t>（</w:t>
            </w:r>
            <w:r>
              <w:rPr>
                <w:rFonts w:hint="eastAsia" w:cs="Times New Roman"/>
                <w:b w:val="0"/>
                <w:bCs w:val="0"/>
                <w:color w:val="auto"/>
                <w:kern w:val="2"/>
                <w:sz w:val="24"/>
                <w:szCs w:val="24"/>
                <w:highlight w:val="none"/>
                <w:vertAlign w:val="baseline"/>
                <w:lang w:val="en-US" w:eastAsia="zh-CN" w:bidi="ar-SA"/>
              </w:rPr>
              <w:t>1.53</w:t>
            </w:r>
            <w:r>
              <w:rPr>
                <w:rFonts w:hint="eastAsia" w:ascii="Times New Roman" w:hAnsi="Times New Roman" w:eastAsia="宋体" w:cs="Times New Roman"/>
                <w:b w:val="0"/>
                <w:bCs w:val="0"/>
                <w:color w:val="auto"/>
                <w:kern w:val="2"/>
                <w:sz w:val="24"/>
                <w:szCs w:val="24"/>
                <w:highlight w:val="none"/>
                <w:vertAlign w:val="baseline"/>
                <w:lang w:val="en-US" w:eastAsia="zh-CN" w:bidi="ar-SA"/>
              </w:rPr>
              <w:t>t）</w:t>
            </w:r>
            <w:r>
              <w:rPr>
                <w:rFonts w:hint="eastAsia" w:ascii="Times New Roman" w:hAnsi="Times New Roman" w:eastAsia="宋体" w:cs="Times New Roman"/>
                <w:b w:val="0"/>
                <w:bCs w:val="0"/>
                <w:color w:val="auto"/>
                <w:kern w:val="2"/>
                <w:sz w:val="24"/>
                <w:szCs w:val="24"/>
                <w:lang w:val="en-US" w:eastAsia="zh-CN" w:bidi="ar-SA"/>
              </w:rPr>
              <w:t>，使用一段时间，吸附了一定量的有机废气后，会降低或失去吸附能力，此时活性炭需脱附再生，再生后活性炭重新恢复吸附功能可继续使用。</w:t>
            </w:r>
            <w:r>
              <w:rPr>
                <w:rFonts w:hint="default" w:ascii="Times New Roman" w:hAnsi="Times New Roman" w:eastAsia="宋体" w:cs="Times New Roman"/>
                <w:kern w:val="0"/>
                <w:sz w:val="24"/>
                <w:szCs w:val="24"/>
                <w:highlight w:val="none"/>
                <w:lang w:val="en-US" w:eastAsia="zh-CN" w:bidi="ar"/>
              </w:rPr>
              <w:t>活性炭使用周期为8000h。本项目年生产时间</w:t>
            </w:r>
            <w:r>
              <w:rPr>
                <w:rFonts w:hint="eastAsia" w:ascii="Times New Roman" w:hAnsi="Times New Roman" w:eastAsia="宋体" w:cs="Times New Roman"/>
                <w:kern w:val="0"/>
                <w:sz w:val="24"/>
                <w:szCs w:val="24"/>
                <w:highlight w:val="none"/>
                <w:lang w:val="en-US" w:eastAsia="zh-CN" w:bidi="ar"/>
              </w:rPr>
              <w:t>2400</w:t>
            </w:r>
            <w:r>
              <w:rPr>
                <w:rFonts w:hint="default" w:ascii="Times New Roman" w:hAnsi="Times New Roman" w:eastAsia="宋体" w:cs="Times New Roman"/>
                <w:kern w:val="0"/>
                <w:sz w:val="24"/>
                <w:szCs w:val="24"/>
                <w:highlight w:val="none"/>
                <w:lang w:val="en-US" w:eastAsia="zh-CN" w:bidi="ar"/>
              </w:rPr>
              <w:t>h，平均每</w:t>
            </w:r>
            <w:r>
              <w:rPr>
                <w:rFonts w:hint="eastAsia" w:ascii="Times New Roman" w:hAnsi="Times New Roman" w:eastAsia="宋体" w:cs="Times New Roman"/>
                <w:kern w:val="0"/>
                <w:sz w:val="24"/>
                <w:szCs w:val="24"/>
                <w:highlight w:val="none"/>
                <w:lang w:val="en-US" w:eastAsia="zh-CN" w:bidi="ar"/>
              </w:rPr>
              <w:t>3</w:t>
            </w:r>
            <w:r>
              <w:rPr>
                <w:rFonts w:hint="default" w:ascii="Times New Roman" w:hAnsi="Times New Roman" w:eastAsia="宋体" w:cs="Times New Roman"/>
                <w:kern w:val="0"/>
                <w:sz w:val="24"/>
                <w:szCs w:val="24"/>
                <w:highlight w:val="none"/>
                <w:lang w:val="en-US" w:eastAsia="zh-CN" w:bidi="ar"/>
              </w:rPr>
              <w:t>年需更换一次</w:t>
            </w:r>
            <w:r>
              <w:rPr>
                <w:rFonts w:hint="eastAsia" w:ascii="Times New Roman" w:hAnsi="Times New Roman" w:eastAsia="宋体" w:cs="Times New Roman"/>
                <w:kern w:val="0"/>
                <w:sz w:val="24"/>
                <w:szCs w:val="24"/>
                <w:highlight w:val="none"/>
                <w:lang w:val="en-US" w:eastAsia="zh-CN" w:bidi="ar"/>
              </w:rPr>
              <w:t>，</w:t>
            </w:r>
            <w:r>
              <w:rPr>
                <w:rFonts w:hint="eastAsia" w:ascii="Times New Roman" w:hAnsi="Times New Roman" w:eastAsia="宋体" w:cs="Times New Roman"/>
                <w:b w:val="0"/>
                <w:bCs w:val="0"/>
                <w:color w:val="auto"/>
                <w:kern w:val="2"/>
                <w:sz w:val="24"/>
                <w:szCs w:val="24"/>
                <w:lang w:val="en-US" w:eastAsia="zh-CN" w:bidi="ar-SA"/>
              </w:rPr>
              <w:t>更换产生的废活性炭约为</w:t>
            </w:r>
            <w:r>
              <w:rPr>
                <w:rFonts w:hint="eastAsia" w:cs="Times New Roman"/>
                <w:b w:val="0"/>
                <w:bCs w:val="0"/>
                <w:color w:val="auto"/>
                <w:kern w:val="2"/>
                <w:sz w:val="24"/>
                <w:szCs w:val="24"/>
                <w:highlight w:val="none"/>
                <w:vertAlign w:val="baseline"/>
                <w:lang w:val="en-US" w:eastAsia="zh-CN" w:bidi="ar-SA"/>
              </w:rPr>
              <w:t>1.53</w:t>
            </w:r>
            <w:r>
              <w:rPr>
                <w:rFonts w:hint="eastAsia" w:ascii="Times New Roman" w:hAnsi="Times New Roman" w:eastAsia="宋体" w:cs="Times New Roman"/>
                <w:b w:val="0"/>
                <w:bCs w:val="0"/>
                <w:color w:val="auto"/>
                <w:kern w:val="2"/>
                <w:sz w:val="24"/>
                <w:szCs w:val="24"/>
                <w:highlight w:val="none"/>
                <w:vertAlign w:val="baseline"/>
                <w:lang w:val="en-US" w:eastAsia="zh-CN" w:bidi="ar-SA"/>
              </w:rPr>
              <w:t>t/</w:t>
            </w:r>
            <w:r>
              <w:rPr>
                <w:rFonts w:hint="eastAsia" w:cs="Times New Roman"/>
                <w:b w:val="0"/>
                <w:bCs w:val="0"/>
                <w:color w:val="auto"/>
                <w:kern w:val="2"/>
                <w:sz w:val="24"/>
                <w:szCs w:val="24"/>
                <w:highlight w:val="none"/>
                <w:vertAlign w:val="baseline"/>
                <w:lang w:val="en-US" w:eastAsia="zh-CN" w:bidi="ar-SA"/>
              </w:rPr>
              <w:t>3</w:t>
            </w:r>
            <w:r>
              <w:rPr>
                <w:rFonts w:hint="eastAsia" w:ascii="Times New Roman" w:hAnsi="Times New Roman" w:eastAsia="宋体" w:cs="Times New Roman"/>
                <w:b w:val="0"/>
                <w:bCs w:val="0"/>
                <w:color w:val="auto"/>
                <w:kern w:val="2"/>
                <w:sz w:val="24"/>
                <w:szCs w:val="24"/>
                <w:highlight w:val="none"/>
                <w:vertAlign w:val="baseline"/>
                <w:lang w:val="en-US" w:eastAsia="zh-CN" w:bidi="ar-SA"/>
              </w:rPr>
              <w:t>a。</w:t>
            </w:r>
          </w:p>
          <w:p w14:paraId="53076EC4">
            <w:pPr>
              <w:pStyle w:val="33"/>
              <w:spacing w:after="0" w:line="500" w:lineRule="exact"/>
              <w:ind w:left="0" w:leftChars="0" w:firstLine="480"/>
              <w:rPr>
                <w:bCs/>
                <w:color w:val="auto"/>
                <w:sz w:val="24"/>
                <w:highlight w:val="none"/>
              </w:rPr>
            </w:pPr>
            <w:r>
              <w:rPr>
                <w:rFonts w:hAnsiTheme="minorEastAsia" w:eastAsiaTheme="minorEastAsia"/>
                <w:b w:val="0"/>
                <w:bCs w:val="0"/>
                <w:color w:val="auto"/>
                <w:sz w:val="24"/>
                <w:highlight w:val="none"/>
              </w:rPr>
              <w:t>根据《国家危险废物名录》</w:t>
            </w:r>
            <w:r>
              <w:rPr>
                <w:rFonts w:hint="eastAsia" w:eastAsiaTheme="minorEastAsia"/>
                <w:b w:val="0"/>
                <w:bCs w:val="0"/>
                <w:color w:val="auto"/>
                <w:sz w:val="24"/>
                <w:highlight w:val="none"/>
                <w:lang w:eastAsia="zh-CN"/>
              </w:rPr>
              <w:t>（</w:t>
            </w:r>
            <w:r>
              <w:rPr>
                <w:rFonts w:hint="eastAsia" w:eastAsiaTheme="minorEastAsia"/>
                <w:b w:val="0"/>
                <w:bCs w:val="0"/>
                <w:color w:val="auto"/>
                <w:sz w:val="24"/>
                <w:highlight w:val="none"/>
              </w:rPr>
              <w:t>202</w:t>
            </w:r>
            <w:r>
              <w:rPr>
                <w:rFonts w:hint="eastAsia" w:eastAsiaTheme="minorEastAsia"/>
                <w:b w:val="0"/>
                <w:bCs w:val="0"/>
                <w:color w:val="auto"/>
                <w:sz w:val="24"/>
                <w:highlight w:val="none"/>
                <w:lang w:val="en-US" w:eastAsia="zh-CN"/>
              </w:rPr>
              <w:t>5</w:t>
            </w:r>
            <w:r>
              <w:rPr>
                <w:rFonts w:hAnsiTheme="minorEastAsia" w:eastAsiaTheme="minorEastAsia"/>
                <w:b w:val="0"/>
                <w:bCs w:val="0"/>
                <w:color w:val="auto"/>
                <w:sz w:val="24"/>
                <w:highlight w:val="none"/>
              </w:rPr>
              <w:t>年</w:t>
            </w:r>
            <w:r>
              <w:rPr>
                <w:rFonts w:hint="eastAsia" w:eastAsiaTheme="minorEastAsia"/>
                <w:b w:val="0"/>
                <w:bCs w:val="0"/>
                <w:color w:val="auto"/>
                <w:sz w:val="24"/>
                <w:highlight w:val="none"/>
                <w:lang w:eastAsia="zh-CN"/>
              </w:rPr>
              <w:t>）</w:t>
            </w:r>
            <w:r>
              <w:rPr>
                <w:rFonts w:hAnsiTheme="minorEastAsia" w:eastAsiaTheme="minorEastAsia"/>
                <w:color w:val="auto"/>
                <w:sz w:val="24"/>
                <w:highlight w:val="none"/>
              </w:rPr>
              <w:t>，</w:t>
            </w:r>
            <w:r>
              <w:rPr>
                <w:bCs/>
                <w:color w:val="auto"/>
                <w:sz w:val="24"/>
                <w:highlight w:val="none"/>
              </w:rPr>
              <w:t>废活性炭属于危险废物，</w:t>
            </w:r>
            <w:r>
              <w:rPr>
                <w:rFonts w:hint="eastAsia"/>
                <w:bCs/>
                <w:color w:val="auto"/>
                <w:sz w:val="24"/>
                <w:highlight w:val="none"/>
                <w:lang w:eastAsia="zh-CN"/>
              </w:rPr>
              <w:t>危废类别</w:t>
            </w:r>
            <w:r>
              <w:rPr>
                <w:rFonts w:hAnsiTheme="minorEastAsia" w:eastAsiaTheme="minorEastAsia"/>
                <w:color w:val="auto"/>
                <w:sz w:val="24"/>
                <w:highlight w:val="none"/>
              </w:rPr>
              <w:t>属于</w:t>
            </w:r>
            <w:r>
              <w:rPr>
                <w:rFonts w:eastAsiaTheme="minorEastAsia"/>
                <w:color w:val="auto"/>
                <w:sz w:val="24"/>
                <w:highlight w:val="none"/>
              </w:rPr>
              <w:t>HW49</w:t>
            </w:r>
            <w:r>
              <w:rPr>
                <w:rFonts w:hAnsiTheme="minorEastAsia" w:eastAsiaTheme="minorEastAsia"/>
                <w:color w:val="auto"/>
                <w:sz w:val="24"/>
                <w:highlight w:val="none"/>
              </w:rPr>
              <w:t>，代码为</w:t>
            </w:r>
            <w:r>
              <w:rPr>
                <w:rFonts w:eastAsiaTheme="minorEastAsia"/>
                <w:color w:val="auto"/>
                <w:sz w:val="24"/>
                <w:highlight w:val="none"/>
              </w:rPr>
              <w:t>900-0</w:t>
            </w:r>
            <w:r>
              <w:rPr>
                <w:rFonts w:hint="eastAsia" w:eastAsiaTheme="minorEastAsia"/>
                <w:color w:val="auto"/>
                <w:sz w:val="24"/>
                <w:highlight w:val="none"/>
              </w:rPr>
              <w:t>39</w:t>
            </w:r>
            <w:r>
              <w:rPr>
                <w:rFonts w:eastAsiaTheme="minorEastAsia"/>
                <w:color w:val="auto"/>
                <w:sz w:val="24"/>
                <w:highlight w:val="none"/>
              </w:rPr>
              <w:t>-49</w:t>
            </w:r>
            <w:r>
              <w:rPr>
                <w:rFonts w:hAnsiTheme="minorEastAsia" w:eastAsiaTheme="minorEastAsia"/>
                <w:color w:val="auto"/>
                <w:sz w:val="24"/>
                <w:highlight w:val="none"/>
              </w:rPr>
              <w:t>（</w:t>
            </w:r>
            <w:r>
              <w:rPr>
                <w:rFonts w:hint="eastAsia" w:hAnsiTheme="minorEastAsia" w:eastAsiaTheme="minorEastAsia"/>
                <w:color w:val="auto"/>
                <w:sz w:val="24"/>
                <w:highlight w:val="none"/>
              </w:rPr>
              <w:t>烟气、VOCs治理过程（不包括餐饮行业油烟治理过程）产生的废活性炭，化学原料和化学制品脱色（不包括有机合成食品添加剂脱色）、除杂净化过程产生的废活性炭</w:t>
            </w:r>
            <w:r>
              <w:rPr>
                <w:rFonts w:hAnsiTheme="minorEastAsia" w:eastAsiaTheme="minorEastAsia"/>
                <w:color w:val="auto"/>
                <w:sz w:val="24"/>
                <w:highlight w:val="none"/>
              </w:rPr>
              <w:t>）</w:t>
            </w:r>
            <w:r>
              <w:rPr>
                <w:rFonts w:hint="eastAsia" w:hAnsiTheme="minorEastAsia" w:eastAsiaTheme="minorEastAsia"/>
                <w:color w:val="auto"/>
                <w:sz w:val="24"/>
                <w:highlight w:val="none"/>
              </w:rPr>
              <w:t>。</w:t>
            </w:r>
            <w:r>
              <w:rPr>
                <w:rFonts w:hint="eastAsia"/>
                <w:bCs/>
                <w:color w:val="auto"/>
                <w:sz w:val="24"/>
                <w:highlight w:val="none"/>
              </w:rPr>
              <w:t>环评要求建设单位建设一座10m</w:t>
            </w:r>
            <w:r>
              <w:rPr>
                <w:rFonts w:hint="eastAsia"/>
                <w:bCs/>
                <w:color w:val="auto"/>
                <w:sz w:val="24"/>
                <w:highlight w:val="none"/>
                <w:vertAlign w:val="superscript"/>
              </w:rPr>
              <w:t>2</w:t>
            </w:r>
            <w:r>
              <w:rPr>
                <w:rFonts w:hint="eastAsia"/>
                <w:bCs/>
                <w:color w:val="auto"/>
                <w:sz w:val="24"/>
                <w:highlight w:val="none"/>
                <w:lang w:eastAsia="zh-CN"/>
              </w:rPr>
              <w:t>危废贮存库</w:t>
            </w:r>
            <w:r>
              <w:rPr>
                <w:rFonts w:hint="eastAsia"/>
                <w:bCs/>
                <w:color w:val="auto"/>
                <w:sz w:val="24"/>
                <w:highlight w:val="none"/>
              </w:rPr>
              <w:t>，</w:t>
            </w:r>
            <w:r>
              <w:rPr>
                <w:bCs/>
                <w:color w:val="auto"/>
                <w:sz w:val="24"/>
                <w:highlight w:val="none"/>
              </w:rPr>
              <w:t>废活性炭</w:t>
            </w:r>
            <w:r>
              <w:rPr>
                <w:rFonts w:hint="eastAsia"/>
                <w:bCs/>
                <w:color w:val="auto"/>
                <w:sz w:val="24"/>
                <w:highlight w:val="none"/>
              </w:rPr>
              <w:t>袋装密封后</w:t>
            </w:r>
            <w:r>
              <w:rPr>
                <w:bCs/>
                <w:color w:val="auto"/>
                <w:sz w:val="24"/>
                <w:highlight w:val="none"/>
              </w:rPr>
              <w:t>分类、分区</w:t>
            </w:r>
            <w:r>
              <w:rPr>
                <w:rFonts w:hint="eastAsia"/>
                <w:bCs/>
                <w:color w:val="auto"/>
                <w:sz w:val="24"/>
                <w:highlight w:val="none"/>
              </w:rPr>
              <w:t>暂存于</w:t>
            </w:r>
            <w:r>
              <w:rPr>
                <w:rFonts w:hint="eastAsia"/>
                <w:bCs/>
                <w:color w:val="auto"/>
                <w:sz w:val="24"/>
                <w:highlight w:val="none"/>
                <w:lang w:eastAsia="zh-CN"/>
              </w:rPr>
              <w:t>危废贮存库</w:t>
            </w:r>
            <w:r>
              <w:rPr>
                <w:bCs/>
                <w:color w:val="auto"/>
                <w:sz w:val="24"/>
                <w:highlight w:val="none"/>
              </w:rPr>
              <w:t>，</w:t>
            </w:r>
            <w:r>
              <w:rPr>
                <w:rFonts w:hint="eastAsia"/>
                <w:bCs/>
                <w:color w:val="auto"/>
                <w:sz w:val="24"/>
                <w:highlight w:val="none"/>
              </w:rPr>
              <w:t>定期</w:t>
            </w:r>
            <w:r>
              <w:rPr>
                <w:rFonts w:hint="eastAsia"/>
                <w:bCs/>
                <w:color w:val="auto"/>
                <w:sz w:val="24"/>
                <w:highlight w:val="none"/>
                <w:lang w:eastAsia="zh-CN"/>
              </w:rPr>
              <w:t>交由</w:t>
            </w:r>
            <w:r>
              <w:rPr>
                <w:bCs/>
                <w:color w:val="auto"/>
                <w:sz w:val="24"/>
                <w:highlight w:val="none"/>
              </w:rPr>
              <w:t>资质单位进行处理。</w:t>
            </w:r>
          </w:p>
          <w:p w14:paraId="36DE653C">
            <w:pPr>
              <w:pStyle w:val="33"/>
              <w:spacing w:after="0" w:line="500" w:lineRule="exact"/>
              <w:ind w:left="0" w:leftChars="0" w:firstLine="480"/>
              <w:rPr>
                <w:rFonts w:hint="eastAsia" w:eastAsia="宋体"/>
                <w:bCs/>
                <w:color w:val="auto"/>
                <w:sz w:val="24"/>
                <w:highlight w:val="none"/>
                <w:lang w:eastAsia="zh-CN"/>
              </w:rPr>
            </w:pPr>
            <w:r>
              <w:rPr>
                <w:bCs/>
                <w:color w:val="auto"/>
                <w:sz w:val="24"/>
                <w:highlight w:val="none"/>
              </w:rPr>
              <w:t>（</w:t>
            </w:r>
            <w:r>
              <w:rPr>
                <w:rFonts w:hint="eastAsia"/>
                <w:bCs/>
                <w:color w:val="auto"/>
                <w:sz w:val="24"/>
                <w:highlight w:val="none"/>
                <w:lang w:val="en-US" w:eastAsia="zh-CN"/>
              </w:rPr>
              <w:t>6</w:t>
            </w:r>
            <w:r>
              <w:rPr>
                <w:bCs/>
                <w:color w:val="auto"/>
                <w:sz w:val="24"/>
                <w:highlight w:val="none"/>
              </w:rPr>
              <w:t>）废</w:t>
            </w:r>
            <w:r>
              <w:rPr>
                <w:rFonts w:hint="eastAsia"/>
                <w:bCs/>
                <w:color w:val="auto"/>
                <w:sz w:val="24"/>
                <w:highlight w:val="none"/>
                <w:lang w:eastAsia="zh-CN"/>
              </w:rPr>
              <w:t>催化剂</w:t>
            </w:r>
          </w:p>
          <w:p w14:paraId="111A7382">
            <w:pPr>
              <w:pStyle w:val="33"/>
              <w:spacing w:after="0" w:line="500" w:lineRule="exact"/>
              <w:ind w:left="0" w:leftChars="0" w:firstLine="480"/>
              <w:rPr>
                <w:rFonts w:hint="eastAsia" w:eastAsia="宋体"/>
                <w:color w:val="auto"/>
                <w:sz w:val="24"/>
                <w:highlight w:val="none"/>
                <w:lang w:eastAsia="zh-CN"/>
              </w:rPr>
            </w:pPr>
            <w:r>
              <w:rPr>
                <w:rFonts w:hint="eastAsia" w:ascii="Times New Roman" w:hAnsi="Times New Roman" w:eastAsia="宋体" w:cs="Times New Roman"/>
                <w:b w:val="0"/>
                <w:bCs w:val="0"/>
                <w:color w:val="auto"/>
                <w:kern w:val="2"/>
                <w:sz w:val="24"/>
                <w:szCs w:val="24"/>
                <w:highlight w:val="none"/>
                <w:lang w:val="en-US" w:eastAsia="zh-CN" w:bidi="ar-SA"/>
              </w:rPr>
              <w:t>本项目吸附催化燃烧设备中使用的催化剂其主要活性成分为镍、载体为氧化铝，随着使用时间的增加，催化剂的活性成分会逐渐被消耗，导致活性降低，从而影响催化效果。当催化剂的活性降低到一定程度时，就需要更换以保持高效的催化作用</w:t>
            </w:r>
            <w:r>
              <w:rPr>
                <w:rFonts w:hint="eastAsia" w:cs="Times New Roman"/>
                <w:b w:val="0"/>
                <w:bCs w:val="0"/>
                <w:color w:val="auto"/>
                <w:kern w:val="2"/>
                <w:sz w:val="24"/>
                <w:szCs w:val="24"/>
                <w:highlight w:val="none"/>
                <w:lang w:val="en-US" w:eastAsia="zh-CN" w:bidi="ar-SA"/>
              </w:rPr>
              <w:t>。</w:t>
            </w:r>
            <w:r>
              <w:rPr>
                <w:rFonts w:hint="eastAsia"/>
                <w:color w:val="auto"/>
                <w:sz w:val="24"/>
              </w:rPr>
              <w:t>催化剂使用寿命约为3~5年</w:t>
            </w:r>
            <w:r>
              <w:rPr>
                <w:rFonts w:hint="eastAsia" w:cs="Times New Roman"/>
                <w:b w:val="0"/>
                <w:bCs w:val="0"/>
                <w:color w:val="auto"/>
                <w:kern w:val="2"/>
                <w:sz w:val="24"/>
                <w:szCs w:val="24"/>
                <w:highlight w:val="none"/>
                <w:lang w:val="en-US" w:eastAsia="zh-CN" w:bidi="ar-SA"/>
              </w:rPr>
              <w:t>，本项目</w:t>
            </w:r>
            <w:r>
              <w:rPr>
                <w:rFonts w:hint="eastAsia"/>
                <w:color w:val="auto"/>
                <w:sz w:val="24"/>
              </w:rPr>
              <w:t>按3年</w:t>
            </w:r>
            <w:r>
              <w:rPr>
                <w:rFonts w:hint="eastAsia"/>
                <w:color w:val="auto"/>
                <w:sz w:val="24"/>
                <w:lang w:eastAsia="zh-CN"/>
              </w:rPr>
              <w:t>更换</w:t>
            </w:r>
            <w:r>
              <w:rPr>
                <w:rFonts w:hint="eastAsia"/>
                <w:color w:val="auto"/>
                <w:sz w:val="24"/>
                <w:lang w:val="en-US" w:eastAsia="zh-CN"/>
              </w:rPr>
              <w:t>1次</w:t>
            </w:r>
            <w:r>
              <w:rPr>
                <w:rFonts w:hint="eastAsia"/>
                <w:color w:val="auto"/>
                <w:sz w:val="24"/>
                <w:lang w:eastAsia="zh-CN"/>
              </w:rPr>
              <w:t>计算</w:t>
            </w:r>
            <w:r>
              <w:rPr>
                <w:rFonts w:hint="eastAsia"/>
                <w:color w:val="auto"/>
                <w:sz w:val="24"/>
              </w:rPr>
              <w:t>，每次更换产生废催化剂约0.0</w:t>
            </w:r>
            <w:r>
              <w:rPr>
                <w:rFonts w:hint="eastAsia"/>
                <w:color w:val="auto"/>
                <w:sz w:val="24"/>
                <w:lang w:val="en-US" w:eastAsia="zh-CN"/>
              </w:rPr>
              <w:t>3</w:t>
            </w:r>
            <w:r>
              <w:rPr>
                <w:rFonts w:hint="eastAsia"/>
                <w:color w:val="auto"/>
                <w:sz w:val="24"/>
              </w:rPr>
              <w:t>t/</w:t>
            </w:r>
            <w:r>
              <w:rPr>
                <w:rFonts w:hint="eastAsia"/>
                <w:color w:val="auto"/>
                <w:sz w:val="24"/>
                <w:lang w:val="en-US" w:eastAsia="zh-CN"/>
              </w:rPr>
              <w:t>3a</w:t>
            </w:r>
            <w:r>
              <w:rPr>
                <w:rFonts w:hint="eastAsia"/>
                <w:color w:val="auto"/>
                <w:sz w:val="24"/>
              </w:rPr>
              <w:t>。</w:t>
            </w:r>
            <w:r>
              <w:rPr>
                <w:color w:val="auto"/>
                <w:sz w:val="24"/>
              </w:rPr>
              <w:t>根据《国家危险废物名录》（</w:t>
            </w:r>
            <w:r>
              <w:rPr>
                <w:rFonts w:hint="eastAsia"/>
                <w:color w:val="auto"/>
                <w:sz w:val="24"/>
              </w:rPr>
              <w:t>202</w:t>
            </w:r>
            <w:r>
              <w:rPr>
                <w:rFonts w:hint="eastAsia"/>
                <w:color w:val="auto"/>
                <w:sz w:val="24"/>
                <w:lang w:val="en-US" w:eastAsia="zh-CN"/>
              </w:rPr>
              <w:t>5</w:t>
            </w:r>
            <w:r>
              <w:rPr>
                <w:color w:val="auto"/>
                <w:sz w:val="24"/>
              </w:rPr>
              <w:t>年</w:t>
            </w:r>
            <w:r>
              <w:rPr>
                <w:rFonts w:hint="eastAsia"/>
                <w:color w:val="auto"/>
                <w:sz w:val="24"/>
              </w:rPr>
              <w:t>版</w:t>
            </w:r>
            <w:r>
              <w:rPr>
                <w:color w:val="auto"/>
                <w:sz w:val="24"/>
              </w:rPr>
              <w:t>）的规定，</w:t>
            </w:r>
            <w:r>
              <w:rPr>
                <w:rFonts w:hint="eastAsia"/>
                <w:color w:val="auto"/>
                <w:sz w:val="24"/>
              </w:rPr>
              <w:t>废催化剂属于HW46含镍废物</w:t>
            </w:r>
            <w:r>
              <w:rPr>
                <w:rFonts w:hint="eastAsia"/>
                <w:color w:val="auto"/>
                <w:sz w:val="24"/>
                <w:lang w:eastAsia="zh-CN"/>
              </w:rPr>
              <w:t>、</w:t>
            </w:r>
            <w:r>
              <w:rPr>
                <w:rFonts w:hint="eastAsia"/>
                <w:color w:val="auto"/>
                <w:sz w:val="24"/>
              </w:rPr>
              <w:t>废物代码900-037-46</w:t>
            </w:r>
            <w:r>
              <w:rPr>
                <w:rFonts w:hint="eastAsia"/>
                <w:color w:val="auto"/>
                <w:sz w:val="24"/>
                <w:lang w:eastAsia="zh-CN"/>
              </w:rPr>
              <w:t>（废弃的镍催化剂）。本项目</w:t>
            </w:r>
            <w:r>
              <w:rPr>
                <w:bCs/>
                <w:color w:val="auto"/>
                <w:sz w:val="24"/>
                <w:highlight w:val="none"/>
              </w:rPr>
              <w:t>废</w:t>
            </w:r>
            <w:r>
              <w:rPr>
                <w:rFonts w:hint="eastAsia"/>
                <w:bCs/>
                <w:color w:val="auto"/>
                <w:sz w:val="24"/>
                <w:highlight w:val="none"/>
                <w:lang w:eastAsia="zh-CN"/>
              </w:rPr>
              <w:t>催化剂</w:t>
            </w:r>
            <w:r>
              <w:rPr>
                <w:rFonts w:hint="eastAsia" w:hAnsiTheme="minorEastAsia" w:eastAsiaTheme="minorEastAsia"/>
                <w:color w:val="auto"/>
                <w:sz w:val="24"/>
                <w:highlight w:val="none"/>
              </w:rPr>
              <w:t>采用专用容器收集</w:t>
            </w:r>
            <w:r>
              <w:rPr>
                <w:rFonts w:hAnsiTheme="minorEastAsia" w:eastAsiaTheme="minorEastAsia"/>
                <w:color w:val="auto"/>
                <w:sz w:val="24"/>
                <w:highlight w:val="none"/>
              </w:rPr>
              <w:t>，暂存于</w:t>
            </w:r>
            <w:r>
              <w:rPr>
                <w:rFonts w:hint="eastAsia" w:hAnsiTheme="minorEastAsia" w:eastAsiaTheme="minorEastAsia"/>
                <w:color w:val="auto"/>
                <w:sz w:val="24"/>
                <w:highlight w:val="none"/>
                <w:lang w:eastAsia="zh-CN"/>
              </w:rPr>
              <w:t>危废贮存库</w:t>
            </w:r>
            <w:r>
              <w:rPr>
                <w:rFonts w:hAnsiTheme="minorEastAsia" w:eastAsiaTheme="minorEastAsia"/>
                <w:color w:val="auto"/>
                <w:sz w:val="24"/>
                <w:highlight w:val="none"/>
              </w:rPr>
              <w:t>，</w:t>
            </w:r>
            <w:r>
              <w:rPr>
                <w:rFonts w:hint="eastAsia" w:hAnsiTheme="minorEastAsia" w:eastAsiaTheme="minorEastAsia"/>
                <w:color w:val="auto"/>
                <w:sz w:val="24"/>
                <w:highlight w:val="none"/>
              </w:rPr>
              <w:t>定期</w:t>
            </w:r>
            <w:r>
              <w:rPr>
                <w:rFonts w:hint="eastAsia" w:hAnsiTheme="minorEastAsia" w:eastAsiaTheme="minorEastAsia"/>
                <w:color w:val="auto"/>
                <w:sz w:val="24"/>
                <w:highlight w:val="none"/>
                <w:lang w:eastAsia="zh-CN"/>
              </w:rPr>
              <w:t>交由</w:t>
            </w:r>
            <w:r>
              <w:rPr>
                <w:rFonts w:hAnsiTheme="minorEastAsia" w:eastAsiaTheme="minorEastAsia"/>
                <w:color w:val="auto"/>
                <w:sz w:val="24"/>
                <w:highlight w:val="none"/>
              </w:rPr>
              <w:t>资质单位处置。</w:t>
            </w:r>
          </w:p>
          <w:p w14:paraId="03FF58EA">
            <w:pPr>
              <w:pStyle w:val="33"/>
              <w:spacing w:after="0" w:line="500" w:lineRule="exact"/>
              <w:ind w:left="0" w:leftChars="0" w:firstLine="480"/>
              <w:rPr>
                <w:bCs/>
                <w:color w:val="auto"/>
                <w:sz w:val="24"/>
                <w:highlight w:val="none"/>
              </w:rPr>
            </w:pPr>
            <w:r>
              <w:rPr>
                <w:bCs/>
                <w:color w:val="auto"/>
                <w:sz w:val="24"/>
                <w:highlight w:val="none"/>
              </w:rPr>
              <w:t>（</w:t>
            </w:r>
            <w:r>
              <w:rPr>
                <w:rFonts w:hint="eastAsia"/>
                <w:bCs/>
                <w:color w:val="auto"/>
                <w:sz w:val="24"/>
                <w:highlight w:val="none"/>
                <w:lang w:val="en-US" w:eastAsia="zh-CN"/>
              </w:rPr>
              <w:t>7</w:t>
            </w:r>
            <w:r>
              <w:rPr>
                <w:bCs/>
                <w:color w:val="auto"/>
                <w:sz w:val="24"/>
                <w:highlight w:val="none"/>
              </w:rPr>
              <w:t>）废</w:t>
            </w:r>
            <w:r>
              <w:rPr>
                <w:rFonts w:hint="eastAsia"/>
                <w:bCs/>
                <w:color w:val="auto"/>
                <w:sz w:val="24"/>
                <w:highlight w:val="none"/>
              </w:rPr>
              <w:t>机油</w:t>
            </w:r>
          </w:p>
          <w:p w14:paraId="4F51EF33">
            <w:pPr>
              <w:pStyle w:val="33"/>
              <w:spacing w:after="0" w:line="500" w:lineRule="exact"/>
              <w:ind w:left="0" w:leftChars="0" w:firstLine="480"/>
              <w:rPr>
                <w:bCs/>
                <w:color w:val="auto"/>
                <w:sz w:val="24"/>
                <w:highlight w:val="none"/>
              </w:rPr>
            </w:pPr>
            <w:r>
              <w:rPr>
                <w:color w:val="auto"/>
                <w:sz w:val="24"/>
                <w:highlight w:val="none"/>
              </w:rPr>
              <w:t>项目</w:t>
            </w:r>
            <w:r>
              <w:rPr>
                <w:rFonts w:hint="eastAsia"/>
                <w:color w:val="auto"/>
                <w:sz w:val="24"/>
                <w:highlight w:val="none"/>
              </w:rPr>
              <w:t>生产设备</w:t>
            </w:r>
            <w:r>
              <w:rPr>
                <w:color w:val="auto"/>
                <w:sz w:val="24"/>
                <w:highlight w:val="none"/>
              </w:rPr>
              <w:t>需定期更换的废</w:t>
            </w:r>
            <w:r>
              <w:rPr>
                <w:rFonts w:hint="eastAsia"/>
                <w:color w:val="auto"/>
                <w:sz w:val="24"/>
                <w:highlight w:val="none"/>
              </w:rPr>
              <w:t>机油</w:t>
            </w:r>
            <w:r>
              <w:rPr>
                <w:color w:val="auto"/>
                <w:sz w:val="24"/>
                <w:highlight w:val="none"/>
              </w:rPr>
              <w:t>，</w:t>
            </w:r>
            <w:r>
              <w:rPr>
                <w:rFonts w:hint="eastAsia"/>
                <w:color w:val="auto"/>
                <w:sz w:val="24"/>
                <w:highlight w:val="none"/>
              </w:rPr>
              <w:t>更换</w:t>
            </w:r>
            <w:r>
              <w:rPr>
                <w:color w:val="auto"/>
                <w:sz w:val="24"/>
                <w:highlight w:val="none"/>
              </w:rPr>
              <w:t>量</w:t>
            </w:r>
            <w:r>
              <w:rPr>
                <w:rFonts w:hint="eastAsia"/>
                <w:color w:val="auto"/>
                <w:sz w:val="24"/>
                <w:highlight w:val="none"/>
              </w:rPr>
              <w:t>为</w:t>
            </w:r>
            <w:r>
              <w:rPr>
                <w:color w:val="auto"/>
                <w:sz w:val="24"/>
                <w:highlight w:val="none"/>
              </w:rPr>
              <w:t>0.1t/a，根据《国家危险废物名录》（202</w:t>
            </w:r>
            <w:r>
              <w:rPr>
                <w:rFonts w:hint="eastAsia"/>
                <w:color w:val="auto"/>
                <w:sz w:val="24"/>
                <w:highlight w:val="none"/>
                <w:lang w:val="en-US" w:eastAsia="zh-CN"/>
              </w:rPr>
              <w:t>5</w:t>
            </w:r>
            <w:r>
              <w:rPr>
                <w:color w:val="auto"/>
                <w:sz w:val="24"/>
                <w:highlight w:val="none"/>
              </w:rPr>
              <w:t>年版）</w:t>
            </w:r>
            <w:r>
              <w:rPr>
                <w:rFonts w:hint="eastAsia"/>
                <w:color w:val="auto"/>
                <w:sz w:val="24"/>
                <w:highlight w:val="none"/>
              </w:rPr>
              <w:t>可知</w:t>
            </w:r>
            <w:r>
              <w:rPr>
                <w:color w:val="auto"/>
                <w:sz w:val="24"/>
                <w:highlight w:val="none"/>
              </w:rPr>
              <w:t>：废</w:t>
            </w:r>
            <w:r>
              <w:rPr>
                <w:rFonts w:hint="eastAsia"/>
                <w:color w:val="auto"/>
                <w:sz w:val="24"/>
                <w:highlight w:val="none"/>
              </w:rPr>
              <w:t>机油</w:t>
            </w:r>
            <w:r>
              <w:rPr>
                <w:color w:val="auto"/>
                <w:sz w:val="24"/>
                <w:highlight w:val="none"/>
              </w:rPr>
              <w:t>属于HW08</w:t>
            </w:r>
            <w:r>
              <w:rPr>
                <w:color w:val="auto"/>
                <w:kern w:val="0"/>
                <w:sz w:val="24"/>
                <w:highlight w:val="none"/>
              </w:rPr>
              <w:t>废矿物油与含矿物油废物</w:t>
            </w:r>
            <w:r>
              <w:rPr>
                <w:color w:val="auto"/>
                <w:sz w:val="24"/>
                <w:highlight w:val="none"/>
              </w:rPr>
              <w:t>，危废代码</w:t>
            </w:r>
            <w:r>
              <w:rPr>
                <w:color w:val="auto"/>
                <w:kern w:val="0"/>
                <w:sz w:val="24"/>
                <w:highlight w:val="none"/>
              </w:rPr>
              <w:t>900-</w:t>
            </w:r>
            <w:r>
              <w:rPr>
                <w:rFonts w:hint="eastAsia"/>
                <w:color w:val="auto"/>
                <w:kern w:val="0"/>
                <w:sz w:val="24"/>
                <w:highlight w:val="none"/>
              </w:rPr>
              <w:t>214-08（车辆、轮船及其它机械维修过程中产生的废发动机油、制动器油、自动变速器油、齿轮油等废润滑油）</w:t>
            </w:r>
            <w:r>
              <w:rPr>
                <w:rFonts w:hint="eastAsia"/>
                <w:color w:val="auto"/>
                <w:sz w:val="24"/>
                <w:highlight w:val="none"/>
              </w:rPr>
              <w:t>。废机油</w:t>
            </w:r>
            <w:r>
              <w:rPr>
                <w:bCs/>
                <w:color w:val="auto"/>
                <w:sz w:val="24"/>
                <w:highlight w:val="none"/>
              </w:rPr>
              <w:t>分类、分区</w:t>
            </w:r>
            <w:r>
              <w:rPr>
                <w:rFonts w:hint="eastAsia"/>
                <w:bCs/>
                <w:color w:val="auto"/>
                <w:sz w:val="24"/>
                <w:highlight w:val="none"/>
              </w:rPr>
              <w:t>暂存于</w:t>
            </w:r>
            <w:r>
              <w:rPr>
                <w:rFonts w:hint="eastAsia"/>
                <w:bCs/>
                <w:color w:val="auto"/>
                <w:sz w:val="24"/>
                <w:highlight w:val="none"/>
                <w:lang w:eastAsia="zh-CN"/>
              </w:rPr>
              <w:t>危废贮存库</w:t>
            </w:r>
            <w:r>
              <w:rPr>
                <w:rFonts w:hint="eastAsia"/>
                <w:bCs/>
                <w:color w:val="auto"/>
                <w:sz w:val="24"/>
                <w:highlight w:val="none"/>
              </w:rPr>
              <w:t>，定期</w:t>
            </w:r>
            <w:r>
              <w:rPr>
                <w:rFonts w:hint="eastAsia"/>
                <w:bCs/>
                <w:color w:val="auto"/>
                <w:sz w:val="24"/>
                <w:highlight w:val="none"/>
                <w:lang w:eastAsia="zh-CN"/>
              </w:rPr>
              <w:t>交由</w:t>
            </w:r>
            <w:r>
              <w:rPr>
                <w:rFonts w:hint="eastAsia"/>
                <w:bCs/>
                <w:color w:val="auto"/>
                <w:sz w:val="24"/>
                <w:highlight w:val="none"/>
              </w:rPr>
              <w:t>资质单位处置。</w:t>
            </w:r>
          </w:p>
          <w:p w14:paraId="3E4EB660">
            <w:pPr>
              <w:pStyle w:val="33"/>
              <w:spacing w:after="0" w:line="500" w:lineRule="exact"/>
              <w:ind w:left="0" w:leftChars="0" w:firstLine="480"/>
              <w:rPr>
                <w:bCs/>
                <w:color w:val="auto"/>
                <w:sz w:val="24"/>
                <w:highlight w:val="none"/>
              </w:rPr>
            </w:pPr>
            <w:bookmarkStart w:id="13" w:name="OLE_LINK3"/>
            <w:r>
              <w:rPr>
                <w:bCs/>
                <w:color w:val="auto"/>
                <w:sz w:val="24"/>
                <w:highlight w:val="none"/>
              </w:rPr>
              <w:t>本项目运营期固体废弃物产生情况见表</w:t>
            </w:r>
            <w:r>
              <w:rPr>
                <w:rFonts w:hint="eastAsia"/>
                <w:bCs/>
                <w:color w:val="auto"/>
                <w:sz w:val="24"/>
                <w:highlight w:val="none"/>
                <w:lang w:val="en-US" w:eastAsia="zh-CN"/>
              </w:rPr>
              <w:t>4-16</w:t>
            </w:r>
            <w:r>
              <w:rPr>
                <w:bCs/>
                <w:color w:val="auto"/>
                <w:sz w:val="24"/>
                <w:highlight w:val="none"/>
              </w:rPr>
              <w:t>。</w:t>
            </w:r>
            <w:bookmarkEnd w:id="13"/>
          </w:p>
          <w:p w14:paraId="49C44BEE">
            <w:pPr>
              <w:pStyle w:val="33"/>
              <w:spacing w:after="0" w:line="500" w:lineRule="exact"/>
              <w:ind w:left="0" w:leftChars="0" w:firstLine="0" w:firstLineChars="0"/>
              <w:jc w:val="center"/>
              <w:rPr>
                <w:b/>
                <w:color w:val="auto"/>
                <w:szCs w:val="21"/>
                <w:highlight w:val="none"/>
              </w:rPr>
            </w:pPr>
            <w:r>
              <w:rPr>
                <w:rFonts w:hAnsi="宋体"/>
                <w:b/>
                <w:color w:val="auto"/>
                <w:szCs w:val="21"/>
                <w:highlight w:val="none"/>
              </w:rPr>
              <w:t>表</w:t>
            </w:r>
            <w:r>
              <w:rPr>
                <w:rFonts w:hint="eastAsia" w:hAnsi="宋体"/>
                <w:b/>
                <w:color w:val="auto"/>
                <w:szCs w:val="21"/>
                <w:highlight w:val="none"/>
                <w:lang w:val="en-US" w:eastAsia="zh-CN"/>
              </w:rPr>
              <w:t>4-16</w:t>
            </w:r>
            <w:r>
              <w:rPr>
                <w:b/>
                <w:bCs/>
                <w:color w:val="auto"/>
                <w:szCs w:val="21"/>
                <w:highlight w:val="none"/>
              </w:rPr>
              <w:t xml:space="preserve">       </w:t>
            </w:r>
            <w:r>
              <w:rPr>
                <w:rFonts w:hAnsi="宋体"/>
                <w:b/>
                <w:color w:val="auto"/>
                <w:szCs w:val="21"/>
                <w:highlight w:val="none"/>
              </w:rPr>
              <w:t>项目固体废弃物产生情况汇总表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868"/>
              <w:gridCol w:w="1247"/>
              <w:gridCol w:w="1194"/>
              <w:gridCol w:w="2074"/>
              <w:gridCol w:w="1245"/>
            </w:tblGrid>
            <w:tr w14:paraId="25AD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ign w:val="center"/>
                </w:tcPr>
                <w:p w14:paraId="2ECE3F41">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序号</w:t>
                  </w:r>
                </w:p>
              </w:tc>
              <w:tc>
                <w:tcPr>
                  <w:tcW w:w="1125" w:type="pct"/>
                  <w:noWrap/>
                  <w:vAlign w:val="center"/>
                </w:tcPr>
                <w:p w14:paraId="0FCA8FC7">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固体废弃物名称</w:t>
                  </w:r>
                </w:p>
              </w:tc>
              <w:tc>
                <w:tcPr>
                  <w:tcW w:w="751" w:type="pct"/>
                  <w:noWrap/>
                  <w:vAlign w:val="center"/>
                </w:tcPr>
                <w:p w14:paraId="4A882206">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产生工序</w:t>
                  </w:r>
                </w:p>
              </w:tc>
              <w:tc>
                <w:tcPr>
                  <w:tcW w:w="719" w:type="pct"/>
                  <w:noWrap/>
                  <w:vAlign w:val="center"/>
                </w:tcPr>
                <w:p w14:paraId="5B894647">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形态</w:t>
                  </w:r>
                </w:p>
              </w:tc>
              <w:tc>
                <w:tcPr>
                  <w:tcW w:w="1249" w:type="pct"/>
                  <w:noWrap/>
                  <w:vAlign w:val="center"/>
                </w:tcPr>
                <w:p w14:paraId="3B997C68">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主要成分</w:t>
                  </w:r>
                </w:p>
              </w:tc>
              <w:tc>
                <w:tcPr>
                  <w:tcW w:w="749" w:type="pct"/>
                  <w:noWrap/>
                  <w:vAlign w:val="center"/>
                </w:tcPr>
                <w:p w14:paraId="28EC9A9C">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产生量</w:t>
                  </w:r>
                </w:p>
              </w:tc>
            </w:tr>
            <w:tr w14:paraId="1C4B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ign w:val="center"/>
                </w:tcPr>
                <w:p w14:paraId="7E6C3766">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1</w:t>
                  </w:r>
                </w:p>
              </w:tc>
              <w:tc>
                <w:tcPr>
                  <w:tcW w:w="1125" w:type="pct"/>
                  <w:noWrap/>
                  <w:vAlign w:val="center"/>
                </w:tcPr>
                <w:p w14:paraId="7DFFCA82">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边角料及残次品</w:t>
                  </w:r>
                </w:p>
              </w:tc>
              <w:tc>
                <w:tcPr>
                  <w:tcW w:w="751" w:type="pct"/>
                  <w:noWrap/>
                  <w:vAlign w:val="center"/>
                </w:tcPr>
                <w:p w14:paraId="0248C530">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eastAsia" w:ascii="Times New Roman" w:hAnsi="Times New Roman" w:eastAsia="宋体" w:cs="Times New Roman"/>
                      <w:bCs/>
                      <w:color w:val="auto"/>
                      <w:szCs w:val="21"/>
                      <w:highlight w:val="none"/>
                      <w:lang w:val="en-US" w:eastAsia="zh-CN"/>
                    </w:rPr>
                    <w:t>检验、</w:t>
                  </w:r>
                  <w:r>
                    <w:rPr>
                      <w:rFonts w:hint="default" w:ascii="Times New Roman" w:hAnsi="Times New Roman" w:eastAsia="宋体" w:cs="Times New Roman"/>
                      <w:bCs/>
                      <w:color w:val="auto"/>
                      <w:szCs w:val="21"/>
                      <w:highlight w:val="none"/>
                    </w:rPr>
                    <w:t>裁剪</w:t>
                  </w:r>
                </w:p>
              </w:tc>
              <w:tc>
                <w:tcPr>
                  <w:tcW w:w="719" w:type="pct"/>
                  <w:noWrap/>
                  <w:vAlign w:val="center"/>
                </w:tcPr>
                <w:p w14:paraId="5BAE2A4F">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固态</w:t>
                  </w:r>
                </w:p>
              </w:tc>
              <w:tc>
                <w:tcPr>
                  <w:tcW w:w="1249" w:type="pct"/>
                  <w:noWrap/>
                  <w:vAlign w:val="center"/>
                </w:tcPr>
                <w:p w14:paraId="34827B82">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边角料及残次品</w:t>
                  </w:r>
                </w:p>
              </w:tc>
              <w:tc>
                <w:tcPr>
                  <w:tcW w:w="749" w:type="pct"/>
                  <w:noWrap/>
                  <w:vAlign w:val="center"/>
                </w:tcPr>
                <w:p w14:paraId="656C0092">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eastAsia" w:cs="Times New Roman"/>
                      <w:bCs/>
                      <w:color w:val="auto"/>
                      <w:szCs w:val="21"/>
                      <w:highlight w:val="none"/>
                      <w:lang w:val="en-US" w:eastAsia="zh-CN"/>
                    </w:rPr>
                    <w:t>17.866</w:t>
                  </w:r>
                  <w:r>
                    <w:rPr>
                      <w:rFonts w:hint="default" w:ascii="Times New Roman" w:hAnsi="Times New Roman" w:eastAsia="宋体" w:cs="Times New Roman"/>
                      <w:bCs/>
                      <w:color w:val="auto"/>
                      <w:szCs w:val="21"/>
                      <w:highlight w:val="none"/>
                    </w:rPr>
                    <w:t>t/a</w:t>
                  </w:r>
                </w:p>
              </w:tc>
            </w:tr>
            <w:tr w14:paraId="7BF9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ign w:val="center"/>
                </w:tcPr>
                <w:p w14:paraId="15A3248A">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2</w:t>
                  </w:r>
                </w:p>
              </w:tc>
              <w:tc>
                <w:tcPr>
                  <w:tcW w:w="1125" w:type="pct"/>
                  <w:noWrap/>
                  <w:vAlign w:val="center"/>
                </w:tcPr>
                <w:p w14:paraId="678DC3B3">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原材料废包装</w:t>
                  </w:r>
                </w:p>
              </w:tc>
              <w:tc>
                <w:tcPr>
                  <w:tcW w:w="751" w:type="pct"/>
                  <w:noWrap/>
                  <w:vAlign w:val="center"/>
                </w:tcPr>
                <w:p w14:paraId="36100C84">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拆包装</w:t>
                  </w:r>
                </w:p>
              </w:tc>
              <w:tc>
                <w:tcPr>
                  <w:tcW w:w="719" w:type="pct"/>
                  <w:noWrap/>
                  <w:vAlign w:val="center"/>
                </w:tcPr>
                <w:p w14:paraId="762350BF">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固态</w:t>
                  </w:r>
                </w:p>
              </w:tc>
              <w:tc>
                <w:tcPr>
                  <w:tcW w:w="1249" w:type="pct"/>
                  <w:noWrap/>
                  <w:vAlign w:val="center"/>
                </w:tcPr>
                <w:p w14:paraId="626351BE">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废包装</w:t>
                  </w:r>
                </w:p>
              </w:tc>
              <w:tc>
                <w:tcPr>
                  <w:tcW w:w="749" w:type="pct"/>
                  <w:noWrap/>
                  <w:vAlign w:val="center"/>
                </w:tcPr>
                <w:p w14:paraId="60EF3CFD">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eastAsia" w:ascii="Times New Roman" w:hAnsi="Times New Roman" w:eastAsia="宋体" w:cs="Times New Roman"/>
                      <w:bCs/>
                      <w:color w:val="auto"/>
                      <w:szCs w:val="21"/>
                      <w:highlight w:val="none"/>
                      <w:lang w:val="en-US" w:eastAsia="zh-CN"/>
                    </w:rPr>
                    <w:t>2.5</w:t>
                  </w:r>
                  <w:r>
                    <w:rPr>
                      <w:rFonts w:hint="default" w:ascii="Times New Roman" w:hAnsi="Times New Roman" w:eastAsia="宋体" w:cs="Times New Roman"/>
                      <w:bCs/>
                      <w:color w:val="auto"/>
                      <w:szCs w:val="21"/>
                      <w:highlight w:val="none"/>
                    </w:rPr>
                    <w:t>t/a</w:t>
                  </w:r>
                </w:p>
              </w:tc>
            </w:tr>
            <w:tr w14:paraId="63F8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shd w:val="clear" w:color="auto" w:fill="auto"/>
                  <w:noWrap/>
                  <w:vAlign w:val="center"/>
                </w:tcPr>
                <w:p w14:paraId="4BBC7A05">
                  <w:pPr>
                    <w:pStyle w:val="33"/>
                    <w:spacing w:after="0"/>
                    <w:ind w:left="0" w:lef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Cs w:val="21"/>
                      <w:highlight w:val="none"/>
                    </w:rPr>
                    <w:t>3</w:t>
                  </w:r>
                </w:p>
              </w:tc>
              <w:tc>
                <w:tcPr>
                  <w:tcW w:w="1125" w:type="pct"/>
                  <w:noWrap/>
                  <w:vAlign w:val="center"/>
                </w:tcPr>
                <w:p w14:paraId="244BEA4E">
                  <w:pPr>
                    <w:pStyle w:val="33"/>
                    <w:spacing w:after="0"/>
                    <w:ind w:left="0" w:leftChars="0" w:firstLine="0" w:firstLineChars="0"/>
                    <w:jc w:val="center"/>
                    <w:rPr>
                      <w:rFonts w:hint="eastAsia"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除尘灰</w:t>
                  </w:r>
                </w:p>
              </w:tc>
              <w:tc>
                <w:tcPr>
                  <w:tcW w:w="751" w:type="pct"/>
                  <w:noWrap/>
                  <w:vAlign w:val="center"/>
                </w:tcPr>
                <w:p w14:paraId="303EEB47">
                  <w:pPr>
                    <w:pStyle w:val="33"/>
                    <w:spacing w:after="0"/>
                    <w:ind w:left="0" w:leftChars="0" w:firstLine="0" w:firstLineChars="0"/>
                    <w:jc w:val="center"/>
                    <w:rPr>
                      <w:rFonts w:hint="eastAsia"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废气处置</w:t>
                  </w:r>
                </w:p>
              </w:tc>
              <w:tc>
                <w:tcPr>
                  <w:tcW w:w="719" w:type="pct"/>
                  <w:noWrap/>
                  <w:vAlign w:val="center"/>
                </w:tcPr>
                <w:p w14:paraId="29987432">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固态</w:t>
                  </w:r>
                </w:p>
              </w:tc>
              <w:tc>
                <w:tcPr>
                  <w:tcW w:w="1249" w:type="pct"/>
                  <w:noWrap/>
                  <w:vAlign w:val="center"/>
                </w:tcPr>
                <w:p w14:paraId="28DE0FC2">
                  <w:pPr>
                    <w:pStyle w:val="33"/>
                    <w:spacing w:after="0"/>
                    <w:ind w:left="0" w:leftChars="0" w:firstLine="0" w:firstLineChars="0"/>
                    <w:jc w:val="center"/>
                    <w:rPr>
                      <w:rFonts w:hint="eastAsia"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颗粒物</w:t>
                  </w:r>
                </w:p>
              </w:tc>
              <w:tc>
                <w:tcPr>
                  <w:tcW w:w="749" w:type="pct"/>
                  <w:noWrap/>
                  <w:vAlign w:val="center"/>
                </w:tcPr>
                <w:p w14:paraId="0E69958B">
                  <w:pPr>
                    <w:pStyle w:val="33"/>
                    <w:spacing w:after="0"/>
                    <w:ind w:left="0" w:leftChars="0" w:firstLine="0" w:firstLineChars="0"/>
                    <w:jc w:val="center"/>
                    <w:rPr>
                      <w:rFonts w:hint="default" w:cs="Times New Roman"/>
                      <w:bCs/>
                      <w:color w:val="auto"/>
                      <w:szCs w:val="21"/>
                      <w:highlight w:val="none"/>
                      <w:lang w:val="en-US" w:eastAsia="zh-CN"/>
                    </w:rPr>
                  </w:pPr>
                  <w:r>
                    <w:rPr>
                      <w:rFonts w:hint="eastAsia" w:cs="Times New Roman"/>
                      <w:bCs/>
                      <w:color w:val="auto"/>
                      <w:szCs w:val="21"/>
                      <w:highlight w:val="none"/>
                      <w:lang w:val="en-US" w:eastAsia="zh-CN"/>
                    </w:rPr>
                    <w:t>10.692t/a</w:t>
                  </w:r>
                </w:p>
              </w:tc>
            </w:tr>
            <w:tr w14:paraId="1ED36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shd w:val="clear" w:color="auto" w:fill="auto"/>
                  <w:noWrap/>
                  <w:vAlign w:val="center"/>
                </w:tcPr>
                <w:p w14:paraId="575058BE">
                  <w:pPr>
                    <w:pStyle w:val="33"/>
                    <w:spacing w:after="0"/>
                    <w:ind w:left="0" w:lef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Cs w:val="21"/>
                      <w:highlight w:val="none"/>
                    </w:rPr>
                    <w:t>4</w:t>
                  </w:r>
                </w:p>
              </w:tc>
              <w:tc>
                <w:tcPr>
                  <w:tcW w:w="1125" w:type="pct"/>
                  <w:noWrap/>
                  <w:vAlign w:val="center"/>
                </w:tcPr>
                <w:p w14:paraId="24B8933F">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生活垃圾</w:t>
                  </w:r>
                </w:p>
              </w:tc>
              <w:tc>
                <w:tcPr>
                  <w:tcW w:w="751" w:type="pct"/>
                  <w:noWrap/>
                  <w:vAlign w:val="center"/>
                </w:tcPr>
                <w:p w14:paraId="60D9E18E">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员工生活</w:t>
                  </w:r>
                </w:p>
              </w:tc>
              <w:tc>
                <w:tcPr>
                  <w:tcW w:w="719" w:type="pct"/>
                  <w:noWrap/>
                  <w:vAlign w:val="center"/>
                </w:tcPr>
                <w:p w14:paraId="218B522C">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固态</w:t>
                  </w:r>
                </w:p>
              </w:tc>
              <w:tc>
                <w:tcPr>
                  <w:tcW w:w="1249" w:type="pct"/>
                  <w:noWrap/>
                  <w:vAlign w:val="center"/>
                </w:tcPr>
                <w:p w14:paraId="4F905551">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塑料、纸等</w:t>
                  </w:r>
                </w:p>
              </w:tc>
              <w:tc>
                <w:tcPr>
                  <w:tcW w:w="749" w:type="pct"/>
                  <w:noWrap/>
                  <w:vAlign w:val="center"/>
                </w:tcPr>
                <w:p w14:paraId="352410DC">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eastAsia" w:cs="Times New Roman"/>
                      <w:bCs/>
                      <w:color w:val="auto"/>
                      <w:szCs w:val="21"/>
                      <w:highlight w:val="none"/>
                      <w:lang w:val="en-US" w:eastAsia="zh-CN"/>
                    </w:rPr>
                    <w:t>3</w:t>
                  </w:r>
                  <w:r>
                    <w:rPr>
                      <w:rFonts w:hint="eastAsia" w:ascii="Times New Roman" w:hAnsi="Times New Roman" w:eastAsia="宋体" w:cs="Times New Roman"/>
                      <w:bCs/>
                      <w:color w:val="auto"/>
                      <w:szCs w:val="21"/>
                      <w:highlight w:val="none"/>
                      <w:lang w:val="en-US" w:eastAsia="zh-CN"/>
                    </w:rPr>
                    <w:t>.75</w:t>
                  </w:r>
                  <w:r>
                    <w:rPr>
                      <w:rFonts w:hint="default" w:ascii="Times New Roman" w:hAnsi="Times New Roman" w:eastAsia="宋体" w:cs="Times New Roman"/>
                      <w:bCs/>
                      <w:color w:val="auto"/>
                      <w:szCs w:val="21"/>
                      <w:highlight w:val="none"/>
                    </w:rPr>
                    <w:t>t/a</w:t>
                  </w:r>
                </w:p>
              </w:tc>
            </w:tr>
            <w:tr w14:paraId="3473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shd w:val="clear" w:color="auto" w:fill="auto"/>
                  <w:noWrap/>
                  <w:vAlign w:val="center"/>
                </w:tcPr>
                <w:p w14:paraId="7130E1A0">
                  <w:pPr>
                    <w:pStyle w:val="33"/>
                    <w:spacing w:after="0"/>
                    <w:ind w:left="0" w:lef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Cs w:val="21"/>
                      <w:highlight w:val="none"/>
                    </w:rPr>
                    <w:t>5</w:t>
                  </w:r>
                </w:p>
              </w:tc>
              <w:tc>
                <w:tcPr>
                  <w:tcW w:w="1125" w:type="pct"/>
                  <w:noWrap/>
                  <w:vAlign w:val="center"/>
                </w:tcPr>
                <w:p w14:paraId="18357561">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废活性炭</w:t>
                  </w:r>
                </w:p>
              </w:tc>
              <w:tc>
                <w:tcPr>
                  <w:tcW w:w="751" w:type="pct"/>
                  <w:noWrap/>
                  <w:vAlign w:val="center"/>
                </w:tcPr>
                <w:p w14:paraId="075BAA81">
                  <w:pPr>
                    <w:pStyle w:val="33"/>
                    <w:spacing w:after="0"/>
                    <w:ind w:left="0" w:leftChars="0" w:firstLine="0" w:firstLineChars="0"/>
                    <w:jc w:val="center"/>
                    <w:rPr>
                      <w:rFonts w:hint="default" w:ascii="Times New Roman" w:hAnsi="Times New Roman" w:eastAsia="宋体" w:cs="Times New Roman"/>
                      <w:bCs/>
                      <w:color w:val="auto"/>
                      <w:szCs w:val="21"/>
                      <w:highlight w:val="none"/>
                      <w:lang w:eastAsia="zh-CN"/>
                    </w:rPr>
                  </w:pPr>
                  <w:r>
                    <w:rPr>
                      <w:rFonts w:hint="default" w:ascii="Times New Roman" w:hAnsi="Times New Roman" w:eastAsia="宋体" w:cs="Times New Roman"/>
                      <w:bCs/>
                      <w:color w:val="auto"/>
                      <w:szCs w:val="21"/>
                      <w:highlight w:val="none"/>
                      <w:lang w:eastAsia="zh-CN"/>
                    </w:rPr>
                    <w:t>废气处置</w:t>
                  </w:r>
                </w:p>
              </w:tc>
              <w:tc>
                <w:tcPr>
                  <w:tcW w:w="719" w:type="pct"/>
                  <w:noWrap/>
                  <w:vAlign w:val="center"/>
                </w:tcPr>
                <w:p w14:paraId="2B797D18">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固态</w:t>
                  </w:r>
                </w:p>
              </w:tc>
              <w:tc>
                <w:tcPr>
                  <w:tcW w:w="1249" w:type="pct"/>
                  <w:noWrap/>
                  <w:vAlign w:val="center"/>
                </w:tcPr>
                <w:p w14:paraId="728988B1">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废活性炭</w:t>
                  </w:r>
                </w:p>
              </w:tc>
              <w:tc>
                <w:tcPr>
                  <w:tcW w:w="749" w:type="pct"/>
                  <w:noWrap/>
                  <w:vAlign w:val="center"/>
                </w:tcPr>
                <w:p w14:paraId="23C2C46E">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eastAsia" w:ascii="Times New Roman" w:hAnsi="Times New Roman" w:eastAsia="宋体" w:cs="Times New Roman"/>
                      <w:bCs/>
                      <w:color w:val="auto"/>
                      <w:szCs w:val="21"/>
                      <w:highlight w:val="none"/>
                      <w:lang w:val="en-US" w:eastAsia="zh-CN"/>
                    </w:rPr>
                    <w:t>1.53</w:t>
                  </w:r>
                  <w:r>
                    <w:rPr>
                      <w:rFonts w:hint="default" w:ascii="Times New Roman" w:hAnsi="Times New Roman" w:eastAsia="宋体" w:cs="Times New Roman"/>
                      <w:bCs/>
                      <w:color w:val="auto"/>
                      <w:szCs w:val="21"/>
                      <w:highlight w:val="none"/>
                    </w:rPr>
                    <w:t>t/</w:t>
                  </w:r>
                  <w:r>
                    <w:rPr>
                      <w:rFonts w:hint="eastAsia" w:cs="Times New Roman"/>
                      <w:bCs/>
                      <w:color w:val="auto"/>
                      <w:szCs w:val="21"/>
                      <w:highlight w:val="none"/>
                      <w:lang w:val="en-US" w:eastAsia="zh-CN"/>
                    </w:rPr>
                    <w:t>3</w:t>
                  </w:r>
                  <w:r>
                    <w:rPr>
                      <w:rFonts w:hint="default" w:ascii="Times New Roman" w:hAnsi="Times New Roman" w:eastAsia="宋体" w:cs="Times New Roman"/>
                      <w:bCs/>
                      <w:color w:val="auto"/>
                      <w:szCs w:val="21"/>
                      <w:highlight w:val="none"/>
                    </w:rPr>
                    <w:t>a</w:t>
                  </w:r>
                </w:p>
              </w:tc>
            </w:tr>
            <w:tr w14:paraId="6D7F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shd w:val="clear" w:color="auto" w:fill="auto"/>
                  <w:noWrap/>
                  <w:vAlign w:val="center"/>
                </w:tcPr>
                <w:p w14:paraId="71FE9893">
                  <w:pPr>
                    <w:pStyle w:val="33"/>
                    <w:spacing w:after="0"/>
                    <w:ind w:left="0" w:lef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Cs w:val="21"/>
                      <w:highlight w:val="none"/>
                    </w:rPr>
                    <w:t>6</w:t>
                  </w:r>
                </w:p>
              </w:tc>
              <w:tc>
                <w:tcPr>
                  <w:tcW w:w="1125" w:type="pct"/>
                  <w:noWrap/>
                  <w:vAlign w:val="center"/>
                </w:tcPr>
                <w:p w14:paraId="415F83BA">
                  <w:pPr>
                    <w:pStyle w:val="33"/>
                    <w:spacing w:after="0"/>
                    <w:ind w:left="0" w:leftChars="0" w:firstLine="0" w:firstLineChars="0"/>
                    <w:jc w:val="center"/>
                    <w:rPr>
                      <w:rFonts w:hint="default" w:ascii="Times New Roman" w:hAnsi="Times New Roman" w:eastAsia="宋体" w:cs="Times New Roman"/>
                      <w:bCs/>
                      <w:color w:val="auto"/>
                      <w:szCs w:val="21"/>
                      <w:highlight w:val="none"/>
                      <w:lang w:eastAsia="zh-CN"/>
                    </w:rPr>
                  </w:pPr>
                  <w:r>
                    <w:rPr>
                      <w:rFonts w:hint="default" w:ascii="Times New Roman" w:hAnsi="Times New Roman" w:eastAsia="宋体" w:cs="Times New Roman"/>
                      <w:bCs/>
                      <w:color w:val="auto"/>
                      <w:szCs w:val="21"/>
                      <w:highlight w:val="none"/>
                    </w:rPr>
                    <w:t>废</w:t>
                  </w:r>
                  <w:r>
                    <w:rPr>
                      <w:rFonts w:hint="default" w:ascii="Times New Roman" w:hAnsi="Times New Roman" w:eastAsia="宋体" w:cs="Times New Roman"/>
                      <w:bCs/>
                      <w:color w:val="auto"/>
                      <w:szCs w:val="21"/>
                      <w:highlight w:val="none"/>
                      <w:lang w:eastAsia="zh-CN"/>
                    </w:rPr>
                    <w:t>催化剂</w:t>
                  </w:r>
                </w:p>
              </w:tc>
              <w:tc>
                <w:tcPr>
                  <w:tcW w:w="751" w:type="pct"/>
                  <w:noWrap/>
                  <w:vAlign w:val="center"/>
                </w:tcPr>
                <w:p w14:paraId="52EF290B">
                  <w:pPr>
                    <w:pStyle w:val="33"/>
                    <w:spacing w:after="0"/>
                    <w:ind w:left="0" w:leftChars="0" w:firstLine="0" w:firstLineChars="0"/>
                    <w:jc w:val="center"/>
                    <w:rPr>
                      <w:rFonts w:hint="default" w:ascii="Times New Roman" w:hAnsi="Times New Roman" w:eastAsia="宋体" w:cs="Times New Roman"/>
                      <w:bCs/>
                      <w:color w:val="auto"/>
                      <w:szCs w:val="21"/>
                      <w:highlight w:val="none"/>
                      <w:lang w:eastAsia="zh-CN"/>
                    </w:rPr>
                  </w:pPr>
                  <w:r>
                    <w:rPr>
                      <w:rFonts w:hint="default" w:ascii="Times New Roman" w:hAnsi="Times New Roman" w:eastAsia="宋体" w:cs="Times New Roman"/>
                      <w:bCs/>
                      <w:color w:val="auto"/>
                      <w:szCs w:val="21"/>
                      <w:highlight w:val="none"/>
                      <w:lang w:eastAsia="zh-CN"/>
                    </w:rPr>
                    <w:t>废气处置</w:t>
                  </w:r>
                </w:p>
              </w:tc>
              <w:tc>
                <w:tcPr>
                  <w:tcW w:w="719" w:type="pct"/>
                  <w:noWrap/>
                  <w:vAlign w:val="center"/>
                </w:tcPr>
                <w:p w14:paraId="1513217E">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固态</w:t>
                  </w:r>
                </w:p>
              </w:tc>
              <w:tc>
                <w:tcPr>
                  <w:tcW w:w="1249" w:type="pct"/>
                  <w:noWrap/>
                  <w:vAlign w:val="center"/>
                </w:tcPr>
                <w:p w14:paraId="37698186">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废</w:t>
                  </w:r>
                  <w:r>
                    <w:rPr>
                      <w:rFonts w:hint="default" w:ascii="Times New Roman" w:hAnsi="Times New Roman" w:eastAsia="宋体" w:cs="Times New Roman"/>
                      <w:bCs/>
                      <w:color w:val="auto"/>
                      <w:szCs w:val="21"/>
                      <w:highlight w:val="none"/>
                      <w:lang w:eastAsia="zh-CN"/>
                    </w:rPr>
                    <w:t>催化剂</w:t>
                  </w:r>
                </w:p>
              </w:tc>
              <w:tc>
                <w:tcPr>
                  <w:tcW w:w="749" w:type="pct"/>
                  <w:noWrap/>
                  <w:vAlign w:val="center"/>
                </w:tcPr>
                <w:p w14:paraId="6CF63541">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0.0</w:t>
                  </w:r>
                  <w:r>
                    <w:rPr>
                      <w:rFonts w:hint="eastAsia" w:ascii="Times New Roman" w:hAnsi="Times New Roman" w:eastAsia="宋体" w:cs="Times New Roman"/>
                      <w:bCs/>
                      <w:color w:val="auto"/>
                      <w:szCs w:val="21"/>
                      <w:highlight w:val="none"/>
                      <w:lang w:val="en-US" w:eastAsia="zh-CN"/>
                    </w:rPr>
                    <w:t>3</w:t>
                  </w:r>
                  <w:r>
                    <w:rPr>
                      <w:rFonts w:hint="default" w:ascii="Times New Roman" w:hAnsi="Times New Roman" w:eastAsia="宋体" w:cs="Times New Roman"/>
                      <w:bCs/>
                      <w:color w:val="auto"/>
                      <w:szCs w:val="21"/>
                      <w:highlight w:val="none"/>
                    </w:rPr>
                    <w:t>t/</w:t>
                  </w:r>
                  <w:r>
                    <w:rPr>
                      <w:rFonts w:hint="default" w:ascii="Times New Roman" w:hAnsi="Times New Roman" w:eastAsia="宋体" w:cs="Times New Roman"/>
                      <w:bCs/>
                      <w:color w:val="auto"/>
                      <w:szCs w:val="21"/>
                      <w:highlight w:val="none"/>
                      <w:lang w:val="en-US" w:eastAsia="zh-CN"/>
                    </w:rPr>
                    <w:t>3</w:t>
                  </w:r>
                  <w:r>
                    <w:rPr>
                      <w:rFonts w:hint="default" w:ascii="Times New Roman" w:hAnsi="Times New Roman" w:eastAsia="宋体" w:cs="Times New Roman"/>
                      <w:bCs/>
                      <w:color w:val="auto"/>
                      <w:szCs w:val="21"/>
                      <w:highlight w:val="none"/>
                    </w:rPr>
                    <w:t>a</w:t>
                  </w:r>
                </w:p>
              </w:tc>
            </w:tr>
            <w:tr w14:paraId="65A21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ign w:val="center"/>
                </w:tcPr>
                <w:p w14:paraId="3B460DDA">
                  <w:pPr>
                    <w:pStyle w:val="33"/>
                    <w:spacing w:after="0"/>
                    <w:ind w:left="0" w:leftChars="0" w:firstLine="0" w:firstLineChars="0"/>
                    <w:jc w:val="center"/>
                    <w:rPr>
                      <w:rFonts w:hint="eastAsia" w:ascii="Times New Roman" w:hAnsi="Times New Roman" w:eastAsia="宋体" w:cs="Times New Roman"/>
                      <w:bCs/>
                      <w:color w:val="auto"/>
                      <w:szCs w:val="21"/>
                      <w:highlight w:val="none"/>
                      <w:lang w:eastAsia="zh-CN"/>
                    </w:rPr>
                  </w:pPr>
                  <w:r>
                    <w:rPr>
                      <w:rFonts w:hint="eastAsia" w:cs="Times New Roman"/>
                      <w:bCs/>
                      <w:color w:val="auto"/>
                      <w:szCs w:val="21"/>
                      <w:highlight w:val="none"/>
                      <w:lang w:val="en-US" w:eastAsia="zh-CN"/>
                    </w:rPr>
                    <w:t>7</w:t>
                  </w:r>
                </w:p>
              </w:tc>
              <w:tc>
                <w:tcPr>
                  <w:tcW w:w="1125" w:type="pct"/>
                  <w:noWrap/>
                  <w:vAlign w:val="center"/>
                </w:tcPr>
                <w:p w14:paraId="49DA1134">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废机油</w:t>
                  </w:r>
                </w:p>
              </w:tc>
              <w:tc>
                <w:tcPr>
                  <w:tcW w:w="751" w:type="pct"/>
                  <w:noWrap/>
                  <w:vAlign w:val="center"/>
                </w:tcPr>
                <w:p w14:paraId="411A0730">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设备更换</w:t>
                  </w:r>
                </w:p>
              </w:tc>
              <w:tc>
                <w:tcPr>
                  <w:tcW w:w="719" w:type="pct"/>
                  <w:noWrap/>
                  <w:vAlign w:val="center"/>
                </w:tcPr>
                <w:p w14:paraId="3A77CF39">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固态</w:t>
                  </w:r>
                </w:p>
              </w:tc>
              <w:tc>
                <w:tcPr>
                  <w:tcW w:w="1249" w:type="pct"/>
                  <w:noWrap/>
                  <w:vAlign w:val="center"/>
                </w:tcPr>
                <w:p w14:paraId="1539CA31">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废机油</w:t>
                  </w:r>
                </w:p>
              </w:tc>
              <w:tc>
                <w:tcPr>
                  <w:tcW w:w="749" w:type="pct"/>
                  <w:noWrap/>
                  <w:vAlign w:val="center"/>
                </w:tcPr>
                <w:p w14:paraId="22150448">
                  <w:pPr>
                    <w:pStyle w:val="33"/>
                    <w:spacing w:after="0"/>
                    <w:ind w:left="0" w:leftChars="0" w:firstLine="0" w:firstLineChars="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0.1t/a</w:t>
                  </w:r>
                </w:p>
              </w:tc>
            </w:tr>
          </w:tbl>
          <w:p w14:paraId="2E45E1DC">
            <w:pPr>
              <w:pStyle w:val="33"/>
              <w:spacing w:after="0" w:line="500" w:lineRule="exact"/>
              <w:ind w:left="0" w:leftChars="0" w:firstLine="480"/>
              <w:rPr>
                <w:bCs/>
                <w:color w:val="auto"/>
                <w:sz w:val="24"/>
                <w:highlight w:val="none"/>
              </w:rPr>
            </w:pPr>
            <w:r>
              <w:rPr>
                <w:rFonts w:hint="eastAsia" w:hAnsi="宋体"/>
                <w:bCs/>
                <w:color w:val="auto"/>
                <w:sz w:val="24"/>
                <w:highlight w:val="none"/>
              </w:rPr>
              <w:t>本项目</w:t>
            </w:r>
            <w:r>
              <w:rPr>
                <w:rFonts w:hAnsi="宋体"/>
                <w:bCs/>
                <w:color w:val="auto"/>
                <w:sz w:val="24"/>
                <w:highlight w:val="none"/>
              </w:rPr>
              <w:t>危险废物属性判定见表</w:t>
            </w:r>
            <w:r>
              <w:rPr>
                <w:rFonts w:hint="eastAsia" w:hAnsi="宋体"/>
                <w:bCs/>
                <w:color w:val="auto"/>
                <w:sz w:val="24"/>
                <w:highlight w:val="none"/>
                <w:lang w:val="en-US" w:eastAsia="zh-CN"/>
              </w:rPr>
              <w:t>4-17</w:t>
            </w:r>
            <w:r>
              <w:rPr>
                <w:rFonts w:hAnsi="宋体"/>
                <w:bCs/>
                <w:color w:val="auto"/>
                <w:sz w:val="24"/>
                <w:highlight w:val="none"/>
              </w:rPr>
              <w:t>。</w:t>
            </w:r>
          </w:p>
          <w:p w14:paraId="71471139">
            <w:pPr>
              <w:pStyle w:val="33"/>
              <w:spacing w:after="0" w:line="500" w:lineRule="exact"/>
              <w:ind w:firstLine="0" w:firstLineChars="0"/>
              <w:jc w:val="center"/>
              <w:rPr>
                <w:rFonts w:hAnsi="宋体"/>
                <w:b/>
                <w:color w:val="auto"/>
                <w:szCs w:val="21"/>
                <w:highlight w:val="none"/>
              </w:rPr>
            </w:pPr>
            <w:r>
              <w:rPr>
                <w:rFonts w:hAnsi="宋体"/>
                <w:b/>
                <w:color w:val="auto"/>
                <w:szCs w:val="21"/>
                <w:highlight w:val="none"/>
              </w:rPr>
              <w:t>表</w:t>
            </w:r>
            <w:r>
              <w:rPr>
                <w:rFonts w:hint="eastAsia" w:hAnsi="宋体"/>
                <w:b/>
                <w:color w:val="auto"/>
                <w:szCs w:val="21"/>
                <w:highlight w:val="none"/>
                <w:lang w:val="en-US" w:eastAsia="zh-CN"/>
              </w:rPr>
              <w:t>4-17</w:t>
            </w:r>
            <w:r>
              <w:rPr>
                <w:b/>
                <w:bCs/>
                <w:color w:val="auto"/>
                <w:szCs w:val="21"/>
                <w:highlight w:val="none"/>
              </w:rPr>
              <w:t xml:space="preserve">       </w:t>
            </w:r>
            <w:r>
              <w:rPr>
                <w:rFonts w:hAnsi="宋体"/>
                <w:b/>
                <w:color w:val="auto"/>
                <w:szCs w:val="21"/>
                <w:highlight w:val="none"/>
              </w:rPr>
              <w:t>项目固体废弃物产生情况汇总表</w:t>
            </w:r>
          </w:p>
          <w:tbl>
            <w:tblPr>
              <w:tblStyle w:val="34"/>
              <w:tblW w:w="83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785"/>
              <w:gridCol w:w="1387"/>
              <w:gridCol w:w="2042"/>
              <w:gridCol w:w="2324"/>
            </w:tblGrid>
            <w:tr w14:paraId="5770E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3" w:type="dxa"/>
                  <w:noWrap/>
                  <w:vAlign w:val="center"/>
                </w:tcPr>
                <w:p w14:paraId="3B604940">
                  <w:pPr>
                    <w:pStyle w:val="33"/>
                    <w:spacing w:after="0"/>
                    <w:ind w:left="0" w:leftChars="0" w:firstLine="0" w:firstLineChars="0"/>
                    <w:jc w:val="center"/>
                    <w:rPr>
                      <w:bCs/>
                      <w:color w:val="auto"/>
                      <w:szCs w:val="21"/>
                      <w:highlight w:val="none"/>
                    </w:rPr>
                  </w:pPr>
                  <w:r>
                    <w:rPr>
                      <w:rFonts w:hAnsi="宋体"/>
                      <w:bCs/>
                      <w:color w:val="auto"/>
                      <w:szCs w:val="21"/>
                      <w:highlight w:val="none"/>
                    </w:rPr>
                    <w:t>序号</w:t>
                  </w:r>
                </w:p>
              </w:tc>
              <w:tc>
                <w:tcPr>
                  <w:tcW w:w="1785" w:type="dxa"/>
                  <w:noWrap/>
                  <w:vAlign w:val="center"/>
                </w:tcPr>
                <w:p w14:paraId="118D1D74">
                  <w:pPr>
                    <w:pStyle w:val="33"/>
                    <w:spacing w:after="0"/>
                    <w:ind w:left="0" w:leftChars="0" w:firstLine="0" w:firstLineChars="0"/>
                    <w:jc w:val="center"/>
                    <w:rPr>
                      <w:bCs/>
                      <w:color w:val="auto"/>
                      <w:szCs w:val="21"/>
                      <w:highlight w:val="none"/>
                    </w:rPr>
                  </w:pPr>
                  <w:r>
                    <w:rPr>
                      <w:rFonts w:hAnsi="宋体"/>
                      <w:bCs/>
                      <w:color w:val="auto"/>
                      <w:szCs w:val="21"/>
                      <w:highlight w:val="none"/>
                    </w:rPr>
                    <w:t>固体废弃物名称</w:t>
                  </w:r>
                </w:p>
              </w:tc>
              <w:tc>
                <w:tcPr>
                  <w:tcW w:w="1387" w:type="dxa"/>
                  <w:noWrap/>
                  <w:vAlign w:val="center"/>
                </w:tcPr>
                <w:p w14:paraId="4F2118BC">
                  <w:pPr>
                    <w:pStyle w:val="33"/>
                    <w:spacing w:after="0"/>
                    <w:ind w:left="0" w:leftChars="0" w:firstLine="0" w:firstLineChars="0"/>
                    <w:jc w:val="center"/>
                    <w:rPr>
                      <w:bCs/>
                      <w:color w:val="auto"/>
                      <w:szCs w:val="21"/>
                      <w:highlight w:val="none"/>
                    </w:rPr>
                  </w:pPr>
                  <w:r>
                    <w:rPr>
                      <w:rFonts w:hAnsi="宋体"/>
                      <w:bCs/>
                      <w:color w:val="auto"/>
                      <w:szCs w:val="21"/>
                      <w:highlight w:val="none"/>
                    </w:rPr>
                    <w:t>产生工序</w:t>
                  </w:r>
                </w:p>
              </w:tc>
              <w:tc>
                <w:tcPr>
                  <w:tcW w:w="2042" w:type="dxa"/>
                  <w:noWrap/>
                  <w:vAlign w:val="center"/>
                </w:tcPr>
                <w:p w14:paraId="3513F893">
                  <w:pPr>
                    <w:pStyle w:val="33"/>
                    <w:spacing w:after="0"/>
                    <w:ind w:left="0" w:leftChars="0" w:firstLine="0" w:firstLineChars="0"/>
                    <w:jc w:val="center"/>
                    <w:rPr>
                      <w:bCs/>
                      <w:color w:val="auto"/>
                      <w:szCs w:val="21"/>
                      <w:highlight w:val="none"/>
                    </w:rPr>
                  </w:pPr>
                  <w:r>
                    <w:rPr>
                      <w:rFonts w:hAnsi="宋体"/>
                      <w:bCs/>
                      <w:color w:val="auto"/>
                      <w:szCs w:val="21"/>
                      <w:highlight w:val="none"/>
                    </w:rPr>
                    <w:t>是否属于危险废物</w:t>
                  </w:r>
                </w:p>
              </w:tc>
              <w:tc>
                <w:tcPr>
                  <w:tcW w:w="2324" w:type="dxa"/>
                  <w:noWrap/>
                  <w:vAlign w:val="center"/>
                </w:tcPr>
                <w:p w14:paraId="70B53432">
                  <w:pPr>
                    <w:pStyle w:val="33"/>
                    <w:spacing w:after="0"/>
                    <w:ind w:left="0" w:leftChars="0" w:firstLine="0" w:firstLineChars="0"/>
                    <w:jc w:val="center"/>
                    <w:rPr>
                      <w:bCs/>
                      <w:color w:val="auto"/>
                      <w:szCs w:val="21"/>
                      <w:highlight w:val="none"/>
                    </w:rPr>
                  </w:pPr>
                  <w:r>
                    <w:rPr>
                      <w:rFonts w:hAnsi="宋体"/>
                      <w:bCs/>
                      <w:color w:val="auto"/>
                      <w:szCs w:val="21"/>
                      <w:highlight w:val="none"/>
                    </w:rPr>
                    <w:t>废物代码</w:t>
                  </w:r>
                </w:p>
              </w:tc>
            </w:tr>
            <w:tr w14:paraId="05DAE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3" w:type="dxa"/>
                  <w:noWrap/>
                  <w:vAlign w:val="center"/>
                </w:tcPr>
                <w:p w14:paraId="2A8FD3E4">
                  <w:pPr>
                    <w:pStyle w:val="33"/>
                    <w:spacing w:after="0"/>
                    <w:ind w:left="0" w:leftChars="0" w:firstLine="0" w:firstLineChars="0"/>
                    <w:jc w:val="center"/>
                    <w:rPr>
                      <w:bCs/>
                      <w:color w:val="auto"/>
                      <w:szCs w:val="21"/>
                      <w:highlight w:val="none"/>
                    </w:rPr>
                  </w:pPr>
                  <w:r>
                    <w:rPr>
                      <w:bCs/>
                      <w:color w:val="auto"/>
                      <w:szCs w:val="21"/>
                      <w:highlight w:val="none"/>
                    </w:rPr>
                    <w:t>1</w:t>
                  </w:r>
                </w:p>
              </w:tc>
              <w:tc>
                <w:tcPr>
                  <w:tcW w:w="1785" w:type="dxa"/>
                  <w:noWrap/>
                  <w:vAlign w:val="center"/>
                </w:tcPr>
                <w:p w14:paraId="02491B69">
                  <w:pPr>
                    <w:pStyle w:val="33"/>
                    <w:spacing w:after="0"/>
                    <w:ind w:left="0" w:leftChars="0" w:firstLine="0" w:firstLineChars="0"/>
                    <w:jc w:val="center"/>
                    <w:rPr>
                      <w:bCs/>
                      <w:color w:val="auto"/>
                      <w:szCs w:val="21"/>
                      <w:highlight w:val="none"/>
                    </w:rPr>
                  </w:pPr>
                  <w:r>
                    <w:rPr>
                      <w:rFonts w:hint="eastAsia" w:hAnsi="宋体"/>
                      <w:bCs/>
                      <w:color w:val="auto"/>
                      <w:szCs w:val="21"/>
                      <w:highlight w:val="none"/>
                    </w:rPr>
                    <w:t>边角料及残次品</w:t>
                  </w:r>
                </w:p>
              </w:tc>
              <w:tc>
                <w:tcPr>
                  <w:tcW w:w="1387" w:type="dxa"/>
                  <w:noWrap/>
                  <w:vAlign w:val="center"/>
                </w:tcPr>
                <w:p w14:paraId="5BC8B166">
                  <w:pPr>
                    <w:pStyle w:val="33"/>
                    <w:spacing w:after="0"/>
                    <w:ind w:left="0" w:leftChars="0" w:firstLine="0" w:firstLineChars="0"/>
                    <w:jc w:val="center"/>
                    <w:rPr>
                      <w:bCs/>
                      <w:color w:val="auto"/>
                      <w:szCs w:val="21"/>
                      <w:highlight w:val="none"/>
                    </w:rPr>
                  </w:pPr>
                  <w:r>
                    <w:rPr>
                      <w:rFonts w:hint="eastAsia"/>
                      <w:bCs/>
                      <w:color w:val="auto"/>
                      <w:szCs w:val="21"/>
                      <w:highlight w:val="none"/>
                      <w:lang w:val="en-US" w:eastAsia="zh-CN"/>
                    </w:rPr>
                    <w:t>检验、</w:t>
                  </w:r>
                  <w:r>
                    <w:rPr>
                      <w:rFonts w:hint="eastAsia"/>
                      <w:bCs/>
                      <w:color w:val="auto"/>
                      <w:szCs w:val="21"/>
                      <w:highlight w:val="none"/>
                    </w:rPr>
                    <w:t>裁剪</w:t>
                  </w:r>
                </w:p>
              </w:tc>
              <w:tc>
                <w:tcPr>
                  <w:tcW w:w="2042" w:type="dxa"/>
                  <w:vMerge w:val="restart"/>
                  <w:noWrap/>
                  <w:vAlign w:val="center"/>
                </w:tcPr>
                <w:p w14:paraId="31BA3374">
                  <w:pPr>
                    <w:pStyle w:val="33"/>
                    <w:spacing w:after="0"/>
                    <w:ind w:left="0" w:leftChars="0" w:firstLine="0" w:firstLineChars="0"/>
                    <w:jc w:val="center"/>
                    <w:rPr>
                      <w:bCs/>
                      <w:color w:val="auto"/>
                      <w:szCs w:val="21"/>
                      <w:highlight w:val="none"/>
                    </w:rPr>
                  </w:pPr>
                  <w:r>
                    <w:rPr>
                      <w:rFonts w:hAnsi="宋体"/>
                      <w:bCs/>
                      <w:color w:val="auto"/>
                      <w:szCs w:val="21"/>
                      <w:highlight w:val="none"/>
                    </w:rPr>
                    <w:t>否</w:t>
                  </w:r>
                </w:p>
              </w:tc>
              <w:tc>
                <w:tcPr>
                  <w:tcW w:w="2324" w:type="dxa"/>
                  <w:noWrap/>
                  <w:vAlign w:val="center"/>
                </w:tcPr>
                <w:p w14:paraId="2509157D">
                  <w:pPr>
                    <w:pStyle w:val="33"/>
                    <w:spacing w:after="0"/>
                    <w:ind w:left="0" w:leftChars="0" w:firstLine="0" w:firstLineChars="0"/>
                    <w:jc w:val="center"/>
                    <w:rPr>
                      <w:bCs/>
                      <w:color w:val="auto"/>
                      <w:szCs w:val="21"/>
                      <w:highlight w:val="none"/>
                    </w:rPr>
                  </w:pPr>
                  <w:r>
                    <w:rPr>
                      <w:rFonts w:hint="default" w:ascii="Times New Roman" w:hAnsi="Times New Roman" w:cs="Times New Roman"/>
                      <w:lang w:val="en-US" w:eastAsia="zh-CN"/>
                    </w:rPr>
                    <w:t>900-001-S17</w:t>
                  </w:r>
                </w:p>
              </w:tc>
            </w:tr>
            <w:tr w14:paraId="4CEA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3" w:type="dxa"/>
                  <w:noWrap/>
                  <w:vAlign w:val="center"/>
                </w:tcPr>
                <w:p w14:paraId="672CB966">
                  <w:pPr>
                    <w:pStyle w:val="33"/>
                    <w:spacing w:after="0"/>
                    <w:ind w:left="0" w:leftChars="0" w:firstLine="0" w:firstLineChars="0"/>
                    <w:jc w:val="center"/>
                    <w:rPr>
                      <w:bCs/>
                      <w:color w:val="auto"/>
                      <w:szCs w:val="21"/>
                      <w:highlight w:val="none"/>
                    </w:rPr>
                  </w:pPr>
                  <w:r>
                    <w:rPr>
                      <w:bCs/>
                      <w:color w:val="auto"/>
                      <w:szCs w:val="21"/>
                      <w:highlight w:val="none"/>
                    </w:rPr>
                    <w:t>2</w:t>
                  </w:r>
                </w:p>
              </w:tc>
              <w:tc>
                <w:tcPr>
                  <w:tcW w:w="1785" w:type="dxa"/>
                  <w:noWrap/>
                  <w:vAlign w:val="center"/>
                </w:tcPr>
                <w:p w14:paraId="78F8BC70">
                  <w:pPr>
                    <w:pStyle w:val="33"/>
                    <w:spacing w:after="0"/>
                    <w:ind w:left="0" w:leftChars="0" w:firstLine="0" w:firstLineChars="0"/>
                    <w:jc w:val="center"/>
                    <w:rPr>
                      <w:rFonts w:hAnsi="宋体"/>
                      <w:bCs/>
                      <w:color w:val="auto"/>
                      <w:szCs w:val="21"/>
                      <w:highlight w:val="none"/>
                    </w:rPr>
                  </w:pPr>
                  <w:r>
                    <w:rPr>
                      <w:rFonts w:hint="eastAsia" w:hAnsi="宋体"/>
                      <w:bCs/>
                      <w:color w:val="auto"/>
                      <w:szCs w:val="21"/>
                      <w:highlight w:val="none"/>
                    </w:rPr>
                    <w:t>原材料废包装</w:t>
                  </w:r>
                </w:p>
              </w:tc>
              <w:tc>
                <w:tcPr>
                  <w:tcW w:w="1387" w:type="dxa"/>
                  <w:noWrap/>
                  <w:vAlign w:val="center"/>
                </w:tcPr>
                <w:p w14:paraId="5DF0C694">
                  <w:pPr>
                    <w:pStyle w:val="33"/>
                    <w:spacing w:after="0"/>
                    <w:ind w:left="0" w:leftChars="0" w:firstLine="0" w:firstLineChars="0"/>
                    <w:jc w:val="center"/>
                    <w:rPr>
                      <w:rFonts w:hAnsi="宋体"/>
                      <w:bCs/>
                      <w:color w:val="auto"/>
                      <w:szCs w:val="21"/>
                      <w:highlight w:val="none"/>
                    </w:rPr>
                  </w:pPr>
                  <w:r>
                    <w:rPr>
                      <w:rFonts w:hint="eastAsia"/>
                      <w:bCs/>
                      <w:color w:val="auto"/>
                      <w:szCs w:val="21"/>
                      <w:highlight w:val="none"/>
                    </w:rPr>
                    <w:t>拆包装</w:t>
                  </w:r>
                </w:p>
              </w:tc>
              <w:tc>
                <w:tcPr>
                  <w:tcW w:w="2042" w:type="dxa"/>
                  <w:vMerge w:val="continue"/>
                  <w:noWrap/>
                  <w:vAlign w:val="center"/>
                </w:tcPr>
                <w:p w14:paraId="1029896C">
                  <w:pPr>
                    <w:pStyle w:val="33"/>
                    <w:spacing w:after="0"/>
                    <w:ind w:left="0" w:leftChars="0" w:firstLine="0" w:firstLineChars="0"/>
                    <w:jc w:val="center"/>
                    <w:rPr>
                      <w:bCs/>
                      <w:color w:val="auto"/>
                      <w:szCs w:val="21"/>
                      <w:highlight w:val="none"/>
                    </w:rPr>
                  </w:pPr>
                </w:p>
              </w:tc>
              <w:tc>
                <w:tcPr>
                  <w:tcW w:w="2324" w:type="dxa"/>
                  <w:noWrap/>
                  <w:vAlign w:val="center"/>
                </w:tcPr>
                <w:p w14:paraId="0D7EC979">
                  <w:pPr>
                    <w:pStyle w:val="33"/>
                    <w:spacing w:after="0"/>
                    <w:ind w:left="0" w:leftChars="0" w:firstLine="0" w:firstLineChars="0"/>
                    <w:jc w:val="center"/>
                    <w:rPr>
                      <w:bCs/>
                      <w:color w:val="auto"/>
                      <w:szCs w:val="21"/>
                      <w:highlight w:val="none"/>
                    </w:rPr>
                  </w:pPr>
                  <w:r>
                    <w:rPr>
                      <w:rFonts w:hint="default" w:ascii="Times New Roman" w:hAnsi="Times New Roman" w:cs="Times New Roman"/>
                      <w:lang w:val="en-US" w:eastAsia="zh-CN"/>
                    </w:rPr>
                    <w:t>900-003-S17</w:t>
                  </w:r>
                </w:p>
              </w:tc>
            </w:tr>
            <w:tr w14:paraId="0F7A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3" w:type="dxa"/>
                  <w:shd w:val="clear" w:color="auto" w:fill="auto"/>
                  <w:noWrap/>
                  <w:vAlign w:val="center"/>
                </w:tcPr>
                <w:p w14:paraId="14F36B8D">
                  <w:pPr>
                    <w:pStyle w:val="33"/>
                    <w:spacing w:after="0"/>
                    <w:ind w:left="0" w:lef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Cs w:val="21"/>
                      <w:highlight w:val="none"/>
                    </w:rPr>
                    <w:t>3</w:t>
                  </w:r>
                </w:p>
              </w:tc>
              <w:tc>
                <w:tcPr>
                  <w:tcW w:w="1785" w:type="dxa"/>
                  <w:noWrap/>
                  <w:vAlign w:val="center"/>
                </w:tcPr>
                <w:p w14:paraId="51C16555">
                  <w:pPr>
                    <w:pStyle w:val="33"/>
                    <w:spacing w:after="0"/>
                    <w:ind w:left="0" w:leftChars="0" w:firstLine="0" w:firstLineChars="0"/>
                    <w:jc w:val="center"/>
                    <w:rPr>
                      <w:rFonts w:hint="eastAsia" w:hAnsi="宋体" w:eastAsia="宋体"/>
                      <w:bCs/>
                      <w:color w:val="auto"/>
                      <w:szCs w:val="21"/>
                      <w:highlight w:val="none"/>
                      <w:lang w:val="en-US" w:eastAsia="zh-CN"/>
                    </w:rPr>
                  </w:pPr>
                  <w:r>
                    <w:rPr>
                      <w:rFonts w:hint="eastAsia" w:hAnsi="宋体"/>
                      <w:bCs/>
                      <w:color w:val="auto"/>
                      <w:szCs w:val="21"/>
                      <w:highlight w:val="none"/>
                      <w:lang w:val="en-US" w:eastAsia="zh-CN"/>
                    </w:rPr>
                    <w:t>除尘灰</w:t>
                  </w:r>
                </w:p>
              </w:tc>
              <w:tc>
                <w:tcPr>
                  <w:tcW w:w="1387" w:type="dxa"/>
                  <w:noWrap/>
                  <w:vAlign w:val="center"/>
                </w:tcPr>
                <w:p w14:paraId="5DBCDC6F">
                  <w:pPr>
                    <w:pStyle w:val="33"/>
                    <w:spacing w:after="0"/>
                    <w:ind w:left="0" w:leftChars="0" w:firstLine="0" w:firstLineChars="0"/>
                    <w:jc w:val="center"/>
                    <w:rPr>
                      <w:rFonts w:hAnsi="宋体"/>
                      <w:bCs/>
                      <w:color w:val="auto"/>
                      <w:szCs w:val="21"/>
                      <w:highlight w:val="none"/>
                    </w:rPr>
                  </w:pPr>
                </w:p>
              </w:tc>
              <w:tc>
                <w:tcPr>
                  <w:tcW w:w="2042" w:type="dxa"/>
                  <w:vMerge w:val="continue"/>
                  <w:noWrap/>
                  <w:vAlign w:val="center"/>
                </w:tcPr>
                <w:p w14:paraId="767CF002">
                  <w:pPr>
                    <w:pStyle w:val="33"/>
                    <w:spacing w:after="0"/>
                    <w:ind w:left="0" w:leftChars="0" w:firstLine="0" w:firstLineChars="0"/>
                    <w:jc w:val="center"/>
                    <w:rPr>
                      <w:bCs/>
                      <w:color w:val="auto"/>
                      <w:szCs w:val="21"/>
                      <w:highlight w:val="none"/>
                    </w:rPr>
                  </w:pPr>
                </w:p>
              </w:tc>
              <w:tc>
                <w:tcPr>
                  <w:tcW w:w="2324" w:type="dxa"/>
                  <w:noWrap/>
                  <w:vAlign w:val="center"/>
                </w:tcPr>
                <w:p w14:paraId="77C6DAA9">
                  <w:pPr>
                    <w:pStyle w:val="33"/>
                    <w:spacing w:after="0"/>
                    <w:ind w:left="0" w:leftChars="0" w:firstLine="0" w:firstLineChars="0"/>
                    <w:jc w:val="center"/>
                    <w:rPr>
                      <w:rFonts w:hint="eastAsia"/>
                      <w:bCs/>
                      <w:color w:val="auto"/>
                      <w:szCs w:val="21"/>
                      <w:highlight w:val="none"/>
                    </w:rPr>
                  </w:pPr>
                  <w:r>
                    <w:rPr>
                      <w:rFonts w:hint="default" w:ascii="Times New Roman" w:hAnsi="Times New Roman" w:cs="Times New Roman"/>
                      <w:lang w:val="en-US" w:eastAsia="zh-CN"/>
                    </w:rPr>
                    <w:t>311-004-S01</w:t>
                  </w:r>
                </w:p>
              </w:tc>
            </w:tr>
            <w:tr w14:paraId="429A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3" w:type="dxa"/>
                  <w:shd w:val="clear" w:color="auto" w:fill="auto"/>
                  <w:noWrap/>
                  <w:vAlign w:val="center"/>
                </w:tcPr>
                <w:p w14:paraId="4634F4F1">
                  <w:pPr>
                    <w:pStyle w:val="33"/>
                    <w:spacing w:after="0"/>
                    <w:ind w:left="0" w:lef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Cs w:val="21"/>
                      <w:highlight w:val="none"/>
                    </w:rPr>
                    <w:t>4</w:t>
                  </w:r>
                </w:p>
              </w:tc>
              <w:tc>
                <w:tcPr>
                  <w:tcW w:w="1785" w:type="dxa"/>
                  <w:noWrap/>
                  <w:vAlign w:val="center"/>
                </w:tcPr>
                <w:p w14:paraId="35A3D57B">
                  <w:pPr>
                    <w:pStyle w:val="33"/>
                    <w:spacing w:after="0"/>
                    <w:ind w:left="0" w:leftChars="0" w:firstLine="0" w:firstLineChars="0"/>
                    <w:jc w:val="center"/>
                    <w:rPr>
                      <w:rFonts w:hAnsi="宋体"/>
                      <w:bCs/>
                      <w:color w:val="auto"/>
                      <w:szCs w:val="21"/>
                      <w:highlight w:val="none"/>
                    </w:rPr>
                  </w:pPr>
                  <w:r>
                    <w:rPr>
                      <w:rFonts w:hAnsi="宋体"/>
                      <w:bCs/>
                      <w:color w:val="auto"/>
                      <w:szCs w:val="21"/>
                      <w:highlight w:val="none"/>
                    </w:rPr>
                    <w:t>生活垃圾</w:t>
                  </w:r>
                </w:p>
              </w:tc>
              <w:tc>
                <w:tcPr>
                  <w:tcW w:w="1387" w:type="dxa"/>
                  <w:noWrap/>
                  <w:vAlign w:val="center"/>
                </w:tcPr>
                <w:p w14:paraId="5F4AF9FF">
                  <w:pPr>
                    <w:pStyle w:val="33"/>
                    <w:spacing w:after="0"/>
                    <w:ind w:left="0" w:leftChars="0" w:firstLine="0" w:firstLineChars="0"/>
                    <w:jc w:val="center"/>
                    <w:rPr>
                      <w:rFonts w:hAnsi="宋体"/>
                      <w:bCs/>
                      <w:color w:val="auto"/>
                      <w:szCs w:val="21"/>
                      <w:highlight w:val="none"/>
                    </w:rPr>
                  </w:pPr>
                  <w:r>
                    <w:rPr>
                      <w:rFonts w:hAnsi="宋体"/>
                      <w:bCs/>
                      <w:color w:val="auto"/>
                      <w:szCs w:val="21"/>
                      <w:highlight w:val="none"/>
                    </w:rPr>
                    <w:t>员工生活</w:t>
                  </w:r>
                </w:p>
              </w:tc>
              <w:tc>
                <w:tcPr>
                  <w:tcW w:w="2042" w:type="dxa"/>
                  <w:vMerge w:val="continue"/>
                  <w:noWrap/>
                  <w:vAlign w:val="center"/>
                </w:tcPr>
                <w:p w14:paraId="6998BF11">
                  <w:pPr>
                    <w:pStyle w:val="33"/>
                    <w:spacing w:after="0"/>
                    <w:ind w:left="0" w:leftChars="0" w:firstLine="0" w:firstLineChars="0"/>
                    <w:jc w:val="center"/>
                    <w:rPr>
                      <w:bCs/>
                      <w:color w:val="auto"/>
                      <w:szCs w:val="21"/>
                      <w:highlight w:val="none"/>
                    </w:rPr>
                  </w:pPr>
                </w:p>
              </w:tc>
              <w:tc>
                <w:tcPr>
                  <w:tcW w:w="2324" w:type="dxa"/>
                  <w:noWrap/>
                  <w:vAlign w:val="center"/>
                </w:tcPr>
                <w:p w14:paraId="2DAE2489">
                  <w:pPr>
                    <w:pStyle w:val="33"/>
                    <w:spacing w:after="0"/>
                    <w:ind w:left="0" w:leftChars="0" w:firstLine="0" w:firstLineChars="0"/>
                    <w:jc w:val="center"/>
                    <w:rPr>
                      <w:rFonts w:hint="eastAsia" w:eastAsia="宋体"/>
                      <w:bCs/>
                      <w:color w:val="auto"/>
                      <w:szCs w:val="21"/>
                      <w:highlight w:val="none"/>
                      <w:lang w:eastAsia="zh-CN"/>
                    </w:rPr>
                  </w:pPr>
                  <w:r>
                    <w:rPr>
                      <w:rFonts w:hint="eastAsia"/>
                      <w:bCs/>
                      <w:color w:val="auto"/>
                      <w:szCs w:val="21"/>
                      <w:highlight w:val="none"/>
                      <w:lang w:val="en-US" w:eastAsia="zh-CN"/>
                    </w:rPr>
                    <w:t>/</w:t>
                  </w:r>
                </w:p>
              </w:tc>
            </w:tr>
            <w:tr w14:paraId="50638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3" w:type="dxa"/>
                  <w:shd w:val="clear" w:color="auto" w:fill="auto"/>
                  <w:noWrap/>
                  <w:vAlign w:val="center"/>
                </w:tcPr>
                <w:p w14:paraId="15A02181">
                  <w:pPr>
                    <w:pStyle w:val="33"/>
                    <w:spacing w:after="0"/>
                    <w:ind w:left="0" w:lef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Cs w:val="21"/>
                      <w:highlight w:val="none"/>
                    </w:rPr>
                    <w:t>5</w:t>
                  </w:r>
                </w:p>
              </w:tc>
              <w:tc>
                <w:tcPr>
                  <w:tcW w:w="1785" w:type="dxa"/>
                  <w:noWrap/>
                  <w:vAlign w:val="center"/>
                </w:tcPr>
                <w:p w14:paraId="762F12B1">
                  <w:pPr>
                    <w:pStyle w:val="33"/>
                    <w:spacing w:after="0"/>
                    <w:ind w:left="0" w:leftChars="0" w:firstLine="0" w:firstLineChars="0"/>
                    <w:jc w:val="center"/>
                    <w:rPr>
                      <w:rFonts w:hAnsi="宋体"/>
                      <w:bCs/>
                      <w:color w:val="auto"/>
                      <w:szCs w:val="21"/>
                      <w:highlight w:val="none"/>
                    </w:rPr>
                  </w:pPr>
                  <w:r>
                    <w:rPr>
                      <w:rFonts w:hint="eastAsia"/>
                      <w:bCs/>
                      <w:color w:val="auto"/>
                      <w:szCs w:val="21"/>
                      <w:highlight w:val="none"/>
                    </w:rPr>
                    <w:t>废活性炭</w:t>
                  </w:r>
                </w:p>
              </w:tc>
              <w:tc>
                <w:tcPr>
                  <w:tcW w:w="1387" w:type="dxa"/>
                  <w:noWrap/>
                  <w:vAlign w:val="center"/>
                </w:tcPr>
                <w:p w14:paraId="5E9D716F">
                  <w:pPr>
                    <w:pStyle w:val="33"/>
                    <w:spacing w:after="0"/>
                    <w:ind w:left="0" w:leftChars="0" w:firstLine="0" w:firstLineChars="0"/>
                    <w:jc w:val="center"/>
                    <w:rPr>
                      <w:rFonts w:hint="eastAsia" w:hAnsi="宋体" w:eastAsia="宋体"/>
                      <w:bCs/>
                      <w:color w:val="auto"/>
                      <w:szCs w:val="21"/>
                      <w:highlight w:val="none"/>
                      <w:lang w:eastAsia="zh-CN"/>
                    </w:rPr>
                  </w:pPr>
                  <w:r>
                    <w:rPr>
                      <w:rFonts w:hint="eastAsia"/>
                      <w:bCs/>
                      <w:color w:val="auto"/>
                      <w:szCs w:val="21"/>
                      <w:highlight w:val="none"/>
                      <w:lang w:eastAsia="zh-CN"/>
                    </w:rPr>
                    <w:t>废气处置</w:t>
                  </w:r>
                </w:p>
              </w:tc>
              <w:tc>
                <w:tcPr>
                  <w:tcW w:w="2042" w:type="dxa"/>
                  <w:vMerge w:val="restart"/>
                  <w:noWrap/>
                  <w:vAlign w:val="center"/>
                </w:tcPr>
                <w:p w14:paraId="367B789E">
                  <w:pPr>
                    <w:pStyle w:val="33"/>
                    <w:spacing w:after="0"/>
                    <w:ind w:left="0" w:leftChars="0" w:firstLine="0" w:firstLineChars="0"/>
                    <w:jc w:val="center"/>
                    <w:rPr>
                      <w:bCs/>
                      <w:color w:val="auto"/>
                      <w:szCs w:val="21"/>
                      <w:highlight w:val="none"/>
                    </w:rPr>
                  </w:pPr>
                  <w:r>
                    <w:rPr>
                      <w:rFonts w:hAnsi="宋体"/>
                      <w:bCs/>
                      <w:color w:val="auto"/>
                      <w:szCs w:val="21"/>
                      <w:highlight w:val="none"/>
                    </w:rPr>
                    <w:t>是</w:t>
                  </w:r>
                </w:p>
              </w:tc>
              <w:tc>
                <w:tcPr>
                  <w:tcW w:w="2324" w:type="dxa"/>
                  <w:noWrap/>
                  <w:vAlign w:val="center"/>
                </w:tcPr>
                <w:p w14:paraId="706E44D2">
                  <w:pPr>
                    <w:pStyle w:val="33"/>
                    <w:spacing w:after="0"/>
                    <w:ind w:left="0" w:leftChars="0" w:firstLine="0" w:firstLineChars="0"/>
                    <w:jc w:val="center"/>
                    <w:rPr>
                      <w:bCs/>
                      <w:color w:val="auto"/>
                      <w:szCs w:val="21"/>
                      <w:highlight w:val="none"/>
                    </w:rPr>
                  </w:pPr>
                  <w:r>
                    <w:rPr>
                      <w:bCs/>
                      <w:color w:val="auto"/>
                      <w:szCs w:val="21"/>
                      <w:highlight w:val="none"/>
                    </w:rPr>
                    <w:t>HW49</w:t>
                  </w:r>
                  <w:r>
                    <w:rPr>
                      <w:rFonts w:hint="eastAsia"/>
                      <w:bCs/>
                      <w:color w:val="auto"/>
                      <w:szCs w:val="21"/>
                      <w:highlight w:val="none"/>
                    </w:rPr>
                    <w:t>，</w:t>
                  </w:r>
                  <w:r>
                    <w:rPr>
                      <w:bCs/>
                      <w:color w:val="auto"/>
                      <w:szCs w:val="21"/>
                      <w:highlight w:val="none"/>
                    </w:rPr>
                    <w:t>900-039-49</w:t>
                  </w:r>
                </w:p>
              </w:tc>
            </w:tr>
            <w:tr w14:paraId="42BB5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3" w:type="dxa"/>
                  <w:shd w:val="clear" w:color="auto" w:fill="auto"/>
                  <w:noWrap/>
                  <w:vAlign w:val="center"/>
                </w:tcPr>
                <w:p w14:paraId="2E675A7E">
                  <w:pPr>
                    <w:pStyle w:val="33"/>
                    <w:spacing w:after="0"/>
                    <w:ind w:left="0" w:lef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Cs w:val="21"/>
                      <w:highlight w:val="none"/>
                    </w:rPr>
                    <w:t>6</w:t>
                  </w:r>
                </w:p>
              </w:tc>
              <w:tc>
                <w:tcPr>
                  <w:tcW w:w="1785" w:type="dxa"/>
                  <w:noWrap/>
                  <w:vAlign w:val="center"/>
                </w:tcPr>
                <w:p w14:paraId="471EBD1D">
                  <w:pPr>
                    <w:pStyle w:val="33"/>
                    <w:spacing w:after="0"/>
                    <w:ind w:left="0" w:leftChars="0" w:firstLine="0" w:firstLineChars="0"/>
                    <w:jc w:val="center"/>
                    <w:rPr>
                      <w:bCs/>
                      <w:color w:val="auto"/>
                      <w:szCs w:val="21"/>
                      <w:highlight w:val="none"/>
                    </w:rPr>
                  </w:pPr>
                  <w:r>
                    <w:rPr>
                      <w:rFonts w:hint="eastAsia"/>
                      <w:bCs/>
                      <w:color w:val="auto"/>
                      <w:szCs w:val="21"/>
                      <w:highlight w:val="none"/>
                    </w:rPr>
                    <w:t>废催化剂</w:t>
                  </w:r>
                </w:p>
              </w:tc>
              <w:tc>
                <w:tcPr>
                  <w:tcW w:w="1387" w:type="dxa"/>
                  <w:noWrap/>
                  <w:vAlign w:val="center"/>
                </w:tcPr>
                <w:p w14:paraId="5162D874">
                  <w:pPr>
                    <w:pStyle w:val="33"/>
                    <w:spacing w:after="0"/>
                    <w:ind w:left="0" w:leftChars="0" w:firstLine="0" w:firstLineChars="0"/>
                    <w:jc w:val="center"/>
                    <w:rPr>
                      <w:bCs/>
                      <w:color w:val="auto"/>
                      <w:szCs w:val="21"/>
                      <w:highlight w:val="none"/>
                    </w:rPr>
                  </w:pPr>
                  <w:r>
                    <w:rPr>
                      <w:rFonts w:hint="eastAsia"/>
                      <w:bCs/>
                      <w:color w:val="auto"/>
                      <w:szCs w:val="21"/>
                      <w:highlight w:val="none"/>
                      <w:lang w:eastAsia="zh-CN"/>
                    </w:rPr>
                    <w:t>废气处置</w:t>
                  </w:r>
                </w:p>
              </w:tc>
              <w:tc>
                <w:tcPr>
                  <w:tcW w:w="2042" w:type="dxa"/>
                  <w:vMerge w:val="continue"/>
                  <w:noWrap/>
                  <w:vAlign w:val="center"/>
                </w:tcPr>
                <w:p w14:paraId="38E3925E">
                  <w:pPr>
                    <w:pStyle w:val="33"/>
                    <w:spacing w:after="0"/>
                    <w:ind w:left="0" w:leftChars="0" w:firstLine="0" w:firstLineChars="0"/>
                    <w:jc w:val="center"/>
                    <w:rPr>
                      <w:bCs/>
                      <w:color w:val="auto"/>
                      <w:szCs w:val="21"/>
                      <w:highlight w:val="none"/>
                    </w:rPr>
                  </w:pPr>
                </w:p>
              </w:tc>
              <w:tc>
                <w:tcPr>
                  <w:tcW w:w="2324" w:type="dxa"/>
                  <w:noWrap/>
                  <w:vAlign w:val="center"/>
                </w:tcPr>
                <w:p w14:paraId="67E687EC">
                  <w:pPr>
                    <w:pStyle w:val="33"/>
                    <w:spacing w:after="0"/>
                    <w:ind w:left="0" w:leftChars="0" w:firstLine="0" w:firstLineChars="0"/>
                    <w:jc w:val="center"/>
                    <w:rPr>
                      <w:bCs/>
                      <w:color w:val="auto"/>
                      <w:szCs w:val="21"/>
                      <w:highlight w:val="none"/>
                    </w:rPr>
                  </w:pPr>
                  <w:r>
                    <w:rPr>
                      <w:rFonts w:hint="eastAsia"/>
                      <w:bCs/>
                      <w:color w:val="auto"/>
                      <w:szCs w:val="21"/>
                      <w:highlight w:val="none"/>
                    </w:rPr>
                    <w:t>HW4</w:t>
                  </w:r>
                  <w:r>
                    <w:rPr>
                      <w:rFonts w:hint="eastAsia"/>
                      <w:bCs/>
                      <w:color w:val="auto"/>
                      <w:szCs w:val="21"/>
                      <w:highlight w:val="none"/>
                      <w:lang w:val="en-US" w:eastAsia="zh-CN"/>
                    </w:rPr>
                    <w:t>6</w:t>
                  </w:r>
                  <w:r>
                    <w:rPr>
                      <w:rFonts w:hint="eastAsia"/>
                      <w:bCs/>
                      <w:color w:val="auto"/>
                      <w:szCs w:val="21"/>
                      <w:highlight w:val="none"/>
                    </w:rPr>
                    <w:t>，900-037-46</w:t>
                  </w:r>
                </w:p>
              </w:tc>
            </w:tr>
            <w:tr w14:paraId="74C4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3" w:type="dxa"/>
                  <w:noWrap/>
                  <w:vAlign w:val="center"/>
                </w:tcPr>
                <w:p w14:paraId="552F7DFF">
                  <w:pPr>
                    <w:pStyle w:val="33"/>
                    <w:spacing w:after="0"/>
                    <w:ind w:left="0" w:leftChars="0" w:firstLine="0" w:firstLineChars="0"/>
                    <w:jc w:val="center"/>
                    <w:rPr>
                      <w:rFonts w:hint="eastAsia" w:eastAsia="宋体"/>
                      <w:bCs/>
                      <w:color w:val="auto"/>
                      <w:szCs w:val="21"/>
                      <w:highlight w:val="none"/>
                      <w:lang w:eastAsia="zh-CN"/>
                    </w:rPr>
                  </w:pPr>
                  <w:r>
                    <w:rPr>
                      <w:rFonts w:hint="eastAsia"/>
                      <w:bCs/>
                      <w:color w:val="auto"/>
                      <w:szCs w:val="21"/>
                      <w:highlight w:val="none"/>
                      <w:lang w:val="en-US" w:eastAsia="zh-CN"/>
                    </w:rPr>
                    <w:t>7</w:t>
                  </w:r>
                </w:p>
              </w:tc>
              <w:tc>
                <w:tcPr>
                  <w:tcW w:w="1785" w:type="dxa"/>
                  <w:noWrap/>
                  <w:vAlign w:val="center"/>
                </w:tcPr>
                <w:p w14:paraId="513940CC">
                  <w:pPr>
                    <w:pStyle w:val="33"/>
                    <w:spacing w:after="0"/>
                    <w:ind w:left="0" w:leftChars="0" w:firstLine="0" w:firstLineChars="0"/>
                    <w:jc w:val="center"/>
                    <w:rPr>
                      <w:rFonts w:hAnsi="宋体"/>
                      <w:bCs/>
                      <w:color w:val="auto"/>
                      <w:szCs w:val="21"/>
                      <w:highlight w:val="none"/>
                    </w:rPr>
                  </w:pPr>
                  <w:r>
                    <w:rPr>
                      <w:rFonts w:hint="eastAsia"/>
                      <w:bCs/>
                      <w:color w:val="auto"/>
                      <w:szCs w:val="21"/>
                      <w:highlight w:val="none"/>
                    </w:rPr>
                    <w:t>废机油</w:t>
                  </w:r>
                </w:p>
              </w:tc>
              <w:tc>
                <w:tcPr>
                  <w:tcW w:w="1387" w:type="dxa"/>
                  <w:noWrap/>
                  <w:vAlign w:val="center"/>
                </w:tcPr>
                <w:p w14:paraId="20860BC9">
                  <w:pPr>
                    <w:pStyle w:val="33"/>
                    <w:spacing w:after="0"/>
                    <w:ind w:left="0" w:leftChars="0" w:firstLine="0" w:firstLineChars="0"/>
                    <w:jc w:val="center"/>
                    <w:rPr>
                      <w:rFonts w:hAnsi="宋体"/>
                      <w:bCs/>
                      <w:color w:val="auto"/>
                      <w:szCs w:val="21"/>
                      <w:highlight w:val="none"/>
                    </w:rPr>
                  </w:pPr>
                  <w:r>
                    <w:rPr>
                      <w:rFonts w:hint="eastAsia"/>
                      <w:bCs/>
                      <w:color w:val="auto"/>
                      <w:szCs w:val="21"/>
                      <w:highlight w:val="none"/>
                    </w:rPr>
                    <w:t>设备更换</w:t>
                  </w:r>
                </w:p>
              </w:tc>
              <w:tc>
                <w:tcPr>
                  <w:tcW w:w="2042" w:type="dxa"/>
                  <w:vMerge w:val="continue"/>
                  <w:noWrap/>
                  <w:vAlign w:val="center"/>
                </w:tcPr>
                <w:p w14:paraId="6420831E">
                  <w:pPr>
                    <w:pStyle w:val="33"/>
                    <w:spacing w:after="0"/>
                    <w:ind w:left="0" w:leftChars="0" w:firstLine="0" w:firstLineChars="0"/>
                    <w:jc w:val="center"/>
                    <w:rPr>
                      <w:rFonts w:hAnsi="宋体"/>
                      <w:bCs/>
                      <w:color w:val="auto"/>
                      <w:szCs w:val="21"/>
                      <w:highlight w:val="none"/>
                    </w:rPr>
                  </w:pPr>
                </w:p>
              </w:tc>
              <w:tc>
                <w:tcPr>
                  <w:tcW w:w="2324" w:type="dxa"/>
                  <w:noWrap/>
                  <w:vAlign w:val="center"/>
                </w:tcPr>
                <w:p w14:paraId="2551DA2D">
                  <w:pPr>
                    <w:pStyle w:val="33"/>
                    <w:spacing w:after="0"/>
                    <w:ind w:left="0" w:leftChars="0" w:firstLine="0" w:firstLineChars="0"/>
                    <w:jc w:val="center"/>
                    <w:rPr>
                      <w:bCs/>
                      <w:color w:val="auto"/>
                      <w:szCs w:val="21"/>
                      <w:highlight w:val="none"/>
                    </w:rPr>
                  </w:pPr>
                  <w:r>
                    <w:rPr>
                      <w:color w:val="auto"/>
                      <w:szCs w:val="21"/>
                      <w:highlight w:val="none"/>
                    </w:rPr>
                    <w:t>HW08</w:t>
                  </w:r>
                  <w:r>
                    <w:rPr>
                      <w:rFonts w:hint="eastAsia"/>
                      <w:color w:val="auto"/>
                      <w:szCs w:val="21"/>
                      <w:highlight w:val="none"/>
                    </w:rPr>
                    <w:t>，</w:t>
                  </w:r>
                  <w:r>
                    <w:rPr>
                      <w:color w:val="auto"/>
                      <w:kern w:val="0"/>
                      <w:szCs w:val="21"/>
                      <w:highlight w:val="none"/>
                    </w:rPr>
                    <w:t>900-214-08</w:t>
                  </w:r>
                </w:p>
              </w:tc>
            </w:tr>
          </w:tbl>
          <w:p w14:paraId="3E0E9618">
            <w:pPr>
              <w:pStyle w:val="73"/>
              <w:adjustRightInd/>
              <w:snapToGrid/>
              <w:jc w:val="left"/>
              <w:rPr>
                <w:b/>
                <w:color w:val="auto"/>
                <w:sz w:val="24"/>
                <w:szCs w:val="24"/>
                <w:highlight w:val="none"/>
              </w:rPr>
            </w:pPr>
            <w:r>
              <w:rPr>
                <w:rFonts w:hint="eastAsia"/>
                <w:b/>
                <w:color w:val="auto"/>
                <w:sz w:val="24"/>
                <w:szCs w:val="24"/>
                <w:highlight w:val="none"/>
              </w:rPr>
              <w:t>5.2</w:t>
            </w:r>
            <w:r>
              <w:rPr>
                <w:b/>
                <w:color w:val="auto"/>
                <w:sz w:val="24"/>
                <w:szCs w:val="24"/>
                <w:highlight w:val="none"/>
              </w:rPr>
              <w:t>固体废物环境管理要求</w:t>
            </w:r>
          </w:p>
          <w:p w14:paraId="259022CF">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固体废物污染防治法规定“建设项目的环境影响评价文件确定需要配套建设的固体废物污染环境防治设施，必须与主体工程同时设计、同时施工、同时投入使用。固体废物污染环境防治设施必须经验收合格后，该建设项目方可投入生产或者使用。对固体废物污染环境防治设施的验收应当与对主体工程的验收同时进行”。根据这些规定，本项目固体废物污染环境防治设施必须做到“三同时”。</w:t>
            </w:r>
          </w:p>
          <w:p w14:paraId="4F737D59">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为了进一步降低固体废物的影响，建议建设单位在实践中逐步确定新的废物管理模式，对所有固体废物进行监控管理。</w:t>
            </w:r>
          </w:p>
          <w:p w14:paraId="0D99555E">
            <w:pPr>
              <w:spacing w:line="500" w:lineRule="exact"/>
              <w:ind w:firstLine="480" w:firstLineChars="200"/>
              <w:rPr>
                <w:color w:val="auto"/>
                <w:sz w:val="24"/>
                <w:highlight w:val="none"/>
              </w:rPr>
            </w:pPr>
            <w:r>
              <w:rPr>
                <w:rFonts w:hint="eastAsia"/>
                <w:color w:val="auto"/>
                <w:sz w:val="24"/>
                <w:highlight w:val="none"/>
              </w:rPr>
              <w:t>（1）</w:t>
            </w:r>
            <w:r>
              <w:rPr>
                <w:color w:val="auto"/>
                <w:sz w:val="24"/>
                <w:highlight w:val="none"/>
              </w:rPr>
              <w:t>一般固体废物环境管理</w:t>
            </w:r>
          </w:p>
          <w:p w14:paraId="2C09916E">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一般固体废物的具体管理措施如下：</w:t>
            </w:r>
          </w:p>
          <w:p w14:paraId="2F2EBB5C">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①一般工业固体废物应执行《一般工业固体废物贮存和填埋污染控制标准》（GB18599-2020）中的有关规定，各类废物可分类收集、定点堆放在厂区内的一般固废暂存场，同时定期外售处理。</w:t>
            </w:r>
          </w:p>
          <w:p w14:paraId="6B772F05">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②厂区内员工日常生活产生的生活垃圾，</w:t>
            </w:r>
            <w:r>
              <w:rPr>
                <w:rFonts w:hint="eastAsia" w:ascii="Times New Roman" w:cs="Times New Roman"/>
                <w:color w:val="auto"/>
                <w:kern w:val="2"/>
                <w:highlight w:val="none"/>
              </w:rPr>
              <w:t>集中收集后</w:t>
            </w:r>
            <w:r>
              <w:rPr>
                <w:rFonts w:ascii="Times New Roman" w:cs="Times New Roman"/>
                <w:color w:val="auto"/>
                <w:kern w:val="2"/>
                <w:highlight w:val="none"/>
              </w:rPr>
              <w:t>交由环卫部门定期清运</w:t>
            </w:r>
            <w:r>
              <w:rPr>
                <w:rFonts w:ascii="Times New Roman" w:cs="Times New Roman"/>
                <w:color w:val="auto"/>
                <w:highlight w:val="none"/>
              </w:rPr>
              <w:t>。</w:t>
            </w:r>
          </w:p>
          <w:p w14:paraId="014BBAA7">
            <w:pPr>
              <w:spacing w:line="500" w:lineRule="exact"/>
              <w:ind w:firstLine="480" w:firstLineChars="200"/>
              <w:rPr>
                <w:color w:val="auto"/>
                <w:sz w:val="24"/>
                <w:highlight w:val="none"/>
              </w:rPr>
            </w:pPr>
            <w:r>
              <w:rPr>
                <w:rFonts w:hint="eastAsia"/>
                <w:color w:val="auto"/>
                <w:sz w:val="24"/>
                <w:highlight w:val="none"/>
              </w:rPr>
              <w:t>（2）</w:t>
            </w:r>
            <w:r>
              <w:rPr>
                <w:color w:val="auto"/>
                <w:sz w:val="24"/>
                <w:highlight w:val="none"/>
              </w:rPr>
              <w:t>危险废物</w:t>
            </w:r>
            <w:r>
              <w:rPr>
                <w:rFonts w:hint="eastAsia"/>
                <w:color w:val="auto"/>
                <w:sz w:val="24"/>
                <w:highlight w:val="none"/>
              </w:rPr>
              <w:t>环境管理</w:t>
            </w:r>
          </w:p>
          <w:p w14:paraId="6D77BBE5">
            <w:pPr>
              <w:pStyle w:val="43"/>
              <w:adjustRightInd/>
              <w:spacing w:line="500" w:lineRule="exact"/>
              <w:ind w:firstLine="480" w:firstLineChars="200"/>
              <w:jc w:val="both"/>
              <w:rPr>
                <w:rFonts w:ascii="Times New Roman" w:cs="Times New Roman"/>
                <w:color w:val="auto"/>
                <w:highlight w:val="none"/>
              </w:rPr>
            </w:pPr>
            <w:r>
              <w:rPr>
                <w:rFonts w:hint="eastAsia" w:ascii="Times New Roman" w:cs="Times New Roman"/>
                <w:color w:val="auto"/>
                <w:highlight w:val="none"/>
              </w:rPr>
              <w:t>建设单位必须建设</w:t>
            </w:r>
            <w:r>
              <w:rPr>
                <w:rFonts w:hint="eastAsia" w:ascii="Times New Roman" w:cs="Times New Roman"/>
                <w:color w:val="auto"/>
                <w:highlight w:val="none"/>
                <w:lang w:eastAsia="zh-CN"/>
              </w:rPr>
              <w:t>危废贮存库</w:t>
            </w:r>
            <w:r>
              <w:rPr>
                <w:rFonts w:hint="eastAsia" w:ascii="Times New Roman" w:cs="Times New Roman"/>
                <w:color w:val="auto"/>
                <w:highlight w:val="none"/>
              </w:rPr>
              <w:t>1座，</w:t>
            </w:r>
            <w:r>
              <w:rPr>
                <w:rFonts w:hint="eastAsia" w:ascii="Times New Roman" w:cs="Times New Roman"/>
                <w:color w:val="auto"/>
                <w:highlight w:val="none"/>
                <w:lang w:val="en-US" w:eastAsia="zh-CN"/>
              </w:rPr>
              <w:t>面积为10m</w:t>
            </w:r>
            <w:r>
              <w:rPr>
                <w:rFonts w:hint="eastAsia" w:ascii="Times New Roman" w:cs="Times New Roman"/>
                <w:color w:val="auto"/>
                <w:highlight w:val="none"/>
                <w:vertAlign w:val="superscript"/>
                <w:lang w:val="en-US" w:eastAsia="zh-CN"/>
              </w:rPr>
              <w:t>2</w:t>
            </w:r>
            <w:r>
              <w:rPr>
                <w:rFonts w:hint="eastAsia" w:ascii="Times New Roman" w:cs="Times New Roman"/>
                <w:color w:val="auto"/>
                <w:highlight w:val="none"/>
                <w:lang w:val="en-US" w:eastAsia="zh-CN"/>
              </w:rPr>
              <w:t>，可容纳危险废物3t，本项目危废产生量为0.62t/年</w:t>
            </w:r>
            <w:r>
              <w:rPr>
                <w:rFonts w:hint="eastAsia"/>
                <w:color w:val="auto"/>
              </w:rPr>
              <w:t>，可容纳本项目产生的危险废物。</w:t>
            </w:r>
            <w:r>
              <w:rPr>
                <w:rFonts w:hint="eastAsia" w:ascii="Times New Roman" w:cs="Times New Roman"/>
                <w:color w:val="auto"/>
                <w:highlight w:val="none"/>
                <w:lang w:eastAsia="zh-CN"/>
              </w:rPr>
              <w:t>危废贮存库</w:t>
            </w:r>
            <w:r>
              <w:rPr>
                <w:rFonts w:hint="eastAsia" w:ascii="Times New Roman" w:cs="Times New Roman"/>
                <w:color w:val="auto"/>
                <w:highlight w:val="none"/>
              </w:rPr>
              <w:t>应满足《危险废物贮存污染控制标准》（GB18597-2023）的有关规定：</w:t>
            </w:r>
          </w:p>
          <w:p w14:paraId="19294590">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①危险废物暂存要求</w:t>
            </w:r>
          </w:p>
          <w:p w14:paraId="61D10724">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为保证</w:t>
            </w:r>
            <w:r>
              <w:rPr>
                <w:rFonts w:hint="eastAsia" w:ascii="Times New Roman" w:cs="Times New Roman"/>
                <w:color w:val="auto"/>
                <w:highlight w:val="none"/>
                <w:lang w:eastAsia="zh-CN"/>
              </w:rPr>
              <w:t>危废贮存库</w:t>
            </w:r>
            <w:r>
              <w:rPr>
                <w:rFonts w:ascii="Times New Roman" w:cs="Times New Roman"/>
                <w:color w:val="auto"/>
                <w:highlight w:val="none"/>
              </w:rPr>
              <w:t>内暂存的废物不对环境产生污染，依据</w:t>
            </w:r>
            <w:r>
              <w:rPr>
                <w:rFonts w:hint="eastAsia" w:ascii="Times New Roman" w:cs="Times New Roman"/>
                <w:color w:val="auto"/>
                <w:highlight w:val="none"/>
              </w:rPr>
              <w:t>《危险废物贮存污染控制标准》（GB18597-2023）</w:t>
            </w:r>
            <w:r>
              <w:rPr>
                <w:rFonts w:ascii="Times New Roman" w:cs="Times New Roman"/>
                <w:color w:val="auto"/>
                <w:highlight w:val="none"/>
              </w:rPr>
              <w:t>、《危险废物收集、贮存、运输技术规范》（HJ2025-2012）及相关国家及地方法律法规，对危险废物暂存地点提出如下安全措施：</w:t>
            </w:r>
          </w:p>
          <w:p w14:paraId="4CBAD90D">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a、危险废物应选择防腐、防漏、密封严密的容器进行贮存和运输，储存于阴凉、通风良好的</w:t>
            </w:r>
            <w:r>
              <w:rPr>
                <w:rFonts w:hint="eastAsia" w:ascii="Times New Roman" w:cs="Times New Roman"/>
                <w:color w:val="auto"/>
                <w:highlight w:val="none"/>
                <w:lang w:eastAsia="zh-CN"/>
              </w:rPr>
              <w:t>危废贮存库</w:t>
            </w:r>
            <w:r>
              <w:rPr>
                <w:rFonts w:ascii="Times New Roman" w:cs="Times New Roman"/>
                <w:color w:val="auto"/>
                <w:highlight w:val="none"/>
              </w:rPr>
              <w:t>，远离火种、热源，</w:t>
            </w:r>
            <w:r>
              <w:rPr>
                <w:rFonts w:hint="eastAsia" w:ascii="Times New Roman" w:cs="Times New Roman"/>
                <w:color w:val="auto"/>
                <w:highlight w:val="none"/>
                <w:lang w:eastAsia="zh-CN"/>
              </w:rPr>
              <w:t>危废贮存库</w:t>
            </w:r>
            <w:r>
              <w:rPr>
                <w:rFonts w:ascii="Times New Roman" w:cs="Times New Roman"/>
                <w:color w:val="auto"/>
                <w:highlight w:val="none"/>
              </w:rPr>
              <w:t>应有专门人员看管。看管人员和危险废物运输人员在工作中应</w:t>
            </w:r>
            <w:r>
              <w:rPr>
                <w:rFonts w:hint="eastAsia" w:ascii="Times New Roman" w:cs="Times New Roman"/>
                <w:color w:val="auto"/>
                <w:highlight w:val="none"/>
                <w:lang w:eastAsia="zh-CN"/>
              </w:rPr>
              <w:t>佩戴</w:t>
            </w:r>
            <w:r>
              <w:rPr>
                <w:rFonts w:ascii="Times New Roman" w:cs="Times New Roman"/>
                <w:color w:val="auto"/>
                <w:highlight w:val="none"/>
              </w:rPr>
              <w:t>防护用具，并配备医疗急救用品。</w:t>
            </w:r>
          </w:p>
          <w:p w14:paraId="40370DE7">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b、危险废物的盛装容器严格执行国家标准。</w:t>
            </w:r>
          </w:p>
          <w:p w14:paraId="0C1D7F0E">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c、贮存容器均具有耐腐蚀、耐压、密封和不与所贮存的废物发生反应等特性。</w:t>
            </w:r>
          </w:p>
          <w:p w14:paraId="27530330">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d、贮存容器保证完好无损并具有明显标志。</w:t>
            </w:r>
          </w:p>
          <w:p w14:paraId="346B1057">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e、不相容的危险废物均分开存放，并设有隔离间隔断。</w:t>
            </w:r>
          </w:p>
          <w:p w14:paraId="6FE755E4">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f、危险废物暂存场所应设有符合《环境保护图形标志---固体废物贮存（处置）场》（GB15562.2-1995）</w:t>
            </w:r>
            <w:r>
              <w:rPr>
                <w:rFonts w:hint="eastAsia" w:ascii="Times New Roman" w:cs="Times New Roman"/>
                <w:color w:val="auto"/>
                <w:highlight w:val="none"/>
              </w:rPr>
              <w:t>及2023年修改单</w:t>
            </w:r>
            <w:r>
              <w:rPr>
                <w:rFonts w:ascii="Times New Roman" w:cs="Times New Roman"/>
                <w:color w:val="auto"/>
                <w:highlight w:val="none"/>
              </w:rPr>
              <w:t>的专用标志。</w:t>
            </w:r>
          </w:p>
          <w:p w14:paraId="5337E3AA">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g、设有专人专职对本项目产生的危险废物的收集、暂存和保管进行管理。</w:t>
            </w:r>
          </w:p>
          <w:p w14:paraId="0ED65512">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h、建立档案制度，对暂存的废物种类、数量、特性、包装容器类别、存放位置、存入日期、运出日期等详细记录在案并长期保存。建立定期巡查、维护制度。</w:t>
            </w:r>
          </w:p>
          <w:p w14:paraId="781E37E6">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②危险废物贮存场所</w:t>
            </w:r>
          </w:p>
          <w:p w14:paraId="0F6452C5">
            <w:pPr>
              <w:pStyle w:val="43"/>
              <w:adjustRightInd/>
              <w:spacing w:line="500" w:lineRule="exact"/>
              <w:ind w:firstLine="480" w:firstLineChars="200"/>
              <w:jc w:val="both"/>
              <w:rPr>
                <w:rFonts w:ascii="Times New Roman" w:cs="Times New Roman"/>
                <w:color w:val="auto"/>
                <w:highlight w:val="none"/>
              </w:rPr>
            </w:pPr>
            <w:r>
              <w:rPr>
                <w:rFonts w:hint="eastAsia" w:ascii="Times New Roman" w:cs="Times New Roman"/>
                <w:color w:val="auto"/>
                <w:highlight w:val="none"/>
                <w:lang w:eastAsia="zh-CN"/>
              </w:rPr>
              <w:t>危废贮存库</w:t>
            </w:r>
            <w:r>
              <w:rPr>
                <w:rFonts w:ascii="Times New Roman" w:cs="Times New Roman"/>
                <w:color w:val="auto"/>
                <w:highlight w:val="none"/>
              </w:rPr>
              <w:t>应严格按照</w:t>
            </w:r>
            <w:r>
              <w:rPr>
                <w:rFonts w:hint="eastAsia" w:ascii="Times New Roman" w:cs="Times New Roman"/>
                <w:color w:val="auto"/>
                <w:highlight w:val="none"/>
              </w:rPr>
              <w:t>《危险废物贮存污染控制标准》（GB18597-2023）要求</w:t>
            </w:r>
            <w:r>
              <w:rPr>
                <w:rFonts w:ascii="Times New Roman" w:cs="Times New Roman"/>
                <w:color w:val="auto"/>
                <w:highlight w:val="none"/>
              </w:rPr>
              <w:t>建设，做到“四防”（防风、防雨、防晒、防渗漏），明确防渗措施和渗漏收集措施。危险废物单独分类存放管理，规范标识、标牌，指定危险废物专职管理人员，定期针对管理人员进行培训，内容至少包括危险废物转移联单管理、危险废物包装和标示、运输要求等。</w:t>
            </w:r>
          </w:p>
          <w:p w14:paraId="3F79F5F1">
            <w:pPr>
              <w:pStyle w:val="43"/>
              <w:adjustRightInd/>
              <w:spacing w:line="500" w:lineRule="exact"/>
              <w:ind w:firstLine="480" w:firstLineChars="200"/>
              <w:jc w:val="both"/>
              <w:rPr>
                <w:rFonts w:hint="eastAsia" w:ascii="Times New Roman" w:cs="Times New Roman"/>
                <w:color w:val="auto"/>
                <w:highlight w:val="none"/>
              </w:rPr>
            </w:pPr>
            <w:r>
              <w:rPr>
                <w:rFonts w:hint="eastAsia" w:ascii="Times New Roman" w:cs="Times New Roman"/>
                <w:color w:val="auto"/>
                <w:highlight w:val="none"/>
              </w:rPr>
              <w:t>③危险废物运输</w:t>
            </w:r>
          </w:p>
          <w:p w14:paraId="0BD86E62">
            <w:pPr>
              <w:pStyle w:val="43"/>
              <w:adjustRightInd/>
              <w:spacing w:line="500" w:lineRule="exact"/>
              <w:ind w:firstLine="480" w:firstLineChars="200"/>
              <w:jc w:val="both"/>
              <w:rPr>
                <w:rFonts w:hint="eastAsia" w:ascii="Times New Roman" w:cs="Times New Roman"/>
                <w:color w:val="auto"/>
                <w:highlight w:val="none"/>
              </w:rPr>
            </w:pPr>
            <w:r>
              <w:rPr>
                <w:rFonts w:hint="eastAsia" w:ascii="Times New Roman" w:cs="Times New Roman"/>
                <w:color w:val="auto"/>
                <w:highlight w:val="none"/>
              </w:rPr>
              <w:t>危险废物运输过程严格按照《危险废物收集、贮存、运输技术规范》（HJ2025-2012）及《危险废物转移管理办法》规定执行危险废物转移联单制度。危险废物厂区内部转运应综合考虑厂区情况避开办公区，采用专用的工具，内部转运结束后应对转运路线进行检查和清理确保无危险废物遗失在转运路线。</w:t>
            </w:r>
          </w:p>
          <w:p w14:paraId="34EA23A2">
            <w:pPr>
              <w:pStyle w:val="43"/>
              <w:adjustRightInd/>
              <w:spacing w:line="500" w:lineRule="exact"/>
              <w:ind w:firstLine="480" w:firstLineChars="200"/>
              <w:jc w:val="both"/>
              <w:rPr>
                <w:rFonts w:ascii="Times New Roman" w:cs="Times New Roman"/>
                <w:color w:val="auto"/>
                <w:highlight w:val="none"/>
              </w:rPr>
            </w:pPr>
            <w:r>
              <w:rPr>
                <w:rFonts w:hint="eastAsia" w:ascii="Times New Roman" w:cs="Times New Roman"/>
                <w:color w:val="auto"/>
                <w:highlight w:val="none"/>
              </w:rPr>
              <w:t>由于危险废物的运输较其他物品的运输有更大的危险性，因此在运输过程中应小心谨慎，确保安全。转运时应持联单转移危险废物，运输车辆应按《道路运输危险货物车辆标志》的规定悬挂相应标志。运输危险废物的车辆应配备GPS设备，严格遵守交通、消防、治安等法规，并应控制车速，保持与前车的距离，严禁违章超车，确保行车安全。运输车辆应取得危险废物运输经营许可证，并具有对危险废物包装发生破裂、泄漏或其他事故进行处理的能力。运输车辆车辆应有遮阳、控温、防爆、防火、防水等措施。</w:t>
            </w:r>
          </w:p>
          <w:p w14:paraId="154B1000">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④委托利用或者处置的环境影响分析</w:t>
            </w:r>
          </w:p>
          <w:p w14:paraId="6F6C8006">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危险废物的转移须填写危险废物转移联单，建设单位在转移危险废物前须和有危险废物处理资质的单位签订危险废物处置协议，并向当地生态环境管理部门申报危险废物转移计划，申领危险废物转移联单。在转移过程中，转移联单始终跟随着危险废物，禁止在转移过程中将其排入环境中，做到对危险废物全过程的严格管理。</w:t>
            </w:r>
          </w:p>
          <w:p w14:paraId="2A800E95">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本项目危险废物委托有资质单位进行处置。委托的资质单位具有收集、运输、贮存、处理处置及综合利用《国家危险废物名录》的资质，接收单位具备接收本项目危险废物的资质和能力。</w:t>
            </w:r>
          </w:p>
          <w:p w14:paraId="1A05F8A0">
            <w:pPr>
              <w:pStyle w:val="43"/>
              <w:adjustRightInd/>
              <w:spacing w:line="500" w:lineRule="exact"/>
              <w:ind w:firstLine="480" w:firstLineChars="200"/>
              <w:jc w:val="both"/>
              <w:rPr>
                <w:rFonts w:hint="default" w:ascii="Times New Roman" w:eastAsia="宋体" w:cs="Times New Roman"/>
                <w:color w:val="auto"/>
                <w:highlight w:val="none"/>
                <w:lang w:val="en-US" w:eastAsia="zh-CN"/>
              </w:rPr>
            </w:pPr>
            <w:r>
              <w:rPr>
                <w:rFonts w:hint="eastAsia" w:ascii="Times New Roman" w:cs="Times New Roman"/>
                <w:color w:val="auto"/>
                <w:highlight w:val="none"/>
                <w:lang w:val="en-US" w:eastAsia="zh-CN"/>
              </w:rPr>
              <w:t>⑤危废贮存库选址合理性分析</w:t>
            </w:r>
          </w:p>
          <w:p w14:paraId="38F66F10">
            <w:pPr>
              <w:pStyle w:val="43"/>
              <w:adjustRightInd/>
              <w:spacing w:line="500" w:lineRule="exact"/>
              <w:ind w:firstLine="480" w:firstLineChars="200"/>
              <w:jc w:val="both"/>
              <w:rPr>
                <w:rFonts w:hint="eastAsia" w:ascii="Times New Roman" w:eastAsia="宋体" w:cs="Times New Roman"/>
                <w:color w:val="auto"/>
                <w:highlight w:val="none"/>
                <w:lang w:val="en-US" w:eastAsia="zh-CN"/>
              </w:rPr>
            </w:pPr>
            <w:r>
              <w:rPr>
                <w:rFonts w:hint="eastAsia" w:ascii="Times New Roman" w:cs="Times New Roman"/>
                <w:color w:val="auto"/>
                <w:highlight w:val="none"/>
                <w:lang w:val="en-US" w:eastAsia="zh-CN"/>
              </w:rPr>
              <w:t>本项目租赁厂房进行生产车间的建设，危废贮存库设置在厂区的原料暂存区，采用单独隔断，与厂区其他功能隔绝开，并且与生活功能区有顶距离，互不影响；地面防渗铺设环氧树脂，可以做到危险废物贮存场所“四防（防风、防雨、防晒、防渗漏）”，项目危废贮存库选址满足《危险废物贮存污染控制标准》（GB18597-2023）要求。</w:t>
            </w:r>
          </w:p>
          <w:p w14:paraId="60233B84">
            <w:pPr>
              <w:pStyle w:val="43"/>
              <w:adjustRightInd/>
              <w:spacing w:line="500" w:lineRule="exact"/>
              <w:ind w:firstLine="480" w:firstLineChars="200"/>
              <w:jc w:val="both"/>
              <w:rPr>
                <w:rFonts w:ascii="Times New Roman" w:cs="Times New Roman"/>
                <w:color w:val="auto"/>
                <w:highlight w:val="none"/>
              </w:rPr>
            </w:pPr>
            <w:r>
              <w:rPr>
                <w:rFonts w:ascii="Times New Roman" w:cs="Times New Roman"/>
                <w:color w:val="auto"/>
                <w:highlight w:val="none"/>
              </w:rPr>
              <w:t>采取以上措施后，本项目产生的固体废物均能得到合理处置，不会对环境造成二次污染。</w:t>
            </w:r>
          </w:p>
          <w:p w14:paraId="7C04D0BC">
            <w:pPr>
              <w:spacing w:line="520" w:lineRule="exact"/>
              <w:rPr>
                <w:rFonts w:eastAsiaTheme="minorEastAsia"/>
                <w:b/>
                <w:color w:val="auto"/>
                <w:sz w:val="24"/>
                <w:highlight w:val="none"/>
              </w:rPr>
            </w:pPr>
            <w:r>
              <w:rPr>
                <w:rFonts w:hint="eastAsia" w:eastAsiaTheme="minorEastAsia"/>
                <w:b/>
                <w:color w:val="auto"/>
                <w:sz w:val="24"/>
                <w:highlight w:val="none"/>
              </w:rPr>
              <w:t>6</w:t>
            </w:r>
            <w:r>
              <w:rPr>
                <w:rFonts w:hAnsiTheme="minorEastAsia" w:eastAsiaTheme="minorEastAsia"/>
                <w:b/>
                <w:color w:val="auto"/>
                <w:sz w:val="24"/>
                <w:highlight w:val="none"/>
              </w:rPr>
              <w:t>、风险分析</w:t>
            </w:r>
          </w:p>
          <w:p w14:paraId="18DDF7A4">
            <w:pPr>
              <w:spacing w:line="520" w:lineRule="exact"/>
              <w:ind w:firstLine="504" w:firstLineChars="200"/>
              <w:rPr>
                <w:rFonts w:eastAsiaTheme="minorEastAsia"/>
                <w:color w:val="auto"/>
                <w:spacing w:val="6"/>
                <w:sz w:val="24"/>
                <w:highlight w:val="none"/>
              </w:rPr>
            </w:pPr>
            <w:r>
              <w:rPr>
                <w:rFonts w:hint="eastAsia" w:eastAsiaTheme="minorEastAsia"/>
                <w:color w:val="auto"/>
                <w:spacing w:val="6"/>
                <w:sz w:val="24"/>
                <w:highlight w:val="none"/>
              </w:rPr>
              <w:t>（1）</w:t>
            </w:r>
            <w:r>
              <w:rPr>
                <w:rFonts w:hAnsiTheme="minorEastAsia" w:eastAsiaTheme="minorEastAsia"/>
                <w:color w:val="auto"/>
                <w:spacing w:val="6"/>
                <w:sz w:val="24"/>
                <w:highlight w:val="none"/>
              </w:rPr>
              <w:t>评价原则与工作程序</w:t>
            </w:r>
          </w:p>
          <w:p w14:paraId="3706228B">
            <w:pPr>
              <w:spacing w:line="520" w:lineRule="exact"/>
              <w:ind w:firstLine="480" w:firstLineChars="200"/>
              <w:rPr>
                <w:rFonts w:eastAsiaTheme="minorEastAsia"/>
                <w:b/>
                <w:bCs/>
                <w:snapToGrid w:val="0"/>
                <w:color w:val="auto"/>
                <w:highlight w:val="none"/>
              </w:rPr>
            </w:pPr>
            <w:r>
              <w:rPr>
                <w:rFonts w:hAnsiTheme="minorEastAsia" w:eastAsiaTheme="minorEastAsia"/>
                <w:color w:val="auto"/>
                <w:sz w:val="24"/>
                <w:highlight w:val="none"/>
              </w:rPr>
              <w:t>按照《建设项目环境风险评价技术导则》（</w:t>
            </w:r>
            <w:r>
              <w:rPr>
                <w:rFonts w:eastAsiaTheme="minorEastAsia"/>
                <w:color w:val="auto"/>
                <w:sz w:val="24"/>
                <w:highlight w:val="none"/>
              </w:rPr>
              <w:t>HJ169-2018</w:t>
            </w:r>
            <w:r>
              <w:rPr>
                <w:rFonts w:hAnsiTheme="minorEastAsia" w:eastAsiaTheme="minorEastAsia"/>
                <w:color w:val="auto"/>
                <w:sz w:val="24"/>
                <w:highlight w:val="none"/>
              </w:rPr>
              <w:t>）的要求，环境风险评价应以突发性事故导致的危险物质环境急性损害防控为目标，对建设项目的环境风险进行分析、预测和评估，提出环境风险预防、控制、减缓措施，明确环境风险监控及应急要求，为建设项目环境风险防控提供科学依据。</w:t>
            </w:r>
          </w:p>
          <w:p w14:paraId="22D6EE0B">
            <w:pPr>
              <w:spacing w:line="520" w:lineRule="exact"/>
              <w:ind w:firstLine="480" w:firstLineChars="200"/>
              <w:rPr>
                <w:rFonts w:eastAsiaTheme="minorEastAsia"/>
                <w:color w:val="auto"/>
                <w:sz w:val="24"/>
                <w:highlight w:val="none"/>
              </w:rPr>
            </w:pPr>
            <w:r>
              <w:rPr>
                <w:rFonts w:hint="eastAsia" w:eastAsiaTheme="minorEastAsia"/>
                <w:color w:val="auto"/>
                <w:sz w:val="24"/>
                <w:highlight w:val="none"/>
              </w:rPr>
              <w:t>（2）</w:t>
            </w:r>
            <w:r>
              <w:rPr>
                <w:rFonts w:hAnsiTheme="minorEastAsia" w:eastAsiaTheme="minorEastAsia"/>
                <w:color w:val="auto"/>
                <w:sz w:val="24"/>
                <w:highlight w:val="none"/>
              </w:rPr>
              <w:t>风险</w:t>
            </w:r>
            <w:r>
              <w:rPr>
                <w:rFonts w:hint="eastAsia" w:hAnsiTheme="minorEastAsia" w:eastAsiaTheme="minorEastAsia"/>
                <w:color w:val="auto"/>
                <w:sz w:val="24"/>
                <w:highlight w:val="none"/>
              </w:rPr>
              <w:t>物质</w:t>
            </w:r>
            <w:r>
              <w:rPr>
                <w:rFonts w:hAnsiTheme="minorEastAsia" w:eastAsiaTheme="minorEastAsia"/>
                <w:color w:val="auto"/>
                <w:sz w:val="24"/>
                <w:highlight w:val="none"/>
              </w:rPr>
              <w:t>调查</w:t>
            </w:r>
          </w:p>
          <w:p w14:paraId="52B638F5">
            <w:pPr>
              <w:spacing w:line="520" w:lineRule="exact"/>
              <w:ind w:firstLine="480" w:firstLineChars="200"/>
              <w:rPr>
                <w:rFonts w:hAnsiTheme="minorEastAsia" w:eastAsiaTheme="minorEastAsia"/>
                <w:color w:val="auto"/>
                <w:sz w:val="24"/>
                <w:highlight w:val="none"/>
              </w:rPr>
            </w:pPr>
            <w:r>
              <w:rPr>
                <w:rFonts w:hint="eastAsia"/>
                <w:color w:val="auto"/>
                <w:sz w:val="24"/>
                <w:highlight w:val="none"/>
              </w:rPr>
              <w:t>根据</w:t>
            </w:r>
            <w:r>
              <w:rPr>
                <w:rFonts w:hAnsiTheme="minorEastAsia" w:eastAsiaTheme="minorEastAsia"/>
                <w:color w:val="auto"/>
                <w:sz w:val="24"/>
                <w:highlight w:val="none"/>
              </w:rPr>
              <w:t>《建设项目环境风险评价技术导则》（</w:t>
            </w:r>
            <w:r>
              <w:rPr>
                <w:rFonts w:eastAsiaTheme="minorEastAsia"/>
                <w:color w:val="auto"/>
                <w:sz w:val="24"/>
                <w:highlight w:val="none"/>
              </w:rPr>
              <w:t>HJ169-2018</w:t>
            </w:r>
            <w:r>
              <w:rPr>
                <w:rFonts w:hAnsiTheme="minorEastAsia" w:eastAsiaTheme="minorEastAsia"/>
                <w:color w:val="auto"/>
                <w:sz w:val="24"/>
                <w:highlight w:val="none"/>
              </w:rPr>
              <w:t>）</w:t>
            </w:r>
            <w:r>
              <w:rPr>
                <w:rFonts w:hint="eastAsia" w:hAnsiTheme="minorEastAsia"/>
                <w:color w:val="auto"/>
                <w:sz w:val="24"/>
                <w:highlight w:val="none"/>
              </w:rPr>
              <w:t>中突发环境事件风险物质及临界量表，</w:t>
            </w:r>
            <w:r>
              <w:rPr>
                <w:rFonts w:hint="eastAsia" w:hAnsiTheme="minorEastAsia" w:eastAsiaTheme="minorEastAsia"/>
                <w:color w:val="auto"/>
                <w:sz w:val="24"/>
                <w:highlight w:val="none"/>
              </w:rPr>
              <w:t>本项目涉及的风险物质为废机油，储存量为0.1t。</w:t>
            </w:r>
          </w:p>
          <w:p w14:paraId="67A66EA7">
            <w:pPr>
              <w:spacing w:line="520" w:lineRule="exact"/>
              <w:ind w:firstLine="480" w:firstLineChars="200"/>
              <w:rPr>
                <w:rFonts w:hint="eastAsia" w:hAnsiTheme="minorEastAsia" w:eastAsiaTheme="minorEastAsia"/>
                <w:color w:val="auto"/>
                <w:sz w:val="24"/>
                <w:highlight w:val="none"/>
              </w:rPr>
            </w:pPr>
            <w:r>
              <w:rPr>
                <w:rFonts w:hint="eastAsia" w:hAnsiTheme="minorEastAsia" w:eastAsiaTheme="minorEastAsia"/>
                <w:color w:val="auto"/>
                <w:sz w:val="24"/>
                <w:highlight w:val="none"/>
                <w:lang w:eastAsia="zh-CN"/>
              </w:rPr>
              <w:t>（</w:t>
            </w:r>
            <w:r>
              <w:rPr>
                <w:rFonts w:hint="eastAsia" w:hAnsiTheme="minorEastAsia" w:eastAsiaTheme="minorEastAsia"/>
                <w:color w:val="auto"/>
                <w:sz w:val="24"/>
                <w:highlight w:val="none"/>
                <w:lang w:val="en-US" w:eastAsia="zh-CN"/>
              </w:rPr>
              <w:t>3</w:t>
            </w:r>
            <w:r>
              <w:rPr>
                <w:rFonts w:hint="eastAsia" w:hAnsiTheme="minorEastAsia" w:eastAsiaTheme="minorEastAsia"/>
                <w:color w:val="auto"/>
                <w:sz w:val="24"/>
                <w:highlight w:val="none"/>
                <w:lang w:eastAsia="zh-CN"/>
              </w:rPr>
              <w:t>）</w:t>
            </w:r>
            <w:r>
              <w:rPr>
                <w:rFonts w:hint="eastAsia" w:hAnsiTheme="minorEastAsia" w:eastAsiaTheme="minorEastAsia"/>
                <w:color w:val="auto"/>
                <w:sz w:val="24"/>
                <w:highlight w:val="none"/>
              </w:rPr>
              <w:t>环境风险潜势初判</w:t>
            </w:r>
          </w:p>
          <w:p w14:paraId="7F2282CD">
            <w:pPr>
              <w:spacing w:line="520" w:lineRule="exact"/>
              <w:ind w:firstLine="480" w:firstLineChars="200"/>
              <w:rPr>
                <w:rFonts w:eastAsiaTheme="minorEastAsia"/>
                <w:color w:val="auto"/>
                <w:sz w:val="24"/>
                <w:highlight w:val="none"/>
              </w:rPr>
            </w:pPr>
            <w:r>
              <w:rPr>
                <w:rFonts w:hAnsiTheme="minorEastAsia" w:eastAsiaTheme="minorEastAsia"/>
                <w:color w:val="auto"/>
                <w:sz w:val="24"/>
                <w:highlight w:val="none"/>
              </w:rPr>
              <w:t>根据《建设项目环境风险评价技术导则》（</w:t>
            </w:r>
            <w:r>
              <w:rPr>
                <w:rFonts w:eastAsiaTheme="minorEastAsia"/>
                <w:color w:val="auto"/>
                <w:sz w:val="24"/>
                <w:highlight w:val="none"/>
              </w:rPr>
              <w:t>HJ169</w:t>
            </w:r>
            <w:r>
              <w:rPr>
                <w:rFonts w:hint="eastAsia" w:hAnsiTheme="minorEastAsia" w:eastAsiaTheme="minorEastAsia"/>
                <w:color w:val="auto"/>
                <w:sz w:val="24"/>
                <w:highlight w:val="none"/>
              </w:rPr>
              <w:t>-</w:t>
            </w:r>
            <w:r>
              <w:rPr>
                <w:rFonts w:eastAsiaTheme="minorEastAsia"/>
                <w:color w:val="auto"/>
                <w:sz w:val="24"/>
                <w:highlight w:val="none"/>
              </w:rPr>
              <w:t>2018</w:t>
            </w:r>
            <w:r>
              <w:rPr>
                <w:rFonts w:hAnsiTheme="minorEastAsia" w:eastAsiaTheme="minorEastAsia"/>
                <w:color w:val="auto"/>
                <w:sz w:val="24"/>
                <w:highlight w:val="none"/>
              </w:rPr>
              <w:t>）附录</w:t>
            </w:r>
            <w:r>
              <w:rPr>
                <w:rFonts w:eastAsiaTheme="minorEastAsia"/>
                <w:color w:val="auto"/>
                <w:sz w:val="24"/>
                <w:highlight w:val="none"/>
              </w:rPr>
              <w:t>C</w:t>
            </w:r>
            <w:r>
              <w:rPr>
                <w:rFonts w:hAnsiTheme="minorEastAsia" w:eastAsiaTheme="minorEastAsia"/>
                <w:color w:val="auto"/>
                <w:sz w:val="24"/>
                <w:highlight w:val="none"/>
              </w:rPr>
              <w:t>，</w:t>
            </w:r>
            <w:r>
              <w:rPr>
                <w:rFonts w:eastAsiaTheme="minorEastAsia"/>
                <w:color w:val="auto"/>
                <w:sz w:val="24"/>
                <w:highlight w:val="none"/>
              </w:rPr>
              <w:t>Q</w:t>
            </w:r>
            <w:r>
              <w:rPr>
                <w:rFonts w:hAnsiTheme="minorEastAsia" w:eastAsiaTheme="minorEastAsia"/>
                <w:color w:val="auto"/>
                <w:sz w:val="24"/>
                <w:highlight w:val="none"/>
              </w:rPr>
              <w:t>按下式进行计算：</w:t>
            </w:r>
          </w:p>
          <w:p w14:paraId="5BB15336">
            <w:pPr>
              <w:jc w:val="center"/>
              <w:rPr>
                <w:rFonts w:eastAsiaTheme="minorEastAsia"/>
                <w:color w:val="auto"/>
                <w:sz w:val="24"/>
                <w:highlight w:val="none"/>
              </w:rPr>
            </w:pPr>
            <w:r>
              <w:rPr>
                <w:rFonts w:eastAsiaTheme="minorEastAsia"/>
                <w:color w:val="auto"/>
                <w:sz w:val="24"/>
                <w:highlight w:val="none"/>
              </w:rPr>
              <w:object>
                <v:shape id="_x0000_i1026" o:spt="75" type="#_x0000_t75" style="height:34.95pt;width:132.7pt;" o:ole="t" filled="f" o:preferrelative="t" stroked="f" coordsize="21600,21600">
                  <v:path/>
                  <v:fill on="f" focussize="0,0"/>
                  <v:stroke on="f" joinstyle="miter"/>
                  <v:imagedata r:id="rId12" o:title=""/>
                  <o:lock v:ext="edit" aspectratio="t"/>
                  <w10:wrap type="none"/>
                  <w10:anchorlock/>
                </v:shape>
                <o:OLEObject Type="Embed" ProgID="Equation.3" ShapeID="_x0000_i1026" DrawAspect="Content" ObjectID="_1468075726" r:id="rId11">
                  <o:LockedField>false</o:LockedField>
                </o:OLEObject>
              </w:object>
            </w:r>
          </w:p>
          <w:p w14:paraId="6234DC22">
            <w:pPr>
              <w:spacing w:line="520" w:lineRule="exact"/>
              <w:ind w:firstLine="480" w:firstLineChars="200"/>
              <w:rPr>
                <w:rFonts w:hAnsiTheme="minorEastAsia" w:eastAsiaTheme="minorEastAsia"/>
                <w:color w:val="auto"/>
                <w:sz w:val="24"/>
                <w:highlight w:val="none"/>
              </w:rPr>
            </w:pPr>
            <w:r>
              <w:rPr>
                <w:rFonts w:hAnsiTheme="minorEastAsia" w:eastAsiaTheme="minorEastAsia"/>
                <w:color w:val="auto"/>
                <w:sz w:val="24"/>
                <w:highlight w:val="none"/>
              </w:rPr>
              <w:t>式中：</w:t>
            </w:r>
          </w:p>
          <w:p w14:paraId="2D58B3F8">
            <w:pPr>
              <w:spacing w:line="520" w:lineRule="exact"/>
              <w:ind w:firstLine="480" w:firstLineChars="200"/>
              <w:rPr>
                <w:rFonts w:eastAsiaTheme="minorEastAsia"/>
                <w:color w:val="auto"/>
                <w:sz w:val="24"/>
                <w:highlight w:val="none"/>
              </w:rPr>
            </w:pPr>
            <w:r>
              <w:rPr>
                <w:rFonts w:eastAsiaTheme="minorEastAsia"/>
                <w:color w:val="auto"/>
                <w:sz w:val="24"/>
                <w:highlight w:val="none"/>
              </w:rPr>
              <w:t>q1</w:t>
            </w:r>
            <w:r>
              <w:rPr>
                <w:rFonts w:hAnsiTheme="minorEastAsia" w:eastAsiaTheme="minorEastAsia"/>
                <w:color w:val="auto"/>
                <w:sz w:val="24"/>
                <w:highlight w:val="none"/>
              </w:rPr>
              <w:t>，</w:t>
            </w:r>
            <w:r>
              <w:rPr>
                <w:rFonts w:eastAsiaTheme="minorEastAsia"/>
                <w:color w:val="auto"/>
                <w:sz w:val="24"/>
                <w:highlight w:val="none"/>
              </w:rPr>
              <w:t>q2……qn—</w:t>
            </w:r>
            <w:r>
              <w:rPr>
                <w:rFonts w:hAnsiTheme="minorEastAsia" w:eastAsiaTheme="minorEastAsia"/>
                <w:color w:val="auto"/>
                <w:sz w:val="24"/>
                <w:highlight w:val="none"/>
              </w:rPr>
              <w:t>每种危险物质的最大存在量，</w:t>
            </w:r>
            <w:r>
              <w:rPr>
                <w:rFonts w:eastAsiaTheme="minorEastAsia"/>
                <w:color w:val="auto"/>
                <w:sz w:val="24"/>
                <w:highlight w:val="none"/>
              </w:rPr>
              <w:t>t</w:t>
            </w:r>
            <w:r>
              <w:rPr>
                <w:rFonts w:hAnsiTheme="minorEastAsia" w:eastAsiaTheme="minorEastAsia"/>
                <w:color w:val="auto"/>
                <w:sz w:val="24"/>
                <w:highlight w:val="none"/>
              </w:rPr>
              <w:t>；</w:t>
            </w:r>
          </w:p>
          <w:p w14:paraId="19F29AB6">
            <w:pPr>
              <w:spacing w:line="520" w:lineRule="exact"/>
              <w:ind w:firstLine="480" w:firstLineChars="200"/>
              <w:rPr>
                <w:rFonts w:eastAsiaTheme="minorEastAsia"/>
                <w:color w:val="auto"/>
                <w:sz w:val="24"/>
                <w:highlight w:val="none"/>
              </w:rPr>
            </w:pPr>
            <w:r>
              <w:rPr>
                <w:rFonts w:eastAsiaTheme="minorEastAsia"/>
                <w:color w:val="auto"/>
                <w:sz w:val="24"/>
                <w:highlight w:val="none"/>
              </w:rPr>
              <w:t>Q1</w:t>
            </w:r>
            <w:r>
              <w:rPr>
                <w:rFonts w:hAnsiTheme="minorEastAsia" w:eastAsiaTheme="minorEastAsia"/>
                <w:color w:val="auto"/>
                <w:sz w:val="24"/>
                <w:highlight w:val="none"/>
              </w:rPr>
              <w:t>，</w:t>
            </w:r>
            <w:r>
              <w:rPr>
                <w:rFonts w:eastAsiaTheme="minorEastAsia"/>
                <w:color w:val="auto"/>
                <w:sz w:val="24"/>
                <w:highlight w:val="none"/>
              </w:rPr>
              <w:t>Q2…Qn—</w:t>
            </w:r>
            <w:r>
              <w:rPr>
                <w:rFonts w:hAnsiTheme="minorEastAsia" w:eastAsiaTheme="minorEastAsia"/>
                <w:color w:val="auto"/>
                <w:sz w:val="24"/>
                <w:highlight w:val="none"/>
              </w:rPr>
              <w:t>每种危险物质的临界量，</w:t>
            </w:r>
            <w:r>
              <w:rPr>
                <w:rFonts w:eastAsiaTheme="minorEastAsia"/>
                <w:color w:val="auto"/>
                <w:sz w:val="24"/>
                <w:highlight w:val="none"/>
              </w:rPr>
              <w:t>t</w:t>
            </w:r>
            <w:r>
              <w:rPr>
                <w:rFonts w:hAnsiTheme="minorEastAsia" w:eastAsiaTheme="minorEastAsia"/>
                <w:color w:val="auto"/>
                <w:sz w:val="24"/>
                <w:highlight w:val="none"/>
              </w:rPr>
              <w:t>。</w:t>
            </w:r>
          </w:p>
          <w:p w14:paraId="0E1B8DB4">
            <w:pPr>
              <w:spacing w:line="520" w:lineRule="exact"/>
              <w:ind w:firstLine="480" w:firstLineChars="200"/>
              <w:rPr>
                <w:rFonts w:eastAsiaTheme="minorEastAsia"/>
                <w:color w:val="auto"/>
                <w:sz w:val="24"/>
                <w:highlight w:val="none"/>
              </w:rPr>
            </w:pPr>
            <w:r>
              <w:rPr>
                <w:rFonts w:hAnsiTheme="minorEastAsia" w:eastAsiaTheme="minorEastAsia"/>
                <w:color w:val="auto"/>
                <w:sz w:val="24"/>
                <w:highlight w:val="none"/>
              </w:rPr>
              <w:t>当</w:t>
            </w:r>
            <w:r>
              <w:rPr>
                <w:rFonts w:eastAsiaTheme="minorEastAsia"/>
                <w:color w:val="auto"/>
                <w:sz w:val="24"/>
                <w:highlight w:val="none"/>
              </w:rPr>
              <w:t>Q</w:t>
            </w:r>
            <w:r>
              <w:rPr>
                <w:rFonts w:hAnsiTheme="minorEastAsia" w:eastAsiaTheme="minorEastAsia"/>
                <w:color w:val="auto"/>
                <w:sz w:val="24"/>
                <w:highlight w:val="none"/>
              </w:rPr>
              <w:t>＜</w:t>
            </w:r>
            <w:r>
              <w:rPr>
                <w:rFonts w:eastAsiaTheme="minorEastAsia"/>
                <w:color w:val="auto"/>
                <w:sz w:val="24"/>
                <w:highlight w:val="none"/>
              </w:rPr>
              <w:t>1</w:t>
            </w:r>
            <w:r>
              <w:rPr>
                <w:rFonts w:hAnsiTheme="minorEastAsia" w:eastAsiaTheme="minorEastAsia"/>
                <w:color w:val="auto"/>
                <w:sz w:val="24"/>
                <w:highlight w:val="none"/>
              </w:rPr>
              <w:t>时，该项目环境风险潜势为</w:t>
            </w:r>
            <w:r>
              <w:rPr>
                <w:rFonts w:eastAsiaTheme="minorEastAsia"/>
                <w:color w:val="auto"/>
                <w:sz w:val="24"/>
                <w:highlight w:val="none"/>
              </w:rPr>
              <w:t>I</w:t>
            </w:r>
            <w:r>
              <w:rPr>
                <w:rFonts w:hAnsiTheme="minorEastAsia" w:eastAsiaTheme="minorEastAsia"/>
                <w:color w:val="auto"/>
                <w:sz w:val="24"/>
                <w:highlight w:val="none"/>
              </w:rPr>
              <w:t>。</w:t>
            </w:r>
          </w:p>
          <w:p w14:paraId="0C111076">
            <w:pPr>
              <w:shd w:val="clear"/>
              <w:spacing w:line="520" w:lineRule="exact"/>
              <w:ind w:firstLine="480" w:firstLineChars="200"/>
              <w:rPr>
                <w:rFonts w:eastAsiaTheme="minorEastAsia"/>
                <w:color w:val="auto"/>
                <w:sz w:val="24"/>
                <w:highlight w:val="none"/>
              </w:rPr>
            </w:pPr>
            <w:r>
              <w:rPr>
                <w:rFonts w:hAnsiTheme="minorEastAsia" w:eastAsiaTheme="minorEastAsia"/>
                <w:color w:val="auto"/>
                <w:sz w:val="24"/>
                <w:highlight w:val="none"/>
              </w:rPr>
              <w:t>当</w:t>
            </w:r>
            <w:r>
              <w:rPr>
                <w:rFonts w:eastAsiaTheme="minorEastAsia"/>
                <w:color w:val="auto"/>
                <w:sz w:val="24"/>
                <w:highlight w:val="none"/>
              </w:rPr>
              <w:t>Q≥1</w:t>
            </w:r>
            <w:r>
              <w:rPr>
                <w:rFonts w:hAnsiTheme="minorEastAsia" w:eastAsiaTheme="minorEastAsia"/>
                <w:color w:val="auto"/>
                <w:sz w:val="24"/>
                <w:highlight w:val="none"/>
              </w:rPr>
              <w:t>时，将</w:t>
            </w:r>
            <w:r>
              <w:rPr>
                <w:rFonts w:eastAsiaTheme="minorEastAsia"/>
                <w:color w:val="auto"/>
                <w:sz w:val="24"/>
                <w:highlight w:val="none"/>
              </w:rPr>
              <w:t>Q</w:t>
            </w:r>
            <w:r>
              <w:rPr>
                <w:rFonts w:hAnsiTheme="minorEastAsia" w:eastAsiaTheme="minorEastAsia"/>
                <w:color w:val="auto"/>
                <w:sz w:val="24"/>
                <w:highlight w:val="none"/>
              </w:rPr>
              <w:t>值划分为：（</w:t>
            </w:r>
            <w:r>
              <w:rPr>
                <w:rFonts w:eastAsiaTheme="minorEastAsia"/>
                <w:color w:val="auto"/>
                <w:sz w:val="24"/>
                <w:highlight w:val="none"/>
              </w:rPr>
              <w:t>1</w:t>
            </w:r>
            <w:r>
              <w:rPr>
                <w:rFonts w:hAnsiTheme="minorEastAsia" w:eastAsiaTheme="minorEastAsia"/>
                <w:color w:val="auto"/>
                <w:sz w:val="24"/>
                <w:highlight w:val="none"/>
              </w:rPr>
              <w:t>）</w:t>
            </w:r>
            <w:r>
              <w:rPr>
                <w:rFonts w:eastAsiaTheme="minorEastAsia"/>
                <w:color w:val="auto"/>
                <w:sz w:val="24"/>
                <w:highlight w:val="none"/>
              </w:rPr>
              <w:t>1≤Q</w:t>
            </w:r>
            <w:r>
              <w:rPr>
                <w:rFonts w:hAnsiTheme="minorEastAsia" w:eastAsiaTheme="minorEastAsia"/>
                <w:color w:val="auto"/>
                <w:sz w:val="24"/>
                <w:highlight w:val="none"/>
              </w:rPr>
              <w:t>＜</w:t>
            </w:r>
            <w:r>
              <w:rPr>
                <w:rFonts w:eastAsiaTheme="minorEastAsia"/>
                <w:color w:val="auto"/>
                <w:sz w:val="24"/>
                <w:highlight w:val="none"/>
              </w:rPr>
              <w:t>10</w:t>
            </w:r>
            <w:r>
              <w:rPr>
                <w:rFonts w:hAnsiTheme="minorEastAsia" w:eastAsiaTheme="minorEastAsia"/>
                <w:color w:val="auto"/>
                <w:sz w:val="24"/>
                <w:highlight w:val="none"/>
              </w:rPr>
              <w:t>；（</w:t>
            </w:r>
            <w:r>
              <w:rPr>
                <w:rFonts w:eastAsiaTheme="minorEastAsia"/>
                <w:color w:val="auto"/>
                <w:sz w:val="24"/>
                <w:highlight w:val="none"/>
              </w:rPr>
              <w:t>2</w:t>
            </w:r>
            <w:r>
              <w:rPr>
                <w:rFonts w:hAnsiTheme="minorEastAsia" w:eastAsiaTheme="minorEastAsia"/>
                <w:color w:val="auto"/>
                <w:sz w:val="24"/>
                <w:highlight w:val="none"/>
              </w:rPr>
              <w:t>）</w:t>
            </w:r>
            <w:r>
              <w:rPr>
                <w:rFonts w:eastAsiaTheme="minorEastAsia"/>
                <w:color w:val="auto"/>
                <w:sz w:val="24"/>
                <w:highlight w:val="none"/>
              </w:rPr>
              <w:t>10≤Q</w:t>
            </w:r>
            <w:r>
              <w:rPr>
                <w:rFonts w:hAnsiTheme="minorEastAsia" w:eastAsiaTheme="minorEastAsia"/>
                <w:color w:val="auto"/>
                <w:sz w:val="24"/>
                <w:highlight w:val="none"/>
              </w:rPr>
              <w:t>＜</w:t>
            </w:r>
            <w:r>
              <w:rPr>
                <w:rFonts w:eastAsiaTheme="minorEastAsia"/>
                <w:color w:val="auto"/>
                <w:sz w:val="24"/>
                <w:highlight w:val="none"/>
              </w:rPr>
              <w:t>100</w:t>
            </w:r>
            <w:r>
              <w:rPr>
                <w:rFonts w:hAnsiTheme="minorEastAsia" w:eastAsiaTheme="minorEastAsia"/>
                <w:color w:val="auto"/>
                <w:sz w:val="24"/>
                <w:highlight w:val="none"/>
              </w:rPr>
              <w:t>；（</w:t>
            </w:r>
            <w:r>
              <w:rPr>
                <w:rFonts w:eastAsiaTheme="minorEastAsia"/>
                <w:color w:val="auto"/>
                <w:sz w:val="24"/>
                <w:highlight w:val="none"/>
              </w:rPr>
              <w:t>3</w:t>
            </w:r>
            <w:r>
              <w:rPr>
                <w:rFonts w:hAnsiTheme="minorEastAsia" w:eastAsiaTheme="minorEastAsia"/>
                <w:color w:val="auto"/>
                <w:sz w:val="24"/>
                <w:highlight w:val="none"/>
              </w:rPr>
              <w:t>）</w:t>
            </w:r>
            <w:r>
              <w:rPr>
                <w:rFonts w:eastAsiaTheme="minorEastAsia"/>
                <w:color w:val="auto"/>
                <w:sz w:val="24"/>
                <w:highlight w:val="none"/>
              </w:rPr>
              <w:t>Q≥100</w:t>
            </w:r>
            <w:r>
              <w:rPr>
                <w:rFonts w:hAnsiTheme="minorEastAsia" w:eastAsiaTheme="minorEastAsia"/>
                <w:color w:val="auto"/>
                <w:sz w:val="24"/>
                <w:highlight w:val="none"/>
              </w:rPr>
              <w:t>。</w:t>
            </w:r>
          </w:p>
          <w:p w14:paraId="4D9A9C34">
            <w:pPr>
              <w:pStyle w:val="33"/>
              <w:shd w:val="clear"/>
              <w:spacing w:after="0" w:line="520" w:lineRule="exact"/>
              <w:ind w:left="0" w:leftChars="0" w:firstLine="480"/>
              <w:rPr>
                <w:color w:val="auto"/>
                <w:sz w:val="24"/>
                <w:highlight w:val="none"/>
              </w:rPr>
            </w:pPr>
            <w:r>
              <w:rPr>
                <w:rFonts w:hint="eastAsia"/>
                <w:color w:val="auto"/>
                <w:sz w:val="24"/>
                <w:highlight w:val="none"/>
              </w:rPr>
              <w:t>本</w:t>
            </w:r>
            <w:r>
              <w:rPr>
                <w:color w:val="auto"/>
                <w:sz w:val="24"/>
                <w:highlight w:val="none"/>
              </w:rPr>
              <w:t>项目</w:t>
            </w:r>
            <w:r>
              <w:rPr>
                <w:rFonts w:hint="eastAsia"/>
                <w:color w:val="auto"/>
                <w:sz w:val="24"/>
                <w:highlight w:val="none"/>
              </w:rPr>
              <w:t>运营</w:t>
            </w:r>
            <w:r>
              <w:rPr>
                <w:color w:val="auto"/>
                <w:sz w:val="24"/>
                <w:highlight w:val="none"/>
              </w:rPr>
              <w:t>过程中</w:t>
            </w:r>
            <w:r>
              <w:rPr>
                <w:rFonts w:hint="eastAsia"/>
                <w:color w:val="auto"/>
                <w:sz w:val="24"/>
                <w:highlight w:val="none"/>
              </w:rPr>
              <w:t>所</w:t>
            </w:r>
            <w:r>
              <w:rPr>
                <w:color w:val="auto"/>
                <w:sz w:val="24"/>
                <w:highlight w:val="none"/>
              </w:rPr>
              <w:t>涉及《建设项目环境风险评价技术导则》</w:t>
            </w:r>
            <w:r>
              <w:rPr>
                <w:rFonts w:hint="eastAsia"/>
                <w:color w:val="auto"/>
                <w:sz w:val="24"/>
                <w:highlight w:val="none"/>
                <w:lang w:eastAsia="zh-CN"/>
              </w:rPr>
              <w:t>（</w:t>
            </w:r>
            <w:r>
              <w:rPr>
                <w:color w:val="auto"/>
                <w:sz w:val="24"/>
                <w:highlight w:val="none"/>
              </w:rPr>
              <w:t>HJ169-2018</w:t>
            </w:r>
            <w:r>
              <w:rPr>
                <w:rFonts w:hint="eastAsia"/>
                <w:color w:val="auto"/>
                <w:sz w:val="24"/>
                <w:highlight w:val="none"/>
                <w:lang w:eastAsia="zh-CN"/>
              </w:rPr>
              <w:t>）</w:t>
            </w:r>
            <w:r>
              <w:rPr>
                <w:color w:val="auto"/>
                <w:sz w:val="24"/>
                <w:highlight w:val="none"/>
              </w:rPr>
              <w:t>和</w:t>
            </w:r>
            <w:r>
              <w:rPr>
                <w:rFonts w:hint="eastAsia" w:ascii="Times New Roman" w:hAnsi="Times New Roman" w:eastAsia="宋体" w:cs="Times New Roman"/>
                <w:color w:val="auto"/>
                <w:sz w:val="24"/>
                <w:szCs w:val="24"/>
                <w:vertAlign w:val="baseline"/>
                <w:lang w:val="en-US" w:eastAsia="zh-CN"/>
              </w:rPr>
              <w:t>《国家危险废物名录》</w:t>
            </w:r>
            <w:r>
              <w:rPr>
                <w:rFonts w:hint="eastAsia" w:cs="Times New Roman"/>
                <w:color w:val="auto"/>
                <w:sz w:val="24"/>
                <w:szCs w:val="24"/>
                <w:vertAlign w:val="baseline"/>
                <w:lang w:val="en-US" w:eastAsia="zh-CN"/>
              </w:rPr>
              <w:t>（</w:t>
            </w:r>
            <w:r>
              <w:rPr>
                <w:rFonts w:hint="eastAsia" w:ascii="Times New Roman" w:hAnsi="Times New Roman" w:eastAsia="宋体" w:cs="Times New Roman"/>
                <w:color w:val="auto"/>
                <w:sz w:val="24"/>
                <w:szCs w:val="24"/>
                <w:vertAlign w:val="baseline"/>
                <w:lang w:val="en-US" w:eastAsia="zh-CN"/>
              </w:rPr>
              <w:t>2025年版</w:t>
            </w:r>
            <w:r>
              <w:rPr>
                <w:rFonts w:hint="eastAsia" w:cs="Times New Roman"/>
                <w:color w:val="auto"/>
                <w:sz w:val="24"/>
                <w:szCs w:val="24"/>
                <w:vertAlign w:val="baseline"/>
                <w:lang w:val="en-US" w:eastAsia="zh-CN"/>
              </w:rPr>
              <w:t>）</w:t>
            </w:r>
            <w:r>
              <w:rPr>
                <w:color w:val="auto"/>
                <w:sz w:val="24"/>
                <w:highlight w:val="none"/>
              </w:rPr>
              <w:t>规定的危险物质</w:t>
            </w:r>
            <w:r>
              <w:rPr>
                <w:rFonts w:hint="eastAsia"/>
                <w:color w:val="auto"/>
                <w:sz w:val="24"/>
                <w:highlight w:val="none"/>
              </w:rPr>
              <w:t>为机油，油类物质临界储存量为2500t</w:t>
            </w:r>
            <w:r>
              <w:rPr>
                <w:snapToGrid w:val="0"/>
                <w:color w:val="auto"/>
                <w:kern w:val="0"/>
                <w:sz w:val="24"/>
                <w:highlight w:val="none"/>
              </w:rPr>
              <w:t>，</w:t>
            </w:r>
            <w:r>
              <w:rPr>
                <w:rFonts w:hint="eastAsia"/>
                <w:snapToGrid w:val="0"/>
                <w:color w:val="auto"/>
                <w:kern w:val="0"/>
                <w:sz w:val="24"/>
                <w:highlight w:val="none"/>
              </w:rPr>
              <w:t>则</w:t>
            </w:r>
            <w:r>
              <w:rPr>
                <w:snapToGrid w:val="0"/>
                <w:color w:val="auto"/>
                <w:kern w:val="0"/>
                <w:sz w:val="24"/>
                <w:highlight w:val="none"/>
              </w:rPr>
              <w:t>Q</w:t>
            </w:r>
            <w:r>
              <w:rPr>
                <w:rFonts w:hint="eastAsia"/>
                <w:snapToGrid w:val="0"/>
                <w:color w:val="auto"/>
                <w:kern w:val="0"/>
                <w:sz w:val="24"/>
                <w:highlight w:val="none"/>
              </w:rPr>
              <w:t>=0.00004</w:t>
            </w:r>
            <w:r>
              <w:rPr>
                <w:snapToGrid w:val="0"/>
                <w:color w:val="auto"/>
                <w:kern w:val="0"/>
                <w:sz w:val="24"/>
                <w:highlight w:val="none"/>
              </w:rPr>
              <w:t>＜1的范畴，</w:t>
            </w:r>
            <w:r>
              <w:rPr>
                <w:color w:val="auto"/>
                <w:sz w:val="24"/>
                <w:highlight w:val="none"/>
              </w:rPr>
              <w:t>环境风险潜势为</w:t>
            </w:r>
            <w:r>
              <w:rPr>
                <w:rFonts w:hAnsi="宋体"/>
                <w:color w:val="auto"/>
                <w:sz w:val="24"/>
                <w:highlight w:val="none"/>
              </w:rPr>
              <w:t>Ⅰ</w:t>
            </w:r>
            <w:r>
              <w:rPr>
                <w:color w:val="auto"/>
                <w:sz w:val="24"/>
                <w:highlight w:val="none"/>
              </w:rPr>
              <w:t>。</w:t>
            </w:r>
          </w:p>
          <w:p w14:paraId="749D3965">
            <w:pPr>
              <w:pStyle w:val="214"/>
              <w:shd w:val="clear"/>
              <w:spacing w:line="520" w:lineRule="exact"/>
              <w:ind w:firstLine="480"/>
              <w:jc w:val="both"/>
              <w:rPr>
                <w:b w:val="0"/>
                <w:color w:val="auto"/>
                <w:highlight w:val="none"/>
              </w:rPr>
            </w:pPr>
            <w:r>
              <w:rPr>
                <w:b w:val="0"/>
                <w:color w:val="auto"/>
                <w:highlight w:val="none"/>
              </w:rPr>
              <w:t>依据项目环境风险潜势，按照</w:t>
            </w:r>
            <w:r>
              <w:rPr>
                <w:rFonts w:hint="eastAsia"/>
                <w:b w:val="0"/>
                <w:color w:val="auto"/>
                <w:highlight w:val="none"/>
              </w:rPr>
              <w:t>下表</w:t>
            </w:r>
            <w:r>
              <w:rPr>
                <w:b w:val="0"/>
                <w:color w:val="auto"/>
                <w:highlight w:val="none"/>
              </w:rPr>
              <w:t>确定项目环境风险评价等级</w:t>
            </w:r>
            <w:r>
              <w:rPr>
                <w:rFonts w:hint="eastAsia"/>
                <w:b w:val="0"/>
                <w:color w:val="auto"/>
                <w:highlight w:val="none"/>
              </w:rPr>
              <w:t>为简单分析</w:t>
            </w:r>
            <w:r>
              <w:rPr>
                <w:b w:val="0"/>
                <w:color w:val="auto"/>
                <w:highlight w:val="none"/>
              </w:rPr>
              <w:t>。</w:t>
            </w:r>
          </w:p>
          <w:p w14:paraId="1AAD69CD">
            <w:pPr>
              <w:shd w:val="clear"/>
              <w:spacing w:line="520" w:lineRule="exact"/>
              <w:jc w:val="center"/>
              <w:rPr>
                <w:b/>
                <w:bCs/>
                <w:snapToGrid w:val="0"/>
                <w:color w:val="auto"/>
                <w:kern w:val="0"/>
                <w:szCs w:val="21"/>
                <w:highlight w:val="none"/>
              </w:rPr>
            </w:pPr>
            <w:r>
              <w:rPr>
                <w:b/>
                <w:bCs/>
                <w:snapToGrid w:val="0"/>
                <w:color w:val="auto"/>
                <w:kern w:val="0"/>
                <w:szCs w:val="21"/>
                <w:highlight w:val="none"/>
              </w:rPr>
              <w:t>表</w:t>
            </w:r>
            <w:r>
              <w:rPr>
                <w:rFonts w:hint="eastAsia"/>
                <w:b/>
                <w:bCs/>
                <w:snapToGrid w:val="0"/>
                <w:color w:val="auto"/>
                <w:kern w:val="0"/>
                <w:szCs w:val="21"/>
                <w:highlight w:val="none"/>
                <w:lang w:val="en-US" w:eastAsia="zh-CN"/>
              </w:rPr>
              <w:t>4-18</w:t>
            </w:r>
            <w:r>
              <w:rPr>
                <w:b/>
                <w:bCs/>
                <w:color w:val="auto"/>
                <w:szCs w:val="21"/>
                <w:highlight w:val="none"/>
              </w:rPr>
              <w:t xml:space="preserve">        </w:t>
            </w:r>
            <w:r>
              <w:rPr>
                <w:b/>
                <w:bCs/>
                <w:snapToGrid w:val="0"/>
                <w:color w:val="auto"/>
                <w:kern w:val="0"/>
                <w:szCs w:val="21"/>
                <w:highlight w:val="none"/>
              </w:rPr>
              <w:t>评价工作等级划分</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5"/>
              <w:gridCol w:w="1703"/>
              <w:gridCol w:w="1923"/>
              <w:gridCol w:w="1486"/>
              <w:gridCol w:w="1484"/>
            </w:tblGrid>
            <w:tr w14:paraId="1ED887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027" w:type="pct"/>
                  <w:vAlign w:val="center"/>
                </w:tcPr>
                <w:p w14:paraId="55AE29D0">
                  <w:pPr>
                    <w:shd w:val="clear"/>
                    <w:spacing w:line="240" w:lineRule="exact"/>
                    <w:jc w:val="center"/>
                    <w:rPr>
                      <w:b/>
                      <w:bCs/>
                      <w:snapToGrid w:val="0"/>
                      <w:color w:val="auto"/>
                      <w:kern w:val="0"/>
                      <w:szCs w:val="21"/>
                      <w:highlight w:val="none"/>
                    </w:rPr>
                  </w:pPr>
                  <w:r>
                    <w:rPr>
                      <w:b/>
                      <w:bCs/>
                      <w:snapToGrid w:val="0"/>
                      <w:color w:val="auto"/>
                      <w:kern w:val="0"/>
                      <w:szCs w:val="21"/>
                      <w:highlight w:val="none"/>
                    </w:rPr>
                    <w:t>环境风险潜势</w:t>
                  </w:r>
                </w:p>
              </w:tc>
              <w:tc>
                <w:tcPr>
                  <w:tcW w:w="1026" w:type="pct"/>
                  <w:vAlign w:val="center"/>
                </w:tcPr>
                <w:p w14:paraId="119D33CE">
                  <w:pPr>
                    <w:shd w:val="clear"/>
                    <w:spacing w:line="240" w:lineRule="exact"/>
                    <w:jc w:val="center"/>
                    <w:rPr>
                      <w:b/>
                      <w:bCs/>
                      <w:snapToGrid w:val="0"/>
                      <w:color w:val="auto"/>
                      <w:kern w:val="0"/>
                      <w:szCs w:val="21"/>
                      <w:highlight w:val="none"/>
                    </w:rPr>
                  </w:pPr>
                  <w:r>
                    <w:rPr>
                      <w:rFonts w:hint="eastAsia" w:ascii="宋体" w:hAnsi="宋体" w:cs="宋体"/>
                      <w:b/>
                      <w:bCs/>
                      <w:snapToGrid w:val="0"/>
                      <w:color w:val="auto"/>
                      <w:kern w:val="0"/>
                      <w:szCs w:val="21"/>
                      <w:highlight w:val="none"/>
                    </w:rPr>
                    <w:t>Ⅳ</w:t>
                  </w:r>
                  <w:r>
                    <w:rPr>
                      <w:b/>
                      <w:bCs/>
                      <w:snapToGrid w:val="0"/>
                      <w:color w:val="auto"/>
                      <w:kern w:val="0"/>
                      <w:szCs w:val="21"/>
                      <w:highlight w:val="none"/>
                    </w:rPr>
                    <w:t>、</w:t>
                  </w:r>
                  <w:r>
                    <w:rPr>
                      <w:rFonts w:hint="eastAsia" w:ascii="宋体" w:hAnsi="宋体" w:cs="宋体"/>
                      <w:b/>
                      <w:bCs/>
                      <w:snapToGrid w:val="0"/>
                      <w:color w:val="auto"/>
                      <w:kern w:val="0"/>
                      <w:szCs w:val="21"/>
                      <w:highlight w:val="none"/>
                    </w:rPr>
                    <w:t>Ⅳ</w:t>
                  </w:r>
                  <w:r>
                    <w:rPr>
                      <w:b/>
                      <w:bCs/>
                      <w:snapToGrid w:val="0"/>
                      <w:color w:val="auto"/>
                      <w:kern w:val="0"/>
                      <w:szCs w:val="21"/>
                      <w:highlight w:val="none"/>
                      <w:vertAlign w:val="superscript"/>
                    </w:rPr>
                    <w:t>+</w:t>
                  </w:r>
                </w:p>
              </w:tc>
              <w:tc>
                <w:tcPr>
                  <w:tcW w:w="1158" w:type="pct"/>
                  <w:vAlign w:val="center"/>
                </w:tcPr>
                <w:p w14:paraId="05BDFB85">
                  <w:pPr>
                    <w:shd w:val="clear"/>
                    <w:spacing w:line="240" w:lineRule="exact"/>
                    <w:jc w:val="center"/>
                    <w:rPr>
                      <w:b/>
                      <w:bCs/>
                      <w:snapToGrid w:val="0"/>
                      <w:color w:val="auto"/>
                      <w:kern w:val="0"/>
                      <w:szCs w:val="21"/>
                      <w:highlight w:val="none"/>
                    </w:rPr>
                  </w:pPr>
                  <w:r>
                    <w:rPr>
                      <w:rFonts w:hint="eastAsia" w:ascii="宋体" w:hAnsi="宋体" w:cs="宋体"/>
                      <w:b/>
                      <w:bCs/>
                      <w:snapToGrid w:val="0"/>
                      <w:color w:val="auto"/>
                      <w:kern w:val="0"/>
                      <w:szCs w:val="21"/>
                      <w:highlight w:val="none"/>
                    </w:rPr>
                    <w:t>Ⅲ</w:t>
                  </w:r>
                </w:p>
              </w:tc>
              <w:tc>
                <w:tcPr>
                  <w:tcW w:w="895" w:type="pct"/>
                  <w:vAlign w:val="center"/>
                </w:tcPr>
                <w:p w14:paraId="6C6541A0">
                  <w:pPr>
                    <w:shd w:val="clear"/>
                    <w:spacing w:line="240" w:lineRule="exact"/>
                    <w:jc w:val="center"/>
                    <w:rPr>
                      <w:b/>
                      <w:bCs/>
                      <w:snapToGrid w:val="0"/>
                      <w:color w:val="auto"/>
                      <w:kern w:val="0"/>
                      <w:szCs w:val="21"/>
                      <w:highlight w:val="none"/>
                    </w:rPr>
                  </w:pPr>
                  <w:r>
                    <w:rPr>
                      <w:rFonts w:hint="eastAsia" w:ascii="宋体" w:hAnsi="宋体" w:cs="宋体"/>
                      <w:b/>
                      <w:bCs/>
                      <w:snapToGrid w:val="0"/>
                      <w:color w:val="auto"/>
                      <w:kern w:val="0"/>
                      <w:szCs w:val="21"/>
                      <w:highlight w:val="none"/>
                    </w:rPr>
                    <w:t>Ⅱ</w:t>
                  </w:r>
                </w:p>
              </w:tc>
              <w:tc>
                <w:tcPr>
                  <w:tcW w:w="894" w:type="pct"/>
                  <w:vAlign w:val="center"/>
                </w:tcPr>
                <w:p w14:paraId="0BD5B732">
                  <w:pPr>
                    <w:shd w:val="clear"/>
                    <w:spacing w:line="240" w:lineRule="exact"/>
                    <w:jc w:val="center"/>
                    <w:rPr>
                      <w:b/>
                      <w:bCs/>
                      <w:snapToGrid w:val="0"/>
                      <w:color w:val="auto"/>
                      <w:kern w:val="0"/>
                      <w:szCs w:val="21"/>
                      <w:highlight w:val="none"/>
                    </w:rPr>
                  </w:pPr>
                  <w:r>
                    <w:rPr>
                      <w:rFonts w:hint="eastAsia" w:ascii="宋体" w:hAnsi="宋体" w:cs="宋体"/>
                      <w:b/>
                      <w:bCs/>
                      <w:snapToGrid w:val="0"/>
                      <w:color w:val="auto"/>
                      <w:kern w:val="0"/>
                      <w:szCs w:val="21"/>
                      <w:highlight w:val="none"/>
                    </w:rPr>
                    <w:t>Ⅰ</w:t>
                  </w:r>
                </w:p>
              </w:tc>
            </w:tr>
            <w:tr w14:paraId="200327A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3" w:hRule="atLeast"/>
                <w:jc w:val="center"/>
              </w:trPr>
              <w:tc>
                <w:tcPr>
                  <w:tcW w:w="1027" w:type="pct"/>
                  <w:shd w:val="clear" w:color="auto" w:fill="auto"/>
                  <w:vAlign w:val="center"/>
                </w:tcPr>
                <w:p w14:paraId="39133769">
                  <w:pPr>
                    <w:shd w:val="clear"/>
                    <w:spacing w:line="240" w:lineRule="exact"/>
                    <w:jc w:val="center"/>
                    <w:rPr>
                      <w:snapToGrid w:val="0"/>
                      <w:color w:val="auto"/>
                      <w:kern w:val="0"/>
                      <w:szCs w:val="21"/>
                      <w:highlight w:val="none"/>
                    </w:rPr>
                  </w:pPr>
                  <w:r>
                    <w:rPr>
                      <w:snapToGrid w:val="0"/>
                      <w:color w:val="auto"/>
                      <w:kern w:val="0"/>
                      <w:szCs w:val="21"/>
                      <w:highlight w:val="none"/>
                    </w:rPr>
                    <w:t>评价工作等级</w:t>
                  </w:r>
                </w:p>
              </w:tc>
              <w:tc>
                <w:tcPr>
                  <w:tcW w:w="1026" w:type="pct"/>
                  <w:shd w:val="clear" w:color="auto" w:fill="auto"/>
                  <w:vAlign w:val="center"/>
                </w:tcPr>
                <w:p w14:paraId="5E311680">
                  <w:pPr>
                    <w:shd w:val="clear"/>
                    <w:spacing w:line="240" w:lineRule="exact"/>
                    <w:jc w:val="center"/>
                    <w:rPr>
                      <w:snapToGrid w:val="0"/>
                      <w:color w:val="auto"/>
                      <w:kern w:val="0"/>
                      <w:szCs w:val="21"/>
                      <w:highlight w:val="none"/>
                      <w:vertAlign w:val="superscript"/>
                    </w:rPr>
                  </w:pPr>
                  <w:r>
                    <w:rPr>
                      <w:snapToGrid w:val="0"/>
                      <w:color w:val="auto"/>
                      <w:kern w:val="0"/>
                      <w:szCs w:val="21"/>
                      <w:highlight w:val="none"/>
                    </w:rPr>
                    <w:t>一</w:t>
                  </w:r>
                </w:p>
              </w:tc>
              <w:tc>
                <w:tcPr>
                  <w:tcW w:w="1158" w:type="pct"/>
                  <w:shd w:val="clear" w:color="auto" w:fill="auto"/>
                  <w:vAlign w:val="center"/>
                </w:tcPr>
                <w:p w14:paraId="77BB98AA">
                  <w:pPr>
                    <w:shd w:val="clear"/>
                    <w:spacing w:line="240" w:lineRule="exact"/>
                    <w:jc w:val="center"/>
                    <w:rPr>
                      <w:snapToGrid w:val="0"/>
                      <w:color w:val="auto"/>
                      <w:kern w:val="0"/>
                      <w:szCs w:val="21"/>
                      <w:highlight w:val="none"/>
                    </w:rPr>
                  </w:pPr>
                  <w:r>
                    <w:rPr>
                      <w:snapToGrid w:val="0"/>
                      <w:color w:val="auto"/>
                      <w:kern w:val="0"/>
                      <w:szCs w:val="21"/>
                      <w:highlight w:val="none"/>
                    </w:rPr>
                    <w:t>二</w:t>
                  </w:r>
                </w:p>
              </w:tc>
              <w:tc>
                <w:tcPr>
                  <w:tcW w:w="895" w:type="pct"/>
                  <w:shd w:val="clear" w:color="auto" w:fill="auto"/>
                  <w:vAlign w:val="center"/>
                </w:tcPr>
                <w:p w14:paraId="0E9E2240">
                  <w:pPr>
                    <w:shd w:val="clear"/>
                    <w:spacing w:line="240" w:lineRule="exact"/>
                    <w:jc w:val="center"/>
                    <w:rPr>
                      <w:snapToGrid w:val="0"/>
                      <w:color w:val="auto"/>
                      <w:kern w:val="0"/>
                      <w:szCs w:val="21"/>
                      <w:highlight w:val="none"/>
                    </w:rPr>
                  </w:pPr>
                  <w:r>
                    <w:rPr>
                      <w:snapToGrid w:val="0"/>
                      <w:color w:val="auto"/>
                      <w:kern w:val="0"/>
                      <w:szCs w:val="21"/>
                      <w:highlight w:val="none"/>
                    </w:rPr>
                    <w:t>三</w:t>
                  </w:r>
                </w:p>
              </w:tc>
              <w:tc>
                <w:tcPr>
                  <w:tcW w:w="894" w:type="pct"/>
                  <w:shd w:val="clear" w:color="auto" w:fill="D8D8D8" w:themeFill="background1" w:themeFillShade="D9"/>
                  <w:vAlign w:val="center"/>
                </w:tcPr>
                <w:p w14:paraId="4F44BB25">
                  <w:pPr>
                    <w:shd w:val="clear"/>
                    <w:spacing w:line="240" w:lineRule="exact"/>
                    <w:jc w:val="center"/>
                    <w:rPr>
                      <w:snapToGrid w:val="0"/>
                      <w:color w:val="auto"/>
                      <w:kern w:val="0"/>
                      <w:szCs w:val="21"/>
                      <w:highlight w:val="none"/>
                    </w:rPr>
                  </w:pPr>
                  <w:r>
                    <w:rPr>
                      <w:snapToGrid w:val="0"/>
                      <w:color w:val="auto"/>
                      <w:kern w:val="0"/>
                      <w:szCs w:val="21"/>
                      <w:highlight w:val="none"/>
                    </w:rPr>
                    <w:t>简单分析</w:t>
                  </w:r>
                  <w:r>
                    <w:rPr>
                      <w:rFonts w:hint="eastAsia"/>
                      <w:snapToGrid w:val="0"/>
                      <w:color w:val="auto"/>
                      <w:kern w:val="0"/>
                      <w:szCs w:val="21"/>
                      <w:highlight w:val="none"/>
                    </w:rPr>
                    <w:t>a</w:t>
                  </w:r>
                </w:p>
              </w:tc>
            </w:tr>
          </w:tbl>
          <w:p w14:paraId="3E275A0B">
            <w:pPr>
              <w:keepNext w:val="0"/>
              <w:keepLines w:val="0"/>
              <w:pageBreakBefore w:val="0"/>
              <w:widowControl w:val="0"/>
              <w:shd w:val="clear"/>
              <w:kinsoku/>
              <w:wordWrap/>
              <w:overflowPunct/>
              <w:topLinePunct w:val="0"/>
              <w:autoSpaceDE/>
              <w:autoSpaceDN/>
              <w:bidi w:val="0"/>
              <w:adjustRightInd/>
              <w:snapToGrid/>
              <w:spacing w:before="157" w:beforeLines="50" w:line="360" w:lineRule="auto"/>
              <w:ind w:firstLine="480" w:firstLineChars="200"/>
              <w:textAlignment w:val="auto"/>
              <w:rPr>
                <w:rFonts w:hAnsiTheme="minorEastAsia" w:eastAsiaTheme="minorEastAsia"/>
                <w:color w:val="auto"/>
                <w:sz w:val="24"/>
                <w:highlight w:val="none"/>
              </w:rPr>
            </w:pPr>
            <w:r>
              <w:rPr>
                <w:rFonts w:hint="eastAsia" w:cs="Times New Roman"/>
                <w:color w:val="auto"/>
                <w:kern w:val="0"/>
                <w:sz w:val="24"/>
                <w:szCs w:val="24"/>
                <w:lang w:val="en-US" w:eastAsia="zh-CN" w:bidi="ar"/>
              </w:rPr>
              <w:t>（4）</w:t>
            </w:r>
            <w:r>
              <w:rPr>
                <w:rFonts w:hint="default" w:ascii="Times New Roman" w:hAnsi="Times New Roman" w:eastAsia="宋体" w:cs="Times New Roman"/>
                <w:color w:val="auto"/>
                <w:kern w:val="0"/>
                <w:sz w:val="24"/>
                <w:szCs w:val="24"/>
                <w:lang w:val="en-US" w:eastAsia="zh-CN" w:bidi="ar"/>
              </w:rPr>
              <w:t>环境风险识别分析</w:t>
            </w:r>
          </w:p>
          <w:p w14:paraId="3346E82A">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hAnsiTheme="minorEastAsia" w:eastAsiaTheme="minorEastAsia"/>
                <w:color w:val="auto"/>
                <w:sz w:val="24"/>
                <w:highlight w:val="none"/>
                <w:lang w:val="en-US" w:eastAsia="zh-CN"/>
              </w:rPr>
            </w:pPr>
            <w:r>
              <w:rPr>
                <w:rFonts w:hint="eastAsia" w:hAnsiTheme="minorEastAsia" w:eastAsiaTheme="minorEastAsia"/>
                <w:color w:val="auto"/>
                <w:sz w:val="24"/>
                <w:highlight w:val="none"/>
                <w:lang w:val="en-US" w:eastAsia="zh-CN"/>
              </w:rPr>
              <w:t>项目使用的原料：</w:t>
            </w:r>
            <w:r>
              <w:rPr>
                <w:rFonts w:hint="eastAsia" w:hAnsiTheme="minorEastAsia" w:eastAsiaTheme="minorEastAsia"/>
                <w:color w:val="auto"/>
                <w:sz w:val="24"/>
                <w:highlight w:val="none"/>
              </w:rPr>
              <w:t>聚乙烯</w:t>
            </w:r>
            <w:r>
              <w:rPr>
                <w:rFonts w:hAnsiTheme="minorEastAsia" w:eastAsiaTheme="minorEastAsia"/>
                <w:color w:val="auto"/>
                <w:sz w:val="24"/>
                <w:highlight w:val="none"/>
              </w:rPr>
              <w:t>具有</w:t>
            </w:r>
            <w:r>
              <w:rPr>
                <w:rFonts w:hAnsiTheme="minorEastAsia" w:eastAsiaTheme="minorEastAsia"/>
                <w:bCs/>
                <w:color w:val="auto"/>
                <w:sz w:val="24"/>
                <w:highlight w:val="none"/>
              </w:rPr>
              <w:t>可燃性质</w:t>
            </w:r>
            <w:r>
              <w:rPr>
                <w:rFonts w:hint="eastAsia" w:hAnsiTheme="minorEastAsia" w:eastAsiaTheme="minorEastAsia"/>
                <w:bCs/>
                <w:color w:val="auto"/>
                <w:sz w:val="24"/>
                <w:highlight w:val="none"/>
                <w:lang w:eastAsia="zh-CN"/>
              </w:rPr>
              <w:t>，</w:t>
            </w:r>
            <w:r>
              <w:rPr>
                <w:rFonts w:hint="eastAsia" w:hAnsiTheme="minorEastAsia" w:eastAsiaTheme="minorEastAsia"/>
                <w:bCs/>
                <w:color w:val="auto"/>
                <w:sz w:val="24"/>
                <w:highlight w:val="none"/>
                <w:lang w:val="en-US" w:eastAsia="zh-CN"/>
              </w:rPr>
              <w:t>保存不当可能造成火灾等风险；项目维修产生的废机油，如保存、</w:t>
            </w:r>
            <w:r>
              <w:rPr>
                <w:rFonts w:hint="default" w:ascii="Times New Roman" w:hAnsi="Times New Roman" w:eastAsia="宋体" w:cs="Times New Roman"/>
                <w:color w:val="auto"/>
                <w:sz w:val="24"/>
                <w:highlight w:val="none"/>
                <w:lang w:val="en-US" w:eastAsia="zh-CN"/>
              </w:rPr>
              <w:t>运输不当渗漏，废机油渗入土壤后，会在土壤中积累并难以自然</w:t>
            </w:r>
            <w:r>
              <w:rPr>
                <w:rFonts w:hint="default" w:hAnsiTheme="minorEastAsia" w:eastAsiaTheme="minorEastAsia"/>
                <w:bCs/>
                <w:color w:val="auto"/>
                <w:sz w:val="24"/>
                <w:highlight w:val="none"/>
                <w:lang w:val="en-US" w:eastAsia="zh-CN"/>
              </w:rPr>
              <w:t>降解</w:t>
            </w:r>
            <w:r>
              <w:rPr>
                <w:rFonts w:hint="eastAsia" w:hAnsiTheme="minorEastAsia" w:eastAsiaTheme="minorEastAsia"/>
                <w:bCs/>
                <w:color w:val="auto"/>
                <w:sz w:val="24"/>
                <w:highlight w:val="none"/>
                <w:lang w:val="en-US" w:eastAsia="zh-CN"/>
              </w:rPr>
              <w:t>，</w:t>
            </w:r>
            <w:r>
              <w:rPr>
                <w:rFonts w:hint="default" w:hAnsiTheme="minorEastAsia" w:eastAsiaTheme="minorEastAsia"/>
                <w:bCs/>
                <w:color w:val="auto"/>
                <w:sz w:val="24"/>
                <w:highlight w:val="none"/>
                <w:lang w:val="en-US" w:eastAsia="zh-CN"/>
              </w:rPr>
              <w:t>破坏土壤结构和功能。</w:t>
            </w:r>
          </w:p>
          <w:p w14:paraId="78EA0374">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eastAsiaTheme="minorEastAsia"/>
                <w:color w:val="auto"/>
                <w:sz w:val="24"/>
                <w:highlight w:val="none"/>
              </w:rPr>
            </w:pPr>
            <w:r>
              <w:rPr>
                <w:rFonts w:hAnsiTheme="minorEastAsia" w:eastAsiaTheme="minorEastAsia"/>
                <w:color w:val="auto"/>
                <w:sz w:val="24"/>
                <w:highlight w:val="none"/>
              </w:rPr>
              <w:t>（</w:t>
            </w:r>
            <w:r>
              <w:rPr>
                <w:rFonts w:hint="eastAsia" w:eastAsiaTheme="minorEastAsia"/>
                <w:color w:val="auto"/>
                <w:sz w:val="24"/>
                <w:highlight w:val="none"/>
                <w:lang w:val="en-US" w:eastAsia="zh-CN"/>
              </w:rPr>
              <w:t>5</w:t>
            </w:r>
            <w:r>
              <w:rPr>
                <w:rFonts w:hAnsiTheme="minorEastAsia" w:eastAsiaTheme="minorEastAsia"/>
                <w:color w:val="auto"/>
                <w:sz w:val="24"/>
                <w:highlight w:val="none"/>
              </w:rPr>
              <w:t>）风险防范措施</w:t>
            </w:r>
          </w:p>
          <w:p w14:paraId="4BE96478">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eastAsiaTheme="minorEastAsia"/>
                <w:color w:val="auto"/>
                <w:sz w:val="24"/>
                <w:highlight w:val="none"/>
              </w:rPr>
            </w:pPr>
            <w:r>
              <w:rPr>
                <w:rFonts w:hAnsiTheme="minorEastAsia" w:eastAsiaTheme="minorEastAsia"/>
                <w:color w:val="auto"/>
                <w:sz w:val="24"/>
                <w:highlight w:val="none"/>
              </w:rPr>
              <w:t>突发性事故的防范，首先要消除事故隐患，加强管理，严格操作，安全生产，避免人为因素造成事故。企业在日常生产中应采取如下安全防范措施：</w:t>
            </w:r>
          </w:p>
          <w:p w14:paraId="3531A4AD">
            <w:pPr>
              <w:keepNext w:val="0"/>
              <w:keepLines w:val="0"/>
              <w:pageBreakBefore w:val="0"/>
              <w:widowControl w:val="0"/>
              <w:shd w:val="clear" w:color="auto"/>
              <w:kinsoku/>
              <w:wordWrap/>
              <w:overflowPunct/>
              <w:topLinePunct w:val="0"/>
              <w:autoSpaceDE/>
              <w:autoSpaceDN/>
              <w:bidi w:val="0"/>
              <w:adjustRightInd/>
              <w:snapToGrid/>
              <w:spacing w:line="360" w:lineRule="auto"/>
              <w:ind w:firstLine="480" w:firstLineChars="200"/>
              <w:textAlignment w:val="auto"/>
              <w:rPr>
                <w:rFonts w:eastAsiaTheme="minorEastAsia"/>
                <w:bCs/>
                <w:color w:val="auto"/>
                <w:sz w:val="24"/>
                <w:highlight w:val="none"/>
              </w:rPr>
            </w:pPr>
            <w:r>
              <w:rPr>
                <w:rFonts w:asciiTheme="minorEastAsia" w:hAnsiTheme="minorEastAsia" w:eastAsiaTheme="minorEastAsia"/>
                <w:color w:val="auto"/>
                <w:sz w:val="24"/>
                <w:highlight w:val="none"/>
              </w:rPr>
              <w:t>①</w:t>
            </w:r>
            <w:r>
              <w:rPr>
                <w:rFonts w:hint="eastAsia" w:hAnsiTheme="minorEastAsia" w:eastAsiaTheme="minorEastAsia"/>
                <w:color w:val="auto"/>
                <w:sz w:val="24"/>
                <w:highlight w:val="none"/>
              </w:rPr>
              <w:t>聚乙烯</w:t>
            </w:r>
            <w:r>
              <w:rPr>
                <w:rFonts w:hAnsiTheme="minorEastAsia" w:eastAsiaTheme="minorEastAsia"/>
                <w:color w:val="auto"/>
                <w:sz w:val="24"/>
                <w:highlight w:val="none"/>
              </w:rPr>
              <w:t>具有</w:t>
            </w:r>
            <w:r>
              <w:rPr>
                <w:rFonts w:hAnsiTheme="minorEastAsia" w:eastAsiaTheme="minorEastAsia"/>
                <w:bCs/>
                <w:color w:val="auto"/>
                <w:sz w:val="24"/>
                <w:highlight w:val="none"/>
              </w:rPr>
              <w:t>可燃性质，所以在日常生产中要注重防火。各厂房应严格按照《建筑设计防火规范》合理布置总图，各生产和辅助装置要求参照消防有关要求建设、布置，消防通道和建筑物耐火等级应满足消防要求，在原料存放区设立警告牌</w:t>
            </w:r>
            <w:r>
              <w:rPr>
                <w:rFonts w:hint="eastAsia" w:hAnsiTheme="minorEastAsia" w:eastAsiaTheme="minorEastAsia"/>
                <w:bCs/>
                <w:color w:val="auto"/>
                <w:sz w:val="24"/>
                <w:highlight w:val="none"/>
                <w:lang w:eastAsia="zh-CN"/>
              </w:rPr>
              <w:t>（</w:t>
            </w:r>
            <w:r>
              <w:rPr>
                <w:rFonts w:hAnsiTheme="minorEastAsia" w:eastAsiaTheme="minorEastAsia"/>
                <w:bCs/>
                <w:color w:val="auto"/>
                <w:sz w:val="24"/>
                <w:highlight w:val="none"/>
              </w:rPr>
              <w:t>严禁烟火</w:t>
            </w:r>
            <w:r>
              <w:rPr>
                <w:rFonts w:hint="eastAsia" w:hAnsiTheme="minorEastAsia" w:eastAsiaTheme="minorEastAsia"/>
                <w:bCs/>
                <w:color w:val="auto"/>
                <w:sz w:val="24"/>
                <w:highlight w:val="none"/>
                <w:lang w:eastAsia="zh-CN"/>
              </w:rPr>
              <w:t>）</w:t>
            </w:r>
            <w:r>
              <w:rPr>
                <w:rFonts w:hAnsiTheme="minorEastAsia" w:eastAsiaTheme="minorEastAsia"/>
                <w:bCs/>
                <w:color w:val="auto"/>
                <w:sz w:val="24"/>
                <w:highlight w:val="none"/>
              </w:rPr>
              <w:t>。</w:t>
            </w:r>
            <w:r>
              <w:rPr>
                <w:rFonts w:hint="eastAsia"/>
                <w:color w:val="auto"/>
                <w:sz w:val="24"/>
                <w:highlight w:val="none"/>
              </w:rPr>
              <w:t>配置灭火器，灭火器的设置应符合《建筑灭火器配置设计规范》相关要求。</w:t>
            </w:r>
          </w:p>
          <w:p w14:paraId="65376159">
            <w:pPr>
              <w:keepNext w:val="0"/>
              <w:keepLines w:val="0"/>
              <w:pageBreakBefore w:val="0"/>
              <w:widowControl w:val="0"/>
              <w:shd w:val="clear" w:color="auto"/>
              <w:kinsoku/>
              <w:wordWrap/>
              <w:overflowPunct/>
              <w:topLinePunct w:val="0"/>
              <w:autoSpaceDE/>
              <w:autoSpaceDN/>
              <w:bidi w:val="0"/>
              <w:adjustRightInd/>
              <w:snapToGrid/>
              <w:spacing w:line="360" w:lineRule="auto"/>
              <w:ind w:firstLine="480" w:firstLineChars="200"/>
              <w:textAlignment w:val="auto"/>
              <w:rPr>
                <w:rFonts w:eastAsiaTheme="minorEastAsia"/>
                <w:bCs/>
                <w:color w:val="auto"/>
                <w:sz w:val="24"/>
                <w:highlight w:val="none"/>
              </w:rPr>
            </w:pPr>
            <w:r>
              <w:rPr>
                <w:rFonts w:asciiTheme="minorEastAsia" w:hAnsiTheme="minorEastAsia" w:eastAsiaTheme="minorEastAsia"/>
                <w:color w:val="auto"/>
                <w:sz w:val="24"/>
                <w:highlight w:val="none"/>
              </w:rPr>
              <w:t>②</w:t>
            </w:r>
            <w:r>
              <w:rPr>
                <w:rFonts w:hAnsiTheme="minorEastAsia" w:eastAsiaTheme="minorEastAsia"/>
                <w:bCs/>
                <w:color w:val="auto"/>
                <w:sz w:val="24"/>
                <w:highlight w:val="none"/>
              </w:rPr>
              <w:t>企业应认真贯彻</w:t>
            </w:r>
            <w:r>
              <w:rPr>
                <w:rFonts w:eastAsiaTheme="minorEastAsia"/>
                <w:bCs/>
                <w:color w:val="auto"/>
                <w:sz w:val="24"/>
                <w:highlight w:val="none"/>
              </w:rPr>
              <w:t>“</w:t>
            </w:r>
            <w:r>
              <w:rPr>
                <w:rFonts w:hAnsiTheme="minorEastAsia" w:eastAsiaTheme="minorEastAsia"/>
                <w:bCs/>
                <w:color w:val="auto"/>
                <w:sz w:val="24"/>
                <w:highlight w:val="none"/>
              </w:rPr>
              <w:t>安全第一，预防为主</w:t>
            </w:r>
            <w:r>
              <w:rPr>
                <w:rFonts w:eastAsiaTheme="minorEastAsia"/>
                <w:bCs/>
                <w:color w:val="auto"/>
                <w:sz w:val="24"/>
                <w:highlight w:val="none"/>
              </w:rPr>
              <w:t>”</w:t>
            </w:r>
            <w:r>
              <w:rPr>
                <w:rFonts w:hAnsiTheme="minorEastAsia" w:eastAsiaTheme="minorEastAsia"/>
                <w:bCs/>
                <w:color w:val="auto"/>
                <w:sz w:val="24"/>
                <w:highlight w:val="none"/>
              </w:rPr>
              <w:t>的方针，为安全生产创造条件，采取一切可能的措施，全面加强安全管理和安全教育工作，防止火灾事故的发生。同时，制订快速有效的火灾事故应急救援预案，建立环境风险事故报警系统体系，确保各种通讯工具处于良好状态，制定标准的火灾事故报警方法和程序，并对工人进行紧急事态时的报警培训；编制企业《安全管理制度》和《火灾事故应急预案》，成立火灾事故应急指挥小组和消防小组，明确各组员的工作职责和事故发生后的处理办法，平时作好救援专业队伍的组织、训练和演练，并对工人进行自救和互救知识的宣传教育。</w:t>
            </w:r>
          </w:p>
          <w:p w14:paraId="5D6CE629">
            <w:pPr>
              <w:keepNext w:val="0"/>
              <w:keepLines w:val="0"/>
              <w:pageBreakBefore w:val="0"/>
              <w:widowControl w:val="0"/>
              <w:shd w:val="clear" w:color="auto"/>
              <w:kinsoku/>
              <w:wordWrap/>
              <w:overflowPunct/>
              <w:topLinePunct w:val="0"/>
              <w:autoSpaceDE/>
              <w:autoSpaceDN/>
              <w:bidi w:val="0"/>
              <w:adjustRightInd/>
              <w:snapToGrid/>
              <w:spacing w:line="360" w:lineRule="auto"/>
              <w:ind w:firstLine="480" w:firstLineChars="200"/>
              <w:textAlignment w:val="auto"/>
              <w:rPr>
                <w:rFonts w:hAnsiTheme="minorEastAsia" w:eastAsiaTheme="minorEastAsia"/>
                <w:bCs/>
                <w:color w:val="auto"/>
                <w:sz w:val="24"/>
                <w:highlight w:val="none"/>
              </w:rPr>
            </w:pPr>
            <w:r>
              <w:rPr>
                <w:rFonts w:hint="eastAsia" w:hAnsiTheme="minorEastAsia" w:eastAsiaTheme="minorEastAsia"/>
                <w:bCs/>
                <w:color w:val="auto"/>
                <w:sz w:val="24"/>
                <w:highlight w:val="none"/>
              </w:rPr>
              <w:t>③本项目如发现废气排放异常时，必须停止生产，及时调查事故发生原因并对废气处理设施进行维修，避免生产废气事故排放。</w:t>
            </w:r>
          </w:p>
          <w:p w14:paraId="3A14896D">
            <w:pPr>
              <w:keepNext w:val="0"/>
              <w:keepLines w:val="0"/>
              <w:pageBreakBefore w:val="0"/>
              <w:widowControl w:val="0"/>
              <w:shd w:val="clear" w:color="auto"/>
              <w:kinsoku/>
              <w:wordWrap/>
              <w:overflowPunct/>
              <w:topLinePunct w:val="0"/>
              <w:autoSpaceDE/>
              <w:autoSpaceDN/>
              <w:bidi w:val="0"/>
              <w:adjustRightInd/>
              <w:snapToGrid/>
              <w:spacing w:line="360" w:lineRule="auto"/>
              <w:ind w:firstLine="480" w:firstLineChars="200"/>
              <w:textAlignment w:val="auto"/>
              <w:rPr>
                <w:rFonts w:hAnsiTheme="minorEastAsia" w:eastAsiaTheme="minorEastAsia"/>
                <w:bCs/>
                <w:color w:val="auto"/>
                <w:sz w:val="24"/>
                <w:highlight w:val="none"/>
              </w:rPr>
            </w:pPr>
            <w:r>
              <w:rPr>
                <w:rFonts w:hint="eastAsia" w:hAnsiTheme="minorEastAsia" w:eastAsiaTheme="minorEastAsia"/>
                <w:bCs/>
                <w:color w:val="auto"/>
                <w:sz w:val="24"/>
                <w:highlight w:val="none"/>
              </w:rPr>
              <w:t>④</w:t>
            </w:r>
            <w:r>
              <w:rPr>
                <w:rFonts w:hAnsiTheme="minorEastAsia" w:eastAsiaTheme="minorEastAsia"/>
                <w:bCs/>
                <w:color w:val="auto"/>
                <w:sz w:val="24"/>
                <w:highlight w:val="none"/>
              </w:rPr>
              <w:t>加强对公司职工的教育培训，实行上岗证制度，增强职工风险意识，提高事故自救能力，制定和强化各种安全管理、安全生产的规程，减少人为风险事故（如误操作）的发生。</w:t>
            </w:r>
            <w:r>
              <w:rPr>
                <w:rFonts w:hint="eastAsia" w:hAnsiTheme="minorEastAsia" w:eastAsiaTheme="minorEastAsia"/>
                <w:bCs/>
                <w:color w:val="auto"/>
                <w:sz w:val="24"/>
                <w:highlight w:val="none"/>
              </w:rPr>
              <w:t>危险废物在运输时要严格按照《危险货物运输规则》中的危险货物配装表进行配装，起运时包装要完整，装载应稳妥。严禁与易燃物或可燃物、食用化学品等混装运输。运输途中应防暴晒、雨淋，防高温。</w:t>
            </w:r>
          </w:p>
          <w:p w14:paraId="34E39D5D">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AnsiTheme="minorEastAsia" w:eastAsiaTheme="minorEastAsia"/>
                <w:color w:val="auto"/>
                <w:sz w:val="24"/>
                <w:highlight w:val="none"/>
              </w:rPr>
            </w:pPr>
            <w:r>
              <w:rPr>
                <w:rFonts w:hint="eastAsia" w:hAnsiTheme="minorEastAsia" w:eastAsiaTheme="minorEastAsia"/>
                <w:color w:val="auto"/>
                <w:sz w:val="24"/>
                <w:highlight w:val="none"/>
              </w:rPr>
              <w:t>（</w:t>
            </w:r>
            <w:r>
              <w:rPr>
                <w:rFonts w:hint="eastAsia" w:hAnsiTheme="minorEastAsia" w:eastAsiaTheme="minorEastAsia"/>
                <w:color w:val="auto"/>
                <w:sz w:val="24"/>
                <w:highlight w:val="none"/>
                <w:lang w:val="en-US" w:eastAsia="zh-CN"/>
              </w:rPr>
              <w:t>6</w:t>
            </w:r>
            <w:r>
              <w:rPr>
                <w:rFonts w:hint="eastAsia" w:hAnsiTheme="minorEastAsia" w:eastAsiaTheme="minorEastAsia"/>
                <w:color w:val="auto"/>
                <w:sz w:val="24"/>
                <w:highlight w:val="none"/>
              </w:rPr>
              <w:t>）应急预案</w:t>
            </w:r>
          </w:p>
          <w:p w14:paraId="2A9604A6">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eastAsiaTheme="minorEastAsia"/>
                <w:color w:val="auto"/>
                <w:kern w:val="0"/>
                <w:sz w:val="24"/>
                <w:highlight w:val="none"/>
              </w:rPr>
            </w:pPr>
            <w:r>
              <w:rPr>
                <w:rFonts w:hAnsiTheme="minorEastAsia" w:eastAsiaTheme="minorEastAsia"/>
                <w:color w:val="auto"/>
                <w:kern w:val="0"/>
                <w:sz w:val="24"/>
                <w:highlight w:val="none"/>
              </w:rPr>
              <w:t>事故的应急预案是根据工程风险源风险分析，</w:t>
            </w:r>
            <w:r>
              <w:rPr>
                <w:rFonts w:hint="eastAsia" w:hAnsiTheme="minorEastAsia" w:eastAsiaTheme="minorEastAsia"/>
                <w:color w:val="auto"/>
                <w:kern w:val="0"/>
                <w:sz w:val="24"/>
                <w:highlight w:val="none"/>
                <w:lang w:eastAsia="zh-CN"/>
              </w:rPr>
              <w:t>制定</w:t>
            </w:r>
            <w:r>
              <w:rPr>
                <w:rFonts w:hAnsiTheme="minorEastAsia" w:eastAsiaTheme="minorEastAsia"/>
                <w:color w:val="auto"/>
                <w:kern w:val="0"/>
                <w:sz w:val="24"/>
                <w:highlight w:val="none"/>
              </w:rPr>
              <w:t>防止事故发生和减少事故发生的损失的计划，建立健全突发环境事件应急机制，提高本项目应对涉及公共危机的突发环境事件的能力，维护社会稳定，保障职工生命健康和财产安全，将污染突发事件对人员、财产和环境造成的损失降至最小程度，促进本厂全面、协调、可持续发展</w:t>
            </w:r>
            <w:r>
              <w:rPr>
                <w:rFonts w:hint="eastAsia" w:hAnsiTheme="minorEastAsia" w:eastAsiaTheme="minorEastAsia"/>
                <w:color w:val="auto"/>
                <w:kern w:val="0"/>
                <w:sz w:val="24"/>
                <w:highlight w:val="none"/>
                <w:lang w:eastAsia="zh-CN"/>
              </w:rPr>
              <w:t>，</w:t>
            </w:r>
            <w:r>
              <w:rPr>
                <w:rFonts w:hint="eastAsia" w:hAnsiTheme="minorEastAsia" w:eastAsiaTheme="minorEastAsia"/>
                <w:color w:val="auto"/>
                <w:kern w:val="0"/>
                <w:sz w:val="24"/>
                <w:highlight w:val="none"/>
                <w:lang w:val="en-US" w:eastAsia="zh-CN"/>
              </w:rPr>
              <w:t>本环评要求项目按要求编制突发环境事件应急预案</w:t>
            </w:r>
            <w:r>
              <w:rPr>
                <w:rFonts w:hAnsiTheme="minorEastAsia" w:eastAsiaTheme="minorEastAsia"/>
                <w:color w:val="auto"/>
                <w:kern w:val="0"/>
                <w:sz w:val="24"/>
                <w:highlight w:val="none"/>
              </w:rPr>
              <w:t>。</w:t>
            </w:r>
            <w:r>
              <w:rPr>
                <w:rFonts w:hint="eastAsia" w:hAnsiTheme="minorEastAsia" w:eastAsiaTheme="minorEastAsia"/>
                <w:color w:val="auto"/>
                <w:kern w:val="0"/>
                <w:sz w:val="24"/>
                <w:highlight w:val="none"/>
              </w:rPr>
              <w:t>本项目</w:t>
            </w:r>
            <w:r>
              <w:rPr>
                <w:rFonts w:hAnsiTheme="minorEastAsia" w:eastAsiaTheme="minorEastAsia"/>
                <w:color w:val="auto"/>
                <w:kern w:val="0"/>
                <w:sz w:val="24"/>
                <w:highlight w:val="none"/>
              </w:rPr>
              <w:t>应急预案的主要内容见下表。</w:t>
            </w:r>
          </w:p>
          <w:p w14:paraId="7297A0CE">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eastAsiaTheme="minorEastAsia"/>
                <w:b/>
                <w:color w:val="auto"/>
                <w:kern w:val="0"/>
                <w:szCs w:val="21"/>
                <w:highlight w:val="none"/>
              </w:rPr>
            </w:pPr>
            <w:r>
              <w:rPr>
                <w:rFonts w:hAnsiTheme="minorEastAsia" w:eastAsiaTheme="minorEastAsia"/>
                <w:b/>
                <w:color w:val="auto"/>
                <w:kern w:val="0"/>
                <w:szCs w:val="21"/>
                <w:highlight w:val="none"/>
              </w:rPr>
              <w:t>表</w:t>
            </w:r>
            <w:r>
              <w:rPr>
                <w:rFonts w:hint="eastAsia" w:eastAsiaTheme="minorEastAsia"/>
                <w:b/>
                <w:color w:val="auto"/>
                <w:kern w:val="0"/>
                <w:szCs w:val="21"/>
                <w:highlight w:val="none"/>
                <w:lang w:val="en-US" w:eastAsia="zh-CN"/>
              </w:rPr>
              <w:t>4-19</w:t>
            </w:r>
            <w:r>
              <w:rPr>
                <w:rFonts w:hint="eastAsia" w:eastAsiaTheme="minorEastAsia"/>
                <w:b/>
                <w:bCs/>
                <w:color w:val="auto"/>
                <w:szCs w:val="21"/>
                <w:highlight w:val="none"/>
              </w:rPr>
              <w:t xml:space="preserve">        </w:t>
            </w:r>
            <w:r>
              <w:rPr>
                <w:rFonts w:hAnsiTheme="minorEastAsia" w:eastAsiaTheme="minorEastAsia"/>
                <w:b/>
                <w:color w:val="auto"/>
                <w:kern w:val="0"/>
                <w:szCs w:val="21"/>
                <w:highlight w:val="none"/>
              </w:rPr>
              <w:t>应急预案内容</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132"/>
              <w:gridCol w:w="5329"/>
            </w:tblGrid>
            <w:tr w14:paraId="77830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506" w:type="pct"/>
                  <w:vAlign w:val="center"/>
                </w:tcPr>
                <w:p w14:paraId="07C48C20">
                  <w:pPr>
                    <w:shd w:val="clear"/>
                    <w:spacing w:line="300" w:lineRule="exact"/>
                    <w:jc w:val="center"/>
                    <w:rPr>
                      <w:rFonts w:eastAsiaTheme="minorEastAsia"/>
                      <w:b/>
                      <w:bCs/>
                      <w:color w:val="auto"/>
                      <w:kern w:val="0"/>
                      <w:szCs w:val="21"/>
                      <w:highlight w:val="none"/>
                    </w:rPr>
                  </w:pPr>
                  <w:r>
                    <w:rPr>
                      <w:rFonts w:hAnsiTheme="minorEastAsia" w:eastAsiaTheme="minorEastAsia"/>
                      <w:b/>
                      <w:bCs/>
                      <w:color w:val="auto"/>
                      <w:kern w:val="0"/>
                      <w:szCs w:val="21"/>
                      <w:highlight w:val="none"/>
                    </w:rPr>
                    <w:t>序号</w:t>
                  </w:r>
                </w:p>
              </w:tc>
              <w:tc>
                <w:tcPr>
                  <w:tcW w:w="1284" w:type="pct"/>
                  <w:vAlign w:val="center"/>
                </w:tcPr>
                <w:p w14:paraId="3A54E995">
                  <w:pPr>
                    <w:shd w:val="clear"/>
                    <w:spacing w:line="300" w:lineRule="exact"/>
                    <w:jc w:val="center"/>
                    <w:rPr>
                      <w:rFonts w:eastAsiaTheme="minorEastAsia"/>
                      <w:b/>
                      <w:bCs/>
                      <w:color w:val="auto"/>
                      <w:kern w:val="0"/>
                      <w:szCs w:val="21"/>
                      <w:highlight w:val="none"/>
                    </w:rPr>
                  </w:pPr>
                  <w:r>
                    <w:rPr>
                      <w:rFonts w:hAnsiTheme="minorEastAsia" w:eastAsiaTheme="minorEastAsia"/>
                      <w:b/>
                      <w:bCs/>
                      <w:color w:val="auto"/>
                      <w:kern w:val="0"/>
                      <w:szCs w:val="21"/>
                      <w:highlight w:val="none"/>
                    </w:rPr>
                    <w:t>项目</w:t>
                  </w:r>
                </w:p>
              </w:tc>
              <w:tc>
                <w:tcPr>
                  <w:tcW w:w="3209" w:type="pct"/>
                  <w:vAlign w:val="center"/>
                </w:tcPr>
                <w:p w14:paraId="1AC4F5E0">
                  <w:pPr>
                    <w:shd w:val="clear"/>
                    <w:spacing w:line="300" w:lineRule="exact"/>
                    <w:jc w:val="center"/>
                    <w:rPr>
                      <w:rFonts w:eastAsiaTheme="minorEastAsia"/>
                      <w:b/>
                      <w:bCs/>
                      <w:color w:val="auto"/>
                      <w:kern w:val="0"/>
                      <w:szCs w:val="21"/>
                      <w:highlight w:val="none"/>
                    </w:rPr>
                  </w:pPr>
                  <w:r>
                    <w:rPr>
                      <w:rFonts w:hAnsiTheme="minorEastAsia" w:eastAsiaTheme="minorEastAsia"/>
                      <w:b/>
                      <w:bCs/>
                      <w:color w:val="auto"/>
                      <w:kern w:val="0"/>
                      <w:szCs w:val="21"/>
                      <w:highlight w:val="none"/>
                    </w:rPr>
                    <w:t>内容及要求</w:t>
                  </w:r>
                </w:p>
              </w:tc>
            </w:tr>
            <w:tr w14:paraId="49F3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6" w:type="pct"/>
                  <w:vAlign w:val="center"/>
                </w:tcPr>
                <w:p w14:paraId="6C102092">
                  <w:pPr>
                    <w:shd w:val="clear"/>
                    <w:spacing w:line="300" w:lineRule="exact"/>
                    <w:jc w:val="center"/>
                    <w:rPr>
                      <w:rFonts w:eastAsiaTheme="minorEastAsia"/>
                      <w:color w:val="auto"/>
                      <w:kern w:val="0"/>
                      <w:szCs w:val="21"/>
                      <w:highlight w:val="none"/>
                    </w:rPr>
                  </w:pPr>
                  <w:r>
                    <w:rPr>
                      <w:rFonts w:eastAsiaTheme="minorEastAsia"/>
                      <w:color w:val="auto"/>
                      <w:kern w:val="0"/>
                      <w:szCs w:val="21"/>
                      <w:highlight w:val="none"/>
                    </w:rPr>
                    <w:t>1</w:t>
                  </w:r>
                </w:p>
              </w:tc>
              <w:tc>
                <w:tcPr>
                  <w:tcW w:w="1284" w:type="pct"/>
                  <w:vAlign w:val="center"/>
                </w:tcPr>
                <w:p w14:paraId="2F1FC896">
                  <w:pPr>
                    <w:pStyle w:val="207"/>
                    <w:shd w:val="clear"/>
                    <w:adjustRightInd/>
                    <w:spacing w:line="300" w:lineRule="exact"/>
                    <w:textAlignment w:val="auto"/>
                    <w:rPr>
                      <w:rFonts w:ascii="Times New Roman" w:hAnsi="Times New Roman" w:eastAsiaTheme="minorEastAsia"/>
                      <w:color w:val="auto"/>
                      <w:highlight w:val="none"/>
                    </w:rPr>
                  </w:pPr>
                  <w:r>
                    <w:rPr>
                      <w:rFonts w:ascii="Times New Roman" w:hAnsiTheme="minorEastAsia" w:eastAsiaTheme="minorEastAsia"/>
                      <w:color w:val="auto"/>
                      <w:highlight w:val="none"/>
                    </w:rPr>
                    <w:t>应急计划区</w:t>
                  </w:r>
                </w:p>
              </w:tc>
              <w:tc>
                <w:tcPr>
                  <w:tcW w:w="3209" w:type="pct"/>
                  <w:vAlign w:val="center"/>
                </w:tcPr>
                <w:p w14:paraId="49D421B8">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危险目标：</w:t>
                  </w:r>
                  <w:r>
                    <w:rPr>
                      <w:rFonts w:hint="eastAsia" w:hAnsiTheme="minorEastAsia" w:eastAsiaTheme="minorEastAsia"/>
                      <w:color w:val="auto"/>
                      <w:kern w:val="0"/>
                      <w:szCs w:val="21"/>
                      <w:highlight w:val="none"/>
                    </w:rPr>
                    <w:t>危废贮存库</w:t>
                  </w:r>
                  <w:r>
                    <w:rPr>
                      <w:rFonts w:hAnsiTheme="minorEastAsia" w:eastAsiaTheme="minorEastAsia"/>
                      <w:color w:val="auto"/>
                      <w:kern w:val="0"/>
                      <w:szCs w:val="21"/>
                      <w:highlight w:val="none"/>
                    </w:rPr>
                    <w:t>等</w:t>
                  </w:r>
                </w:p>
              </w:tc>
            </w:tr>
            <w:tr w14:paraId="0F513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6" w:type="pct"/>
                  <w:vAlign w:val="center"/>
                </w:tcPr>
                <w:p w14:paraId="3310FCB0">
                  <w:pPr>
                    <w:shd w:val="clear"/>
                    <w:spacing w:line="300" w:lineRule="exact"/>
                    <w:jc w:val="center"/>
                    <w:rPr>
                      <w:rFonts w:eastAsiaTheme="minorEastAsia"/>
                      <w:color w:val="auto"/>
                      <w:kern w:val="0"/>
                      <w:szCs w:val="21"/>
                      <w:highlight w:val="none"/>
                    </w:rPr>
                  </w:pPr>
                  <w:r>
                    <w:rPr>
                      <w:rFonts w:eastAsiaTheme="minorEastAsia"/>
                      <w:color w:val="auto"/>
                      <w:kern w:val="0"/>
                      <w:szCs w:val="21"/>
                      <w:highlight w:val="none"/>
                    </w:rPr>
                    <w:t>2</w:t>
                  </w:r>
                </w:p>
              </w:tc>
              <w:tc>
                <w:tcPr>
                  <w:tcW w:w="1284" w:type="pct"/>
                  <w:vAlign w:val="center"/>
                </w:tcPr>
                <w:p w14:paraId="198FD714">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应急组织机构、人员</w:t>
                  </w:r>
                </w:p>
              </w:tc>
              <w:tc>
                <w:tcPr>
                  <w:tcW w:w="3209" w:type="pct"/>
                  <w:vAlign w:val="center"/>
                </w:tcPr>
                <w:p w14:paraId="38671B16">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工厂、地区应急组织机构、人员</w:t>
                  </w:r>
                </w:p>
              </w:tc>
            </w:tr>
            <w:tr w14:paraId="284D4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6" w:type="pct"/>
                  <w:vAlign w:val="center"/>
                </w:tcPr>
                <w:p w14:paraId="2C6F4F60">
                  <w:pPr>
                    <w:shd w:val="clear"/>
                    <w:spacing w:line="300" w:lineRule="exact"/>
                    <w:jc w:val="center"/>
                    <w:rPr>
                      <w:rFonts w:eastAsiaTheme="minorEastAsia"/>
                      <w:color w:val="auto"/>
                      <w:kern w:val="0"/>
                      <w:szCs w:val="21"/>
                      <w:highlight w:val="none"/>
                    </w:rPr>
                  </w:pPr>
                  <w:r>
                    <w:rPr>
                      <w:rFonts w:eastAsiaTheme="minorEastAsia"/>
                      <w:color w:val="auto"/>
                      <w:kern w:val="0"/>
                      <w:szCs w:val="21"/>
                      <w:highlight w:val="none"/>
                    </w:rPr>
                    <w:t>3</w:t>
                  </w:r>
                </w:p>
              </w:tc>
              <w:tc>
                <w:tcPr>
                  <w:tcW w:w="1284" w:type="pct"/>
                  <w:vAlign w:val="center"/>
                </w:tcPr>
                <w:p w14:paraId="5CA719C0">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预案分级响应条件</w:t>
                  </w:r>
                </w:p>
              </w:tc>
              <w:tc>
                <w:tcPr>
                  <w:tcW w:w="3209" w:type="pct"/>
                  <w:vAlign w:val="center"/>
                </w:tcPr>
                <w:p w14:paraId="747171E1">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规定预案的级别及分级响应程序</w:t>
                  </w:r>
                </w:p>
              </w:tc>
            </w:tr>
            <w:tr w14:paraId="683E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6" w:type="pct"/>
                  <w:vAlign w:val="center"/>
                </w:tcPr>
                <w:p w14:paraId="7F1CBA43">
                  <w:pPr>
                    <w:shd w:val="clear"/>
                    <w:spacing w:line="300" w:lineRule="exact"/>
                    <w:jc w:val="center"/>
                    <w:rPr>
                      <w:rFonts w:eastAsiaTheme="minorEastAsia"/>
                      <w:color w:val="auto"/>
                      <w:kern w:val="0"/>
                      <w:szCs w:val="21"/>
                      <w:highlight w:val="none"/>
                    </w:rPr>
                  </w:pPr>
                  <w:r>
                    <w:rPr>
                      <w:rFonts w:eastAsiaTheme="minorEastAsia"/>
                      <w:color w:val="auto"/>
                      <w:kern w:val="0"/>
                      <w:szCs w:val="21"/>
                      <w:highlight w:val="none"/>
                    </w:rPr>
                    <w:t>4</w:t>
                  </w:r>
                </w:p>
              </w:tc>
              <w:tc>
                <w:tcPr>
                  <w:tcW w:w="1284" w:type="pct"/>
                  <w:vAlign w:val="center"/>
                </w:tcPr>
                <w:p w14:paraId="74DB244D">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应急救援保障</w:t>
                  </w:r>
                </w:p>
              </w:tc>
              <w:tc>
                <w:tcPr>
                  <w:tcW w:w="3209" w:type="pct"/>
                  <w:vAlign w:val="center"/>
                </w:tcPr>
                <w:p w14:paraId="6B6DFA82">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应急设施、设备与器材等</w:t>
                  </w:r>
                </w:p>
              </w:tc>
            </w:tr>
            <w:tr w14:paraId="0D14E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6" w:type="pct"/>
                  <w:vAlign w:val="center"/>
                </w:tcPr>
                <w:p w14:paraId="7F15BCFE">
                  <w:pPr>
                    <w:shd w:val="clear"/>
                    <w:spacing w:line="300" w:lineRule="exact"/>
                    <w:jc w:val="center"/>
                    <w:rPr>
                      <w:rFonts w:eastAsiaTheme="minorEastAsia"/>
                      <w:color w:val="auto"/>
                      <w:kern w:val="0"/>
                      <w:szCs w:val="21"/>
                      <w:highlight w:val="none"/>
                    </w:rPr>
                  </w:pPr>
                  <w:r>
                    <w:rPr>
                      <w:rFonts w:eastAsiaTheme="minorEastAsia"/>
                      <w:color w:val="auto"/>
                      <w:kern w:val="0"/>
                      <w:szCs w:val="21"/>
                      <w:highlight w:val="none"/>
                    </w:rPr>
                    <w:t>5</w:t>
                  </w:r>
                </w:p>
              </w:tc>
              <w:tc>
                <w:tcPr>
                  <w:tcW w:w="1284" w:type="pct"/>
                  <w:vAlign w:val="center"/>
                </w:tcPr>
                <w:p w14:paraId="3D049F2A">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报警、通讯联络方式</w:t>
                  </w:r>
                </w:p>
              </w:tc>
              <w:tc>
                <w:tcPr>
                  <w:tcW w:w="3209" w:type="pct"/>
                  <w:vAlign w:val="center"/>
                </w:tcPr>
                <w:p w14:paraId="752C986E">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规定应急状态下的报警通讯方式，通知方式和交通保障、管制</w:t>
                  </w:r>
                </w:p>
              </w:tc>
            </w:tr>
            <w:tr w14:paraId="55B9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6" w:type="pct"/>
                  <w:vAlign w:val="center"/>
                </w:tcPr>
                <w:p w14:paraId="4F4561AF">
                  <w:pPr>
                    <w:shd w:val="clear"/>
                    <w:spacing w:line="300" w:lineRule="exact"/>
                    <w:jc w:val="center"/>
                    <w:rPr>
                      <w:rFonts w:eastAsiaTheme="minorEastAsia"/>
                      <w:color w:val="auto"/>
                      <w:kern w:val="0"/>
                      <w:szCs w:val="21"/>
                      <w:highlight w:val="none"/>
                    </w:rPr>
                  </w:pPr>
                  <w:r>
                    <w:rPr>
                      <w:rFonts w:eastAsiaTheme="minorEastAsia"/>
                      <w:color w:val="auto"/>
                      <w:kern w:val="0"/>
                      <w:szCs w:val="21"/>
                      <w:highlight w:val="none"/>
                    </w:rPr>
                    <w:t>6</w:t>
                  </w:r>
                </w:p>
              </w:tc>
              <w:tc>
                <w:tcPr>
                  <w:tcW w:w="1284" w:type="pct"/>
                  <w:vAlign w:val="center"/>
                </w:tcPr>
                <w:p w14:paraId="3CD590BA">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应急环境监测、抢险、救援及控制措施</w:t>
                  </w:r>
                </w:p>
              </w:tc>
              <w:tc>
                <w:tcPr>
                  <w:tcW w:w="3209" w:type="pct"/>
                  <w:vAlign w:val="center"/>
                </w:tcPr>
                <w:p w14:paraId="7B730246">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由专业队伍负责对事故现场进行侦查监测，对事故性质、参数与后果进行评估，为指挥部门提供决策依据</w:t>
                  </w:r>
                </w:p>
              </w:tc>
            </w:tr>
            <w:tr w14:paraId="310D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6" w:type="pct"/>
                  <w:vAlign w:val="center"/>
                </w:tcPr>
                <w:p w14:paraId="29680AB9">
                  <w:pPr>
                    <w:shd w:val="clear"/>
                    <w:spacing w:line="300" w:lineRule="exact"/>
                    <w:jc w:val="center"/>
                    <w:rPr>
                      <w:rFonts w:eastAsiaTheme="minorEastAsia"/>
                      <w:color w:val="auto"/>
                      <w:kern w:val="0"/>
                      <w:szCs w:val="21"/>
                      <w:highlight w:val="none"/>
                    </w:rPr>
                  </w:pPr>
                  <w:r>
                    <w:rPr>
                      <w:rFonts w:eastAsiaTheme="minorEastAsia"/>
                      <w:color w:val="auto"/>
                      <w:kern w:val="0"/>
                      <w:szCs w:val="21"/>
                      <w:highlight w:val="none"/>
                    </w:rPr>
                    <w:t>7</w:t>
                  </w:r>
                </w:p>
              </w:tc>
              <w:tc>
                <w:tcPr>
                  <w:tcW w:w="1284" w:type="pct"/>
                  <w:vAlign w:val="center"/>
                </w:tcPr>
                <w:p w14:paraId="4F1C91C4">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应急检测、防护措施、清除措施和器材</w:t>
                  </w:r>
                </w:p>
              </w:tc>
              <w:tc>
                <w:tcPr>
                  <w:tcW w:w="3209" w:type="pct"/>
                  <w:vAlign w:val="center"/>
                </w:tcPr>
                <w:p w14:paraId="37846217">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事故现场、邻近区域、控制防火区域、控制和清除污染措施及相应设备</w:t>
                  </w:r>
                </w:p>
              </w:tc>
            </w:tr>
            <w:tr w14:paraId="4F773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6" w:type="pct"/>
                  <w:vAlign w:val="center"/>
                </w:tcPr>
                <w:p w14:paraId="5722AEED">
                  <w:pPr>
                    <w:shd w:val="clear"/>
                    <w:spacing w:line="300" w:lineRule="exact"/>
                    <w:jc w:val="center"/>
                    <w:rPr>
                      <w:rFonts w:eastAsiaTheme="minorEastAsia"/>
                      <w:color w:val="auto"/>
                      <w:kern w:val="0"/>
                      <w:szCs w:val="21"/>
                      <w:highlight w:val="none"/>
                    </w:rPr>
                  </w:pPr>
                  <w:r>
                    <w:rPr>
                      <w:rFonts w:eastAsiaTheme="minorEastAsia"/>
                      <w:color w:val="auto"/>
                      <w:kern w:val="0"/>
                      <w:szCs w:val="21"/>
                      <w:highlight w:val="none"/>
                    </w:rPr>
                    <w:t>8</w:t>
                  </w:r>
                </w:p>
              </w:tc>
              <w:tc>
                <w:tcPr>
                  <w:tcW w:w="1284" w:type="pct"/>
                  <w:vAlign w:val="center"/>
                </w:tcPr>
                <w:p w14:paraId="4F5F4778">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人员紧急撤离、疏散，应急剂量控制、撤离组织计划</w:t>
                  </w:r>
                </w:p>
              </w:tc>
              <w:tc>
                <w:tcPr>
                  <w:tcW w:w="3209" w:type="pct"/>
                  <w:vAlign w:val="center"/>
                </w:tcPr>
                <w:p w14:paraId="441AB8DA">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事故现场、工厂邻近区、受事故影响的区域人员及公众对毒物应急剂量控制规定，撤离组织计划及救护，医疗救护与公众健康</w:t>
                  </w:r>
                </w:p>
              </w:tc>
            </w:tr>
            <w:tr w14:paraId="3F30F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6" w:type="pct"/>
                  <w:vAlign w:val="center"/>
                </w:tcPr>
                <w:p w14:paraId="30CD3A17">
                  <w:pPr>
                    <w:shd w:val="clear"/>
                    <w:spacing w:line="300" w:lineRule="exact"/>
                    <w:jc w:val="center"/>
                    <w:rPr>
                      <w:rFonts w:eastAsiaTheme="minorEastAsia"/>
                      <w:color w:val="auto"/>
                      <w:kern w:val="0"/>
                      <w:szCs w:val="21"/>
                      <w:highlight w:val="none"/>
                    </w:rPr>
                  </w:pPr>
                  <w:r>
                    <w:rPr>
                      <w:rFonts w:eastAsiaTheme="minorEastAsia"/>
                      <w:color w:val="auto"/>
                      <w:kern w:val="0"/>
                      <w:szCs w:val="21"/>
                      <w:highlight w:val="none"/>
                    </w:rPr>
                    <w:t>9</w:t>
                  </w:r>
                </w:p>
              </w:tc>
              <w:tc>
                <w:tcPr>
                  <w:tcW w:w="1284" w:type="pct"/>
                  <w:vAlign w:val="center"/>
                </w:tcPr>
                <w:p w14:paraId="630A4C9A">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救援关闭程序与恢复措施</w:t>
                  </w:r>
                </w:p>
              </w:tc>
              <w:tc>
                <w:tcPr>
                  <w:tcW w:w="3209" w:type="pct"/>
                  <w:vAlign w:val="center"/>
                </w:tcPr>
                <w:p w14:paraId="64C2264E">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规定应急状态终止程序；事故现场善后处理，恢复措施；邻近区域解除事故警戒及善后恢复措施</w:t>
                  </w:r>
                </w:p>
              </w:tc>
            </w:tr>
            <w:tr w14:paraId="0260F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6" w:type="pct"/>
                  <w:vAlign w:val="center"/>
                </w:tcPr>
                <w:p w14:paraId="7794BA2E">
                  <w:pPr>
                    <w:shd w:val="clear"/>
                    <w:spacing w:line="300" w:lineRule="exact"/>
                    <w:jc w:val="center"/>
                    <w:rPr>
                      <w:rFonts w:eastAsiaTheme="minorEastAsia"/>
                      <w:color w:val="auto"/>
                      <w:kern w:val="0"/>
                      <w:szCs w:val="21"/>
                      <w:highlight w:val="none"/>
                    </w:rPr>
                  </w:pPr>
                  <w:r>
                    <w:rPr>
                      <w:rFonts w:eastAsiaTheme="minorEastAsia"/>
                      <w:color w:val="auto"/>
                      <w:kern w:val="0"/>
                      <w:szCs w:val="21"/>
                      <w:highlight w:val="none"/>
                    </w:rPr>
                    <w:t>10</w:t>
                  </w:r>
                </w:p>
              </w:tc>
              <w:tc>
                <w:tcPr>
                  <w:tcW w:w="1284" w:type="pct"/>
                  <w:vAlign w:val="center"/>
                </w:tcPr>
                <w:p w14:paraId="1DFFC7E6">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公众教育和信息</w:t>
                  </w:r>
                </w:p>
              </w:tc>
              <w:tc>
                <w:tcPr>
                  <w:tcW w:w="3209" w:type="pct"/>
                  <w:vAlign w:val="center"/>
                </w:tcPr>
                <w:p w14:paraId="6DD8CC9E">
                  <w:pPr>
                    <w:shd w:val="clear"/>
                    <w:spacing w:line="300" w:lineRule="exact"/>
                    <w:jc w:val="center"/>
                    <w:rPr>
                      <w:rFonts w:eastAsiaTheme="minorEastAsia"/>
                      <w:color w:val="auto"/>
                      <w:kern w:val="0"/>
                      <w:szCs w:val="21"/>
                      <w:highlight w:val="none"/>
                    </w:rPr>
                  </w:pPr>
                  <w:r>
                    <w:rPr>
                      <w:rFonts w:hAnsiTheme="minorEastAsia" w:eastAsiaTheme="minorEastAsia"/>
                      <w:color w:val="auto"/>
                      <w:kern w:val="0"/>
                      <w:szCs w:val="21"/>
                      <w:highlight w:val="none"/>
                    </w:rPr>
                    <w:t>对工厂邻近地区开展公众教育、培训和发布有关信息</w:t>
                  </w:r>
                </w:p>
              </w:tc>
            </w:tr>
          </w:tbl>
          <w:p w14:paraId="5CFEB037">
            <w:pPr>
              <w:shd w:val="clear"/>
              <w:spacing w:line="500" w:lineRule="exact"/>
              <w:ind w:firstLine="480" w:firstLineChars="200"/>
              <w:rPr>
                <w:rFonts w:hint="eastAsia" w:eastAsiaTheme="minorEastAsia"/>
                <w:color w:val="auto"/>
                <w:sz w:val="24"/>
                <w:highlight w:val="none"/>
                <w:lang w:eastAsia="zh-CN"/>
              </w:rPr>
            </w:pPr>
            <w:r>
              <w:rPr>
                <w:rFonts w:hint="eastAsia" w:eastAsiaTheme="minorEastAsia"/>
                <w:color w:val="auto"/>
                <w:sz w:val="24"/>
                <w:highlight w:val="none"/>
              </w:rPr>
              <w:t>（</w:t>
            </w:r>
            <w:r>
              <w:rPr>
                <w:rFonts w:hint="eastAsia" w:eastAsiaTheme="minorEastAsia"/>
                <w:color w:val="auto"/>
                <w:sz w:val="24"/>
                <w:highlight w:val="none"/>
                <w:lang w:val="en-US" w:eastAsia="zh-CN"/>
              </w:rPr>
              <w:t>7</w:t>
            </w:r>
            <w:r>
              <w:rPr>
                <w:rFonts w:hint="eastAsia" w:eastAsiaTheme="minorEastAsia"/>
                <w:color w:val="auto"/>
                <w:sz w:val="24"/>
                <w:highlight w:val="none"/>
              </w:rPr>
              <w:t>）</w:t>
            </w:r>
            <w:r>
              <w:rPr>
                <w:rFonts w:hAnsiTheme="minorEastAsia" w:eastAsiaTheme="minorEastAsia"/>
                <w:color w:val="auto"/>
                <w:sz w:val="24"/>
                <w:highlight w:val="none"/>
              </w:rPr>
              <w:t>风险评价</w:t>
            </w:r>
            <w:r>
              <w:rPr>
                <w:rFonts w:hint="eastAsia" w:hAnsiTheme="minorEastAsia" w:eastAsiaTheme="minorEastAsia"/>
                <w:color w:val="auto"/>
                <w:sz w:val="24"/>
                <w:highlight w:val="none"/>
                <w:lang w:val="en-US" w:eastAsia="zh-CN"/>
              </w:rPr>
              <w:t>结论</w:t>
            </w:r>
          </w:p>
          <w:p w14:paraId="6654A197">
            <w:pPr>
              <w:shd w:val="clear" w:color="auto"/>
              <w:adjustRightInd w:val="0"/>
              <w:snapToGrid w:val="0"/>
              <w:spacing w:line="500" w:lineRule="exact"/>
              <w:ind w:firstLine="480" w:firstLineChars="200"/>
              <w:rPr>
                <w:rFonts w:hAnsiTheme="minorEastAsia" w:eastAsiaTheme="minorEastAsia"/>
                <w:color w:val="auto"/>
                <w:sz w:val="24"/>
                <w:highlight w:val="none"/>
              </w:rPr>
            </w:pPr>
            <w:r>
              <w:rPr>
                <w:rFonts w:hAnsiTheme="minorEastAsia" w:eastAsiaTheme="minorEastAsia"/>
                <w:color w:val="auto"/>
                <w:sz w:val="24"/>
                <w:highlight w:val="none"/>
              </w:rPr>
              <w:t>综上所述，项目运行过程中存在着火灾风险，鉴于项目危险物品的危险性较低，故只要</w:t>
            </w:r>
            <w:r>
              <w:rPr>
                <w:rFonts w:hint="eastAsia" w:hAnsiTheme="minorEastAsia" w:eastAsiaTheme="minorEastAsia"/>
                <w:bCs/>
                <w:color w:val="auto"/>
                <w:sz w:val="24"/>
                <w:highlight w:val="none"/>
              </w:rPr>
              <w:t>落实以上各项风险防范措施，并加强安全管理，保持各项安全设施有效地运行，可将事故风险概率和影响程度降至可接受水平。</w:t>
            </w:r>
          </w:p>
          <w:p w14:paraId="1F6069B7">
            <w:pPr>
              <w:shd w:val="clear"/>
              <w:spacing w:line="500" w:lineRule="exact"/>
              <w:jc w:val="center"/>
              <w:rPr>
                <w:rFonts w:hAnsiTheme="minorEastAsia" w:eastAsiaTheme="minorEastAsia"/>
                <w:b/>
                <w:color w:val="auto"/>
                <w:szCs w:val="21"/>
                <w:highlight w:val="none"/>
              </w:rPr>
            </w:pPr>
            <w:r>
              <w:rPr>
                <w:rFonts w:hAnsiTheme="minorEastAsia" w:eastAsiaTheme="minorEastAsia"/>
                <w:b/>
                <w:color w:val="auto"/>
                <w:szCs w:val="21"/>
                <w:highlight w:val="none"/>
              </w:rPr>
              <w:t>表</w:t>
            </w:r>
            <w:r>
              <w:rPr>
                <w:rFonts w:hint="eastAsia" w:eastAsiaTheme="minorEastAsia"/>
                <w:b/>
                <w:color w:val="auto"/>
                <w:szCs w:val="21"/>
                <w:highlight w:val="none"/>
                <w:lang w:val="en-US" w:eastAsia="zh-CN"/>
              </w:rPr>
              <w:t>4-20</w:t>
            </w:r>
            <w:r>
              <w:rPr>
                <w:rFonts w:hint="eastAsia" w:eastAsiaTheme="minorEastAsia"/>
                <w:b/>
                <w:color w:val="auto"/>
                <w:szCs w:val="21"/>
                <w:highlight w:val="none"/>
              </w:rPr>
              <w:t xml:space="preserve">       </w:t>
            </w:r>
            <w:r>
              <w:rPr>
                <w:rFonts w:hAnsiTheme="minorEastAsia" w:eastAsiaTheme="minorEastAsia"/>
                <w:b/>
                <w:color w:val="auto"/>
                <w:szCs w:val="21"/>
                <w:highlight w:val="none"/>
              </w:rPr>
              <w:t>建设项目环境风险简单分析内容表</w:t>
            </w:r>
          </w:p>
          <w:tbl>
            <w:tblPr>
              <w:tblStyle w:val="35"/>
              <w:tblW w:w="8431"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47"/>
              <w:gridCol w:w="623"/>
              <w:gridCol w:w="2790"/>
              <w:gridCol w:w="825"/>
              <w:gridCol w:w="2646"/>
            </w:tblGrid>
            <w:tr w14:paraId="7749C0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288" w:hRule="atLeast"/>
                <w:jc w:val="center"/>
              </w:trPr>
              <w:tc>
                <w:tcPr>
                  <w:tcW w:w="1547" w:type="dxa"/>
                  <w:tcBorders>
                    <w:bottom w:val="single" w:color="auto" w:sz="4" w:space="0"/>
                    <w:right w:val="single" w:color="auto" w:sz="4" w:space="0"/>
                  </w:tcBorders>
                  <w:vAlign w:val="center"/>
                </w:tcPr>
                <w:p w14:paraId="1B64485D">
                  <w:pPr>
                    <w:spacing w:line="240" w:lineRule="exact"/>
                    <w:jc w:val="center"/>
                    <w:rPr>
                      <w:rFonts w:eastAsiaTheme="minorEastAsia"/>
                      <w:color w:val="auto"/>
                      <w:szCs w:val="21"/>
                      <w:highlight w:val="none"/>
                    </w:rPr>
                  </w:pPr>
                  <w:r>
                    <w:rPr>
                      <w:rFonts w:hAnsiTheme="minorEastAsia" w:eastAsiaTheme="minorEastAsia"/>
                      <w:color w:val="auto"/>
                      <w:szCs w:val="21"/>
                      <w:highlight w:val="none"/>
                    </w:rPr>
                    <w:t>建设项目名称</w:t>
                  </w:r>
                </w:p>
              </w:tc>
              <w:tc>
                <w:tcPr>
                  <w:tcW w:w="6884" w:type="dxa"/>
                  <w:gridSpan w:val="4"/>
                  <w:tcBorders>
                    <w:left w:val="single" w:color="auto" w:sz="4" w:space="0"/>
                    <w:bottom w:val="single" w:color="auto" w:sz="4" w:space="0"/>
                  </w:tcBorders>
                  <w:vAlign w:val="center"/>
                </w:tcPr>
                <w:p w14:paraId="5580E50E">
                  <w:pPr>
                    <w:spacing w:line="240" w:lineRule="exact"/>
                    <w:jc w:val="center"/>
                    <w:rPr>
                      <w:rFonts w:eastAsiaTheme="minorEastAsia"/>
                      <w:color w:val="auto"/>
                      <w:szCs w:val="21"/>
                      <w:highlight w:val="none"/>
                    </w:rPr>
                  </w:pPr>
                  <w:r>
                    <w:rPr>
                      <w:rFonts w:hint="eastAsia" w:eastAsiaTheme="minorEastAsia"/>
                      <w:color w:val="auto"/>
                      <w:szCs w:val="21"/>
                      <w:highlight w:val="none"/>
                    </w:rPr>
                    <w:t>巴州启辰恒远新材料有限公司塑料制品建设项目</w:t>
                  </w:r>
                </w:p>
              </w:tc>
            </w:tr>
            <w:tr w14:paraId="2A9AFB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547" w:type="dxa"/>
                  <w:tcBorders>
                    <w:top w:val="single" w:color="auto" w:sz="4" w:space="0"/>
                    <w:bottom w:val="single" w:color="auto" w:sz="4" w:space="0"/>
                    <w:right w:val="single" w:color="auto" w:sz="4" w:space="0"/>
                  </w:tcBorders>
                  <w:vAlign w:val="center"/>
                </w:tcPr>
                <w:p w14:paraId="31FCC3A4">
                  <w:pPr>
                    <w:spacing w:line="240" w:lineRule="exact"/>
                    <w:jc w:val="center"/>
                    <w:rPr>
                      <w:rFonts w:eastAsiaTheme="minorEastAsia"/>
                      <w:color w:val="auto"/>
                      <w:szCs w:val="21"/>
                      <w:highlight w:val="none"/>
                    </w:rPr>
                  </w:pPr>
                  <w:r>
                    <w:rPr>
                      <w:rFonts w:hAnsiTheme="minorEastAsia" w:eastAsiaTheme="minorEastAsia"/>
                      <w:color w:val="auto"/>
                      <w:szCs w:val="21"/>
                      <w:highlight w:val="none"/>
                    </w:rPr>
                    <w:t>建设地点</w:t>
                  </w:r>
                </w:p>
              </w:tc>
              <w:tc>
                <w:tcPr>
                  <w:tcW w:w="623" w:type="dxa"/>
                  <w:tcBorders>
                    <w:top w:val="single" w:color="auto" w:sz="4" w:space="0"/>
                    <w:left w:val="single" w:color="auto" w:sz="4" w:space="0"/>
                    <w:bottom w:val="single" w:color="auto" w:sz="4" w:space="0"/>
                    <w:right w:val="single" w:color="auto" w:sz="4" w:space="0"/>
                  </w:tcBorders>
                  <w:vAlign w:val="center"/>
                </w:tcPr>
                <w:p w14:paraId="5104CDBC">
                  <w:pPr>
                    <w:spacing w:line="240" w:lineRule="exact"/>
                    <w:jc w:val="center"/>
                    <w:rPr>
                      <w:rFonts w:eastAsiaTheme="minorEastAsia"/>
                      <w:color w:val="auto"/>
                      <w:szCs w:val="21"/>
                      <w:highlight w:val="none"/>
                    </w:rPr>
                  </w:pPr>
                  <w:r>
                    <w:rPr>
                      <w:rFonts w:hAnsiTheme="minorEastAsia" w:eastAsiaTheme="minorEastAsia"/>
                      <w:color w:val="auto"/>
                      <w:szCs w:val="21"/>
                      <w:highlight w:val="none"/>
                    </w:rPr>
                    <w:t>新疆</w:t>
                  </w:r>
                </w:p>
              </w:tc>
              <w:tc>
                <w:tcPr>
                  <w:tcW w:w="2790" w:type="dxa"/>
                  <w:tcBorders>
                    <w:top w:val="single" w:color="auto" w:sz="4" w:space="0"/>
                    <w:left w:val="single" w:color="auto" w:sz="4" w:space="0"/>
                    <w:bottom w:val="single" w:color="auto" w:sz="4" w:space="0"/>
                    <w:right w:val="single" w:color="auto" w:sz="4" w:space="0"/>
                  </w:tcBorders>
                  <w:vAlign w:val="center"/>
                </w:tcPr>
                <w:p w14:paraId="5A78FF61">
                  <w:pPr>
                    <w:spacing w:line="240" w:lineRule="exact"/>
                    <w:jc w:val="center"/>
                    <w:rPr>
                      <w:rFonts w:eastAsiaTheme="minorEastAsia"/>
                      <w:color w:val="auto"/>
                      <w:szCs w:val="21"/>
                      <w:highlight w:val="none"/>
                    </w:rPr>
                  </w:pPr>
                  <w:r>
                    <w:rPr>
                      <w:rFonts w:hint="eastAsia" w:hAnsiTheme="minorEastAsia" w:eastAsiaTheme="minorEastAsia"/>
                      <w:color w:val="auto"/>
                      <w:szCs w:val="21"/>
                      <w:highlight w:val="none"/>
                      <w:lang w:val="en-US" w:eastAsia="zh-CN"/>
                    </w:rPr>
                    <w:t>巴州</w:t>
                  </w:r>
                </w:p>
              </w:tc>
              <w:tc>
                <w:tcPr>
                  <w:tcW w:w="825" w:type="dxa"/>
                  <w:tcBorders>
                    <w:top w:val="single" w:color="auto" w:sz="4" w:space="0"/>
                    <w:left w:val="single" w:color="auto" w:sz="4" w:space="0"/>
                    <w:bottom w:val="single" w:color="auto" w:sz="4" w:space="0"/>
                    <w:right w:val="single" w:color="auto" w:sz="4" w:space="0"/>
                  </w:tcBorders>
                  <w:vAlign w:val="center"/>
                </w:tcPr>
                <w:p w14:paraId="25368ACA">
                  <w:pPr>
                    <w:spacing w:line="240" w:lineRule="exact"/>
                    <w:jc w:val="center"/>
                    <w:rPr>
                      <w:rFonts w:eastAsiaTheme="minorEastAsia"/>
                      <w:color w:val="auto"/>
                      <w:szCs w:val="21"/>
                      <w:highlight w:val="none"/>
                    </w:rPr>
                  </w:pPr>
                  <w:r>
                    <w:rPr>
                      <w:rFonts w:hint="eastAsia" w:hAnsiTheme="minorEastAsia" w:eastAsiaTheme="minorEastAsia"/>
                      <w:color w:val="auto"/>
                      <w:szCs w:val="21"/>
                      <w:highlight w:val="none"/>
                      <w:lang w:val="en-US" w:eastAsia="zh-CN"/>
                    </w:rPr>
                    <w:t>和静</w:t>
                  </w:r>
                  <w:r>
                    <w:rPr>
                      <w:rFonts w:hint="eastAsia" w:hAnsiTheme="minorEastAsia" w:eastAsiaTheme="minorEastAsia"/>
                      <w:color w:val="auto"/>
                      <w:szCs w:val="21"/>
                      <w:highlight w:val="none"/>
                    </w:rPr>
                    <w:t>县</w:t>
                  </w:r>
                </w:p>
              </w:tc>
              <w:tc>
                <w:tcPr>
                  <w:tcW w:w="2646" w:type="dxa"/>
                  <w:tcBorders>
                    <w:top w:val="single" w:color="auto" w:sz="4" w:space="0"/>
                    <w:left w:val="single" w:color="auto" w:sz="4" w:space="0"/>
                    <w:bottom w:val="single" w:color="auto" w:sz="4" w:space="0"/>
                  </w:tcBorders>
                  <w:vAlign w:val="center"/>
                </w:tcPr>
                <w:p w14:paraId="3D0D4502">
                  <w:pPr>
                    <w:spacing w:line="240" w:lineRule="exact"/>
                    <w:jc w:val="center"/>
                    <w:rPr>
                      <w:rFonts w:eastAsiaTheme="minorEastAsia"/>
                      <w:color w:val="auto"/>
                      <w:szCs w:val="21"/>
                      <w:highlight w:val="none"/>
                    </w:rPr>
                  </w:pPr>
                  <w:r>
                    <w:rPr>
                      <w:rFonts w:hint="eastAsia" w:hAnsi="宋体"/>
                      <w:color w:val="auto"/>
                      <w:szCs w:val="21"/>
                      <w:highlight w:val="none"/>
                      <w:lang w:val="en-US" w:eastAsia="zh-CN"/>
                    </w:rPr>
                    <w:t>和</w:t>
                  </w:r>
                  <w:r>
                    <w:rPr>
                      <w:rFonts w:hint="eastAsia" w:ascii="Times New Roman" w:cs="Times New Roman" w:hAnsiTheme="minorEastAsia" w:eastAsiaTheme="minorEastAsia"/>
                      <w:color w:val="auto"/>
                      <w:szCs w:val="21"/>
                      <w:highlight w:val="none"/>
                      <w:lang w:val="en-US" w:eastAsia="zh-CN"/>
                    </w:rPr>
                    <w:t>静县工业园区额勒再特工业片区</w:t>
                  </w:r>
                </w:p>
              </w:tc>
            </w:tr>
            <w:tr w14:paraId="02B3848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547" w:type="dxa"/>
                  <w:tcBorders>
                    <w:top w:val="single" w:color="auto" w:sz="4" w:space="0"/>
                    <w:bottom w:val="single" w:color="auto" w:sz="4" w:space="0"/>
                    <w:right w:val="single" w:color="auto" w:sz="4" w:space="0"/>
                  </w:tcBorders>
                  <w:vAlign w:val="center"/>
                </w:tcPr>
                <w:p w14:paraId="2761188B">
                  <w:pPr>
                    <w:spacing w:line="240" w:lineRule="exact"/>
                    <w:jc w:val="center"/>
                    <w:rPr>
                      <w:rFonts w:eastAsiaTheme="minorEastAsia"/>
                      <w:color w:val="auto"/>
                      <w:szCs w:val="21"/>
                      <w:highlight w:val="none"/>
                    </w:rPr>
                  </w:pPr>
                  <w:r>
                    <w:rPr>
                      <w:rFonts w:hAnsiTheme="minorEastAsia" w:eastAsiaTheme="minorEastAsia"/>
                      <w:color w:val="auto"/>
                      <w:szCs w:val="21"/>
                      <w:highlight w:val="none"/>
                    </w:rPr>
                    <w:t>地理坐标</w:t>
                  </w:r>
                </w:p>
              </w:tc>
              <w:tc>
                <w:tcPr>
                  <w:tcW w:w="623" w:type="dxa"/>
                  <w:tcBorders>
                    <w:top w:val="single" w:color="auto" w:sz="4" w:space="0"/>
                    <w:left w:val="single" w:color="auto" w:sz="4" w:space="0"/>
                    <w:bottom w:val="single" w:color="auto" w:sz="4" w:space="0"/>
                    <w:right w:val="single" w:color="auto" w:sz="4" w:space="0"/>
                  </w:tcBorders>
                  <w:vAlign w:val="center"/>
                </w:tcPr>
                <w:p w14:paraId="3B0922FA">
                  <w:pPr>
                    <w:spacing w:line="240" w:lineRule="exact"/>
                    <w:jc w:val="center"/>
                    <w:rPr>
                      <w:rFonts w:eastAsiaTheme="minorEastAsia"/>
                      <w:color w:val="auto"/>
                      <w:szCs w:val="21"/>
                      <w:highlight w:val="none"/>
                    </w:rPr>
                  </w:pPr>
                </w:p>
              </w:tc>
              <w:tc>
                <w:tcPr>
                  <w:tcW w:w="2790" w:type="dxa"/>
                  <w:tcBorders>
                    <w:top w:val="single" w:color="auto" w:sz="4" w:space="0"/>
                    <w:left w:val="single" w:color="auto" w:sz="4" w:space="0"/>
                    <w:bottom w:val="single" w:color="auto" w:sz="4" w:space="0"/>
                    <w:right w:val="single" w:color="auto" w:sz="4" w:space="0"/>
                  </w:tcBorders>
                  <w:vAlign w:val="center"/>
                </w:tcPr>
                <w:p w14:paraId="4BDF4FBF">
                  <w:pPr>
                    <w:spacing w:line="240" w:lineRule="exact"/>
                    <w:jc w:val="center"/>
                    <w:rPr>
                      <w:color w:val="auto"/>
                      <w:szCs w:val="21"/>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14:paraId="04BB41AD">
                  <w:pPr>
                    <w:spacing w:line="240" w:lineRule="exact"/>
                    <w:jc w:val="center"/>
                    <w:rPr>
                      <w:rFonts w:eastAsiaTheme="minorEastAsia"/>
                      <w:color w:val="auto"/>
                      <w:szCs w:val="21"/>
                      <w:highlight w:val="none"/>
                    </w:rPr>
                  </w:pPr>
                </w:p>
              </w:tc>
              <w:tc>
                <w:tcPr>
                  <w:tcW w:w="2646" w:type="dxa"/>
                  <w:tcBorders>
                    <w:top w:val="single" w:color="auto" w:sz="4" w:space="0"/>
                    <w:left w:val="single" w:color="auto" w:sz="4" w:space="0"/>
                    <w:bottom w:val="single" w:color="auto" w:sz="4" w:space="0"/>
                  </w:tcBorders>
                  <w:vAlign w:val="center"/>
                </w:tcPr>
                <w:p w14:paraId="5F792BE7">
                  <w:pPr>
                    <w:spacing w:line="240" w:lineRule="exact"/>
                    <w:jc w:val="center"/>
                    <w:rPr>
                      <w:color w:val="auto"/>
                      <w:szCs w:val="21"/>
                      <w:highlight w:val="none"/>
                    </w:rPr>
                  </w:pPr>
                </w:p>
              </w:tc>
            </w:tr>
            <w:tr w14:paraId="514E41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547" w:type="dxa"/>
                  <w:tcBorders>
                    <w:top w:val="single" w:color="auto" w:sz="4" w:space="0"/>
                    <w:bottom w:val="single" w:color="auto" w:sz="4" w:space="0"/>
                    <w:right w:val="single" w:color="auto" w:sz="4" w:space="0"/>
                  </w:tcBorders>
                  <w:vAlign w:val="center"/>
                </w:tcPr>
                <w:p w14:paraId="1E7CBE8F">
                  <w:pPr>
                    <w:spacing w:line="240" w:lineRule="exact"/>
                    <w:jc w:val="center"/>
                    <w:rPr>
                      <w:rFonts w:eastAsiaTheme="minorEastAsia"/>
                      <w:color w:val="auto"/>
                      <w:szCs w:val="21"/>
                      <w:highlight w:val="none"/>
                    </w:rPr>
                  </w:pPr>
                  <w:r>
                    <w:rPr>
                      <w:rFonts w:hAnsiTheme="minorEastAsia" w:eastAsiaTheme="minorEastAsia"/>
                      <w:color w:val="auto"/>
                      <w:szCs w:val="21"/>
                      <w:highlight w:val="none"/>
                    </w:rPr>
                    <w:t>主要危险物质及分布</w:t>
                  </w:r>
                </w:p>
              </w:tc>
              <w:tc>
                <w:tcPr>
                  <w:tcW w:w="6884" w:type="dxa"/>
                  <w:gridSpan w:val="4"/>
                  <w:tcBorders>
                    <w:top w:val="single" w:color="auto" w:sz="4" w:space="0"/>
                    <w:left w:val="single" w:color="auto" w:sz="4" w:space="0"/>
                    <w:bottom w:val="single" w:color="auto" w:sz="4" w:space="0"/>
                  </w:tcBorders>
                  <w:vAlign w:val="center"/>
                </w:tcPr>
                <w:p w14:paraId="4422C5A5">
                  <w:pPr>
                    <w:spacing w:line="240" w:lineRule="exact"/>
                    <w:jc w:val="center"/>
                    <w:rPr>
                      <w:rFonts w:hint="default" w:eastAsiaTheme="minorEastAsia"/>
                      <w:color w:val="auto"/>
                      <w:szCs w:val="21"/>
                      <w:highlight w:val="none"/>
                      <w:lang w:val="en-US" w:eastAsia="zh-CN"/>
                    </w:rPr>
                  </w:pPr>
                  <w:r>
                    <w:rPr>
                      <w:rFonts w:hint="eastAsia" w:hAnsiTheme="minorEastAsia" w:eastAsiaTheme="minorEastAsia"/>
                      <w:color w:val="auto"/>
                      <w:szCs w:val="21"/>
                      <w:highlight w:val="none"/>
                    </w:rPr>
                    <w:t>废机油</w:t>
                  </w:r>
                  <w:r>
                    <w:rPr>
                      <w:rFonts w:hint="eastAsia" w:hAnsiTheme="minorEastAsia" w:eastAsiaTheme="minorEastAsia"/>
                      <w:color w:val="auto"/>
                      <w:szCs w:val="21"/>
                      <w:highlight w:val="none"/>
                      <w:lang w:eastAsia="zh-CN"/>
                    </w:rPr>
                    <w:t>、</w:t>
                  </w:r>
                  <w:r>
                    <w:rPr>
                      <w:rFonts w:hint="eastAsia" w:hAnsiTheme="minorEastAsia" w:eastAsiaTheme="minorEastAsia"/>
                      <w:color w:val="auto"/>
                      <w:szCs w:val="21"/>
                      <w:highlight w:val="none"/>
                      <w:lang w:val="en-US" w:eastAsia="zh-CN"/>
                    </w:rPr>
                    <w:t>聚乙烯</w:t>
                  </w:r>
                </w:p>
              </w:tc>
            </w:tr>
            <w:tr w14:paraId="7F8AF9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547" w:type="dxa"/>
                  <w:tcBorders>
                    <w:top w:val="single" w:color="auto" w:sz="4" w:space="0"/>
                    <w:bottom w:val="single" w:color="auto" w:sz="4" w:space="0"/>
                    <w:right w:val="single" w:color="auto" w:sz="4" w:space="0"/>
                  </w:tcBorders>
                  <w:vAlign w:val="center"/>
                </w:tcPr>
                <w:p w14:paraId="212FE4F0">
                  <w:pPr>
                    <w:spacing w:line="240" w:lineRule="exact"/>
                    <w:jc w:val="center"/>
                    <w:rPr>
                      <w:rFonts w:eastAsiaTheme="minorEastAsia"/>
                      <w:color w:val="auto"/>
                      <w:szCs w:val="21"/>
                      <w:highlight w:val="none"/>
                    </w:rPr>
                  </w:pPr>
                  <w:r>
                    <w:rPr>
                      <w:rFonts w:hint="eastAsia" w:hAnsiTheme="minorEastAsia" w:eastAsiaTheme="minorEastAsia"/>
                      <w:color w:val="auto"/>
                      <w:szCs w:val="21"/>
                      <w:highlight w:val="none"/>
                      <w:lang w:eastAsia="zh-CN"/>
                    </w:rPr>
                    <w:t>生态</w:t>
                  </w:r>
                  <w:r>
                    <w:rPr>
                      <w:rFonts w:hAnsiTheme="minorEastAsia" w:eastAsiaTheme="minorEastAsia"/>
                      <w:color w:val="auto"/>
                      <w:szCs w:val="21"/>
                      <w:highlight w:val="none"/>
                    </w:rPr>
                    <w:t>环境影响途径及危害后果（大气、地表水、地下水等）</w:t>
                  </w:r>
                </w:p>
              </w:tc>
              <w:tc>
                <w:tcPr>
                  <w:tcW w:w="6884" w:type="dxa"/>
                  <w:gridSpan w:val="4"/>
                  <w:tcBorders>
                    <w:top w:val="single" w:color="auto" w:sz="4" w:space="0"/>
                    <w:left w:val="single" w:color="auto" w:sz="4" w:space="0"/>
                    <w:bottom w:val="single" w:color="auto" w:sz="4" w:space="0"/>
                  </w:tcBorders>
                  <w:vAlign w:val="center"/>
                </w:tcPr>
                <w:p w14:paraId="054970B3">
                  <w:pPr>
                    <w:spacing w:line="240" w:lineRule="exact"/>
                    <w:jc w:val="left"/>
                    <w:rPr>
                      <w:rFonts w:eastAsiaTheme="minorEastAsia"/>
                      <w:color w:val="auto"/>
                      <w:szCs w:val="21"/>
                      <w:highlight w:val="none"/>
                    </w:rPr>
                  </w:pPr>
                  <w:r>
                    <w:rPr>
                      <w:rFonts w:hint="default" w:hAnsiTheme="minorEastAsia" w:eastAsiaTheme="minorEastAsia"/>
                      <w:color w:val="auto"/>
                      <w:szCs w:val="21"/>
                      <w:highlight w:val="none"/>
                    </w:rPr>
                    <w:t>‌污染土壤和水体‌：废机油渗入土壤后，会在土壤中积累并难以自然降解，破坏土壤结构和功能，影响微生物和植物的生长。被污染的土壤可能通过雨水淋溶等方式进入地表水或地下水，对水体造成污染，威胁生态和人类健康</w:t>
                  </w:r>
                  <w:r>
                    <w:rPr>
                      <w:rFonts w:hint="eastAsia" w:hAnsiTheme="minorEastAsia" w:eastAsiaTheme="minorEastAsia"/>
                      <w:color w:val="auto"/>
                      <w:szCs w:val="21"/>
                      <w:highlight w:val="none"/>
                      <w:lang w:eastAsia="zh-CN"/>
                    </w:rPr>
                    <w:t>。</w:t>
                  </w:r>
                  <w:r>
                    <w:rPr>
                      <w:rFonts w:hint="eastAsia" w:hAnsiTheme="minorEastAsia" w:eastAsiaTheme="minorEastAsia"/>
                      <w:color w:val="auto"/>
                      <w:szCs w:val="21"/>
                      <w:highlight w:val="none"/>
                      <w:lang w:val="en-US" w:eastAsia="zh-CN"/>
                    </w:rPr>
                    <w:t>项目原材料具有可燃性，如发生火灾不仅危险厂区生产安全，产生的废气也会对大气造成污染</w:t>
                  </w:r>
                  <w:r>
                    <w:rPr>
                      <w:rFonts w:hAnsiTheme="minorEastAsia" w:eastAsiaTheme="minorEastAsia"/>
                      <w:color w:val="auto"/>
                      <w:szCs w:val="21"/>
                      <w:highlight w:val="none"/>
                    </w:rPr>
                    <w:t>。</w:t>
                  </w:r>
                </w:p>
              </w:tc>
            </w:tr>
            <w:tr w14:paraId="483A1AD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547" w:type="dxa"/>
                  <w:tcBorders>
                    <w:top w:val="single" w:color="auto" w:sz="4" w:space="0"/>
                    <w:bottom w:val="single" w:color="auto" w:sz="4" w:space="0"/>
                    <w:right w:val="single" w:color="auto" w:sz="4" w:space="0"/>
                  </w:tcBorders>
                  <w:vAlign w:val="center"/>
                </w:tcPr>
                <w:p w14:paraId="74A74A40">
                  <w:pPr>
                    <w:spacing w:line="240" w:lineRule="exact"/>
                    <w:jc w:val="center"/>
                    <w:rPr>
                      <w:rFonts w:eastAsiaTheme="minorEastAsia"/>
                      <w:color w:val="auto"/>
                      <w:szCs w:val="21"/>
                      <w:highlight w:val="none"/>
                    </w:rPr>
                  </w:pPr>
                  <w:r>
                    <w:rPr>
                      <w:rFonts w:hAnsiTheme="minorEastAsia" w:eastAsiaTheme="minorEastAsia"/>
                      <w:color w:val="auto"/>
                      <w:szCs w:val="21"/>
                      <w:highlight w:val="none"/>
                    </w:rPr>
                    <w:t>风险防范措施</w:t>
                  </w:r>
                </w:p>
              </w:tc>
              <w:tc>
                <w:tcPr>
                  <w:tcW w:w="6884" w:type="dxa"/>
                  <w:gridSpan w:val="4"/>
                  <w:tcBorders>
                    <w:top w:val="single" w:color="auto" w:sz="4" w:space="0"/>
                    <w:left w:val="single" w:color="auto" w:sz="4" w:space="0"/>
                    <w:bottom w:val="single" w:color="auto" w:sz="4" w:space="0"/>
                  </w:tcBorders>
                  <w:vAlign w:val="center"/>
                </w:tcPr>
                <w:p w14:paraId="6C93C61B">
                  <w:pPr>
                    <w:spacing w:line="240" w:lineRule="exact"/>
                    <w:jc w:val="left"/>
                    <w:rPr>
                      <w:rFonts w:eastAsiaTheme="minorEastAsia"/>
                      <w:color w:val="auto"/>
                      <w:szCs w:val="21"/>
                      <w:highlight w:val="none"/>
                    </w:rPr>
                  </w:pPr>
                  <w:r>
                    <w:rPr>
                      <w:rFonts w:hint="eastAsia" w:hAnsiTheme="minorEastAsia" w:eastAsiaTheme="minorEastAsia"/>
                      <w:color w:val="auto"/>
                      <w:szCs w:val="21"/>
                      <w:highlight w:val="none"/>
                    </w:rPr>
                    <w:t>加强管理，配备消防设备，禁止明火，物料还应分区堆放。</w:t>
                  </w:r>
                </w:p>
              </w:tc>
            </w:tr>
            <w:tr w14:paraId="465451A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8431" w:type="dxa"/>
                  <w:gridSpan w:val="5"/>
                  <w:tcBorders>
                    <w:top w:val="single" w:color="auto" w:sz="4" w:space="0"/>
                  </w:tcBorders>
                  <w:vAlign w:val="center"/>
                </w:tcPr>
                <w:p w14:paraId="0144077E">
                  <w:pPr>
                    <w:spacing w:line="240" w:lineRule="exact"/>
                    <w:jc w:val="left"/>
                    <w:rPr>
                      <w:rFonts w:eastAsiaTheme="minorEastAsia"/>
                      <w:color w:val="auto"/>
                      <w:szCs w:val="21"/>
                      <w:highlight w:val="none"/>
                    </w:rPr>
                  </w:pPr>
                  <w:r>
                    <w:rPr>
                      <w:rFonts w:hAnsiTheme="minorEastAsia" w:eastAsiaTheme="minorEastAsia"/>
                      <w:color w:val="auto"/>
                      <w:szCs w:val="21"/>
                      <w:highlight w:val="none"/>
                    </w:rPr>
                    <w:t>填表说明（列出项目相关信息及评价说明）：</w:t>
                  </w:r>
                </w:p>
                <w:p w14:paraId="37A5156F">
                  <w:pPr>
                    <w:spacing w:line="240" w:lineRule="exact"/>
                    <w:jc w:val="left"/>
                    <w:rPr>
                      <w:rFonts w:eastAsiaTheme="minorEastAsia"/>
                      <w:color w:val="auto"/>
                      <w:szCs w:val="21"/>
                      <w:highlight w:val="none"/>
                    </w:rPr>
                  </w:pPr>
                  <w:r>
                    <w:rPr>
                      <w:rFonts w:hAnsiTheme="minorEastAsia" w:eastAsiaTheme="minorEastAsia"/>
                      <w:color w:val="auto"/>
                      <w:szCs w:val="21"/>
                      <w:highlight w:val="none"/>
                    </w:rPr>
                    <w:t>根据《建设项目环境风险评价技术导则</w:t>
                  </w:r>
                  <w:r>
                    <w:rPr>
                      <w:rFonts w:eastAsiaTheme="minorEastAsia"/>
                      <w:color w:val="auto"/>
                      <w:szCs w:val="21"/>
                      <w:highlight w:val="none"/>
                    </w:rPr>
                    <w:t>(HJ169-2018)</w:t>
                  </w:r>
                  <w:r>
                    <w:rPr>
                      <w:rFonts w:hAnsiTheme="minorEastAsia" w:eastAsiaTheme="minorEastAsia"/>
                      <w:color w:val="auto"/>
                      <w:szCs w:val="21"/>
                      <w:highlight w:val="none"/>
                    </w:rPr>
                    <w:t>》，本项目环境风险潜势为</w:t>
                  </w:r>
                  <w:r>
                    <w:rPr>
                      <w:rFonts w:asciiTheme="minorEastAsia" w:hAnsiTheme="minorEastAsia" w:eastAsiaTheme="minorEastAsia"/>
                      <w:color w:val="auto"/>
                      <w:szCs w:val="21"/>
                      <w:highlight w:val="none"/>
                    </w:rPr>
                    <w:t>Ⅰ</w:t>
                  </w:r>
                  <w:r>
                    <w:rPr>
                      <w:rFonts w:hAnsiTheme="minorEastAsia" w:eastAsiaTheme="minorEastAsia"/>
                      <w:color w:val="auto"/>
                      <w:szCs w:val="21"/>
                      <w:highlight w:val="none"/>
                    </w:rPr>
                    <w:t>，开展环境风险简单分析。</w:t>
                  </w:r>
                </w:p>
              </w:tc>
            </w:tr>
          </w:tbl>
          <w:p w14:paraId="618E17AB">
            <w:pPr>
              <w:autoSpaceDE w:val="0"/>
              <w:autoSpaceDN w:val="0"/>
              <w:adjustRightInd w:val="0"/>
              <w:spacing w:line="480" w:lineRule="exact"/>
              <w:jc w:val="left"/>
              <w:rPr>
                <w:rFonts w:hAnsiTheme="minorEastAsia" w:eastAsiaTheme="minorEastAsia"/>
                <w:color w:val="auto"/>
                <w:sz w:val="24"/>
                <w:highlight w:val="none"/>
              </w:rPr>
            </w:pPr>
          </w:p>
        </w:tc>
      </w:tr>
    </w:tbl>
    <w:p w14:paraId="55E9AA0D">
      <w:pPr>
        <w:adjustRightInd w:val="0"/>
        <w:snapToGrid w:val="0"/>
        <w:spacing w:line="360" w:lineRule="auto"/>
        <w:rPr>
          <w:rFonts w:ascii="宋体" w:cs="宋体"/>
          <w:b/>
          <w:color w:val="auto"/>
          <w:kern w:val="0"/>
          <w:sz w:val="28"/>
          <w:szCs w:val="28"/>
          <w:highlight w:val="none"/>
        </w:rPr>
        <w:sectPr>
          <w:pgSz w:w="11907" w:h="16840"/>
          <w:pgMar w:top="1701" w:right="1531" w:bottom="2127" w:left="1531" w:header="851" w:footer="851" w:gutter="0"/>
          <w:pgNumType w:fmt="decimal"/>
          <w:cols w:space="720" w:num="1"/>
          <w:docGrid w:linePitch="312" w:charSpace="0"/>
        </w:sectPr>
      </w:pPr>
    </w:p>
    <w:p w14:paraId="2E9630DF">
      <w:pPr>
        <w:pStyle w:val="29"/>
        <w:jc w:val="center"/>
        <w:outlineLvl w:val="0"/>
        <w:rPr>
          <w:rFonts w:ascii="黑体" w:hAnsi="黑体" w:eastAsia="黑体"/>
          <w:snapToGrid w:val="0"/>
          <w:color w:val="auto"/>
          <w:sz w:val="30"/>
          <w:szCs w:val="30"/>
          <w:highlight w:val="none"/>
        </w:rPr>
      </w:pPr>
      <w:bookmarkStart w:id="14" w:name="_Toc13002"/>
      <w:r>
        <w:rPr>
          <w:rFonts w:hint="eastAsia" w:ascii="黑体" w:hAnsi="黑体" w:eastAsia="黑体"/>
          <w:snapToGrid w:val="0"/>
          <w:color w:val="auto"/>
          <w:sz w:val="30"/>
          <w:szCs w:val="30"/>
          <w:highlight w:val="none"/>
        </w:rPr>
        <w:t>五、</w:t>
      </w:r>
      <w:bookmarkStart w:id="15" w:name="_Hlk54167917"/>
      <w:r>
        <w:rPr>
          <w:rFonts w:hint="eastAsia" w:ascii="黑体" w:hAnsi="黑体" w:eastAsia="黑体"/>
          <w:snapToGrid w:val="0"/>
          <w:color w:val="auto"/>
          <w:sz w:val="30"/>
          <w:szCs w:val="30"/>
          <w:highlight w:val="none"/>
        </w:rPr>
        <w:t>环境保护措施监督检查清单</w:t>
      </w:r>
      <w:bookmarkEnd w:id="14"/>
      <w:bookmarkEnd w:id="15"/>
    </w:p>
    <w:tbl>
      <w:tblPr>
        <w:tblStyle w:val="3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331"/>
        <w:gridCol w:w="1222"/>
        <w:gridCol w:w="2217"/>
        <w:gridCol w:w="3048"/>
      </w:tblGrid>
      <w:tr w14:paraId="516705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42" w:type="dxa"/>
            <w:tcBorders>
              <w:tl2br w:val="single" w:color="auto" w:sz="4" w:space="0"/>
            </w:tcBorders>
          </w:tcPr>
          <w:p w14:paraId="644FDCAE">
            <w:pPr>
              <w:spacing w:line="380" w:lineRule="exact"/>
              <w:ind w:firstLine="340"/>
              <w:rPr>
                <w:rFonts w:eastAsiaTheme="minorEastAsia"/>
                <w:color w:val="auto"/>
                <w:sz w:val="24"/>
                <w:highlight w:val="none"/>
              </w:rPr>
            </w:pPr>
            <w:r>
              <w:rPr>
                <w:rFonts w:hAnsiTheme="minorEastAsia" w:eastAsiaTheme="minorEastAsia"/>
                <w:color w:val="auto"/>
                <w:sz w:val="24"/>
                <w:highlight w:val="none"/>
              </w:rPr>
              <w:t>内</w:t>
            </w:r>
            <w:r>
              <w:rPr>
                <w:rFonts w:hint="eastAsia" w:hAnsiTheme="minorEastAsia" w:eastAsiaTheme="minorEastAsia"/>
                <w:color w:val="auto"/>
                <w:sz w:val="24"/>
                <w:highlight w:val="none"/>
              </w:rPr>
              <w:t>容</w:t>
            </w:r>
          </w:p>
          <w:p w14:paraId="1932B909">
            <w:pPr>
              <w:spacing w:line="380" w:lineRule="exact"/>
              <w:rPr>
                <w:rFonts w:hAnsiTheme="minorEastAsia" w:eastAsiaTheme="minorEastAsia"/>
                <w:color w:val="auto"/>
                <w:sz w:val="24"/>
                <w:highlight w:val="none"/>
              </w:rPr>
            </w:pPr>
          </w:p>
          <w:p w14:paraId="74C7E66A">
            <w:pPr>
              <w:spacing w:line="380" w:lineRule="exact"/>
              <w:rPr>
                <w:rFonts w:eastAsiaTheme="minorEastAsia"/>
                <w:color w:val="auto"/>
                <w:sz w:val="24"/>
                <w:highlight w:val="none"/>
              </w:rPr>
            </w:pPr>
            <w:r>
              <w:rPr>
                <w:rFonts w:hAnsiTheme="minorEastAsia" w:eastAsiaTheme="minorEastAsia"/>
                <w:color w:val="auto"/>
                <w:sz w:val="24"/>
                <w:highlight w:val="none"/>
              </w:rPr>
              <w:t>要素</w:t>
            </w:r>
          </w:p>
        </w:tc>
        <w:tc>
          <w:tcPr>
            <w:tcW w:w="1331" w:type="dxa"/>
            <w:vAlign w:val="center"/>
          </w:tcPr>
          <w:p w14:paraId="12BB38D1">
            <w:pPr>
              <w:spacing w:line="380" w:lineRule="exact"/>
              <w:jc w:val="center"/>
              <w:rPr>
                <w:rFonts w:eastAsiaTheme="minorEastAsia"/>
                <w:color w:val="auto"/>
                <w:sz w:val="24"/>
                <w:highlight w:val="none"/>
              </w:rPr>
            </w:pPr>
            <w:r>
              <w:rPr>
                <w:rFonts w:hAnsiTheme="minorEastAsia" w:eastAsiaTheme="minorEastAsia"/>
                <w:color w:val="auto"/>
                <w:sz w:val="24"/>
                <w:highlight w:val="none"/>
              </w:rPr>
              <w:t>排</w:t>
            </w:r>
            <w:r>
              <w:rPr>
                <w:rFonts w:hint="eastAsia" w:hAnsiTheme="minorEastAsia" w:eastAsiaTheme="minorEastAsia"/>
                <w:color w:val="auto"/>
                <w:sz w:val="24"/>
                <w:highlight w:val="none"/>
                <w:lang w:eastAsia="zh-CN"/>
              </w:rPr>
              <w:t>（</w:t>
            </w:r>
            <w:r>
              <w:rPr>
                <w:rFonts w:hAnsiTheme="minorEastAsia" w:eastAsiaTheme="minorEastAsia"/>
                <w:color w:val="auto"/>
                <w:sz w:val="24"/>
                <w:highlight w:val="none"/>
              </w:rPr>
              <w:t>口</w:t>
            </w:r>
            <w:r>
              <w:rPr>
                <w:rFonts w:eastAsiaTheme="minorEastAsia"/>
                <w:color w:val="auto"/>
                <w:sz w:val="24"/>
                <w:highlight w:val="none"/>
              </w:rPr>
              <w:t>(</w:t>
            </w:r>
            <w:r>
              <w:rPr>
                <w:rFonts w:hAnsiTheme="minorEastAsia" w:eastAsiaTheme="minorEastAsia"/>
                <w:color w:val="auto"/>
                <w:sz w:val="24"/>
                <w:highlight w:val="none"/>
              </w:rPr>
              <w:t>编号、名称</w:t>
            </w:r>
            <w:r>
              <w:rPr>
                <w:rFonts w:eastAsiaTheme="minorEastAsia"/>
                <w:color w:val="auto"/>
                <w:sz w:val="24"/>
                <w:highlight w:val="none"/>
              </w:rPr>
              <w:t>)/</w:t>
            </w:r>
            <w:r>
              <w:rPr>
                <w:rFonts w:hAnsiTheme="minorEastAsia" w:eastAsiaTheme="minorEastAsia"/>
                <w:color w:val="auto"/>
                <w:sz w:val="24"/>
                <w:highlight w:val="none"/>
              </w:rPr>
              <w:t>污染源</w:t>
            </w:r>
          </w:p>
        </w:tc>
        <w:tc>
          <w:tcPr>
            <w:tcW w:w="1222" w:type="dxa"/>
            <w:vAlign w:val="center"/>
          </w:tcPr>
          <w:p w14:paraId="3D8C60B7">
            <w:pPr>
              <w:spacing w:line="380" w:lineRule="exact"/>
              <w:jc w:val="center"/>
              <w:rPr>
                <w:rFonts w:eastAsiaTheme="minorEastAsia"/>
                <w:color w:val="auto"/>
                <w:sz w:val="24"/>
                <w:highlight w:val="none"/>
              </w:rPr>
            </w:pPr>
            <w:r>
              <w:rPr>
                <w:rFonts w:hAnsiTheme="minorEastAsia" w:eastAsiaTheme="minorEastAsia"/>
                <w:color w:val="auto"/>
                <w:sz w:val="24"/>
                <w:highlight w:val="none"/>
              </w:rPr>
              <w:t>污染物项目</w:t>
            </w:r>
          </w:p>
        </w:tc>
        <w:tc>
          <w:tcPr>
            <w:tcW w:w="2217" w:type="dxa"/>
            <w:vAlign w:val="center"/>
          </w:tcPr>
          <w:p w14:paraId="6D4141C0">
            <w:pPr>
              <w:spacing w:line="380" w:lineRule="exact"/>
              <w:jc w:val="center"/>
              <w:rPr>
                <w:rFonts w:eastAsiaTheme="minorEastAsia"/>
                <w:color w:val="auto"/>
                <w:sz w:val="24"/>
                <w:highlight w:val="none"/>
              </w:rPr>
            </w:pPr>
            <w:r>
              <w:rPr>
                <w:rFonts w:hAnsiTheme="minorEastAsia" w:eastAsiaTheme="minorEastAsia"/>
                <w:color w:val="auto"/>
                <w:sz w:val="24"/>
                <w:highlight w:val="none"/>
              </w:rPr>
              <w:t>环境保护措施</w:t>
            </w:r>
          </w:p>
        </w:tc>
        <w:tc>
          <w:tcPr>
            <w:tcW w:w="3048" w:type="dxa"/>
            <w:vAlign w:val="center"/>
          </w:tcPr>
          <w:p w14:paraId="0EAEE9B3">
            <w:pPr>
              <w:spacing w:line="380" w:lineRule="exact"/>
              <w:jc w:val="center"/>
              <w:rPr>
                <w:rFonts w:eastAsiaTheme="minorEastAsia"/>
                <w:color w:val="auto"/>
                <w:sz w:val="24"/>
                <w:highlight w:val="none"/>
              </w:rPr>
            </w:pPr>
            <w:r>
              <w:rPr>
                <w:rFonts w:hAnsiTheme="minorEastAsia" w:eastAsiaTheme="minorEastAsia"/>
                <w:color w:val="auto"/>
                <w:sz w:val="24"/>
                <w:highlight w:val="none"/>
              </w:rPr>
              <w:t>执行标准</w:t>
            </w:r>
          </w:p>
        </w:tc>
      </w:tr>
      <w:tr w14:paraId="7C1F54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42" w:type="dxa"/>
            <w:vMerge w:val="restart"/>
            <w:vAlign w:val="center"/>
          </w:tcPr>
          <w:p w14:paraId="5367A6E0">
            <w:pPr>
              <w:spacing w:line="380" w:lineRule="exact"/>
              <w:jc w:val="center"/>
              <w:rPr>
                <w:rFonts w:eastAsiaTheme="minorEastAsia"/>
                <w:color w:val="auto"/>
                <w:sz w:val="24"/>
                <w:highlight w:val="none"/>
              </w:rPr>
            </w:pPr>
            <w:r>
              <w:rPr>
                <w:rFonts w:hAnsiTheme="minorEastAsia" w:eastAsiaTheme="minorEastAsia"/>
                <w:color w:val="auto"/>
                <w:sz w:val="24"/>
                <w:highlight w:val="none"/>
              </w:rPr>
              <w:t>大气环境</w:t>
            </w:r>
          </w:p>
        </w:tc>
        <w:tc>
          <w:tcPr>
            <w:tcW w:w="1331" w:type="dxa"/>
            <w:vMerge w:val="restart"/>
            <w:vAlign w:val="center"/>
          </w:tcPr>
          <w:p w14:paraId="463F7724">
            <w:pPr>
              <w:spacing w:line="380" w:lineRule="exact"/>
              <w:jc w:val="center"/>
              <w:rPr>
                <w:rFonts w:hint="default" w:hAnsiTheme="minorEastAsia" w:eastAsiaTheme="minorEastAsia"/>
                <w:color w:val="auto"/>
                <w:sz w:val="24"/>
                <w:highlight w:val="none"/>
                <w:lang w:val="en-US" w:eastAsia="zh-CN"/>
              </w:rPr>
            </w:pPr>
            <w:r>
              <w:rPr>
                <w:rFonts w:hint="eastAsia" w:hAnsiTheme="minorEastAsia" w:eastAsiaTheme="minorEastAsia"/>
                <w:color w:val="auto"/>
                <w:sz w:val="24"/>
                <w:highlight w:val="none"/>
                <w:lang w:val="en-US" w:eastAsia="zh-CN"/>
              </w:rPr>
              <w:t>DA001</w:t>
            </w:r>
          </w:p>
        </w:tc>
        <w:tc>
          <w:tcPr>
            <w:tcW w:w="1222" w:type="dxa"/>
            <w:vAlign w:val="center"/>
          </w:tcPr>
          <w:p w14:paraId="21A1590B">
            <w:pPr>
              <w:spacing w:line="380" w:lineRule="exact"/>
              <w:jc w:val="center"/>
              <w:rPr>
                <w:rFonts w:hint="default" w:hAnsiTheme="minorEastAsia" w:eastAsiaTheme="minorEastAsia"/>
                <w:color w:val="auto"/>
                <w:sz w:val="24"/>
                <w:highlight w:val="none"/>
                <w:lang w:val="en-US" w:eastAsia="zh-CN"/>
              </w:rPr>
            </w:pPr>
            <w:r>
              <w:rPr>
                <w:rFonts w:hint="eastAsia" w:hAnsiTheme="minorEastAsia" w:eastAsiaTheme="minorEastAsia"/>
                <w:color w:val="auto"/>
                <w:sz w:val="24"/>
                <w:highlight w:val="none"/>
                <w:lang w:val="en-US" w:eastAsia="zh-CN"/>
              </w:rPr>
              <w:t>TSP</w:t>
            </w:r>
          </w:p>
        </w:tc>
        <w:tc>
          <w:tcPr>
            <w:tcW w:w="2217" w:type="dxa"/>
            <w:vAlign w:val="center"/>
          </w:tcPr>
          <w:p w14:paraId="1C762108">
            <w:pPr>
              <w:spacing w:line="380" w:lineRule="exact"/>
              <w:jc w:val="center"/>
              <w:rPr>
                <w:rFonts w:hint="default" w:eastAsiaTheme="minorEastAsia"/>
                <w:color w:val="auto"/>
                <w:sz w:val="24"/>
                <w:highlight w:val="none"/>
                <w:lang w:val="en-US" w:eastAsia="zh-CN"/>
              </w:rPr>
            </w:pPr>
            <w:r>
              <w:rPr>
                <w:rFonts w:hint="eastAsia" w:eastAsiaTheme="minorEastAsia"/>
                <w:color w:val="auto"/>
                <w:sz w:val="24"/>
                <w:highlight w:val="none"/>
                <w:lang w:val="en-US" w:eastAsia="zh-CN"/>
              </w:rPr>
              <w:t>布袋除尘设备</w:t>
            </w:r>
            <w:r>
              <w:rPr>
                <w:rFonts w:hint="eastAsia" w:eastAsiaTheme="minorEastAsia"/>
                <w:color w:val="auto"/>
                <w:sz w:val="24"/>
                <w:highlight w:val="none"/>
              </w:rPr>
              <w:t>处理达标后经15m高排气筒排放</w:t>
            </w:r>
          </w:p>
        </w:tc>
        <w:tc>
          <w:tcPr>
            <w:tcW w:w="3048" w:type="dxa"/>
            <w:vMerge w:val="restart"/>
            <w:vAlign w:val="center"/>
          </w:tcPr>
          <w:p w14:paraId="7F038606">
            <w:pPr>
              <w:spacing w:line="380" w:lineRule="exact"/>
              <w:ind w:left="-63" w:leftChars="-30" w:right="-63" w:rightChars="-30"/>
              <w:jc w:val="center"/>
              <w:rPr>
                <w:rFonts w:hint="eastAsia" w:ascii="Times New Roman" w:hAnsi="Times New Roman" w:cs="Times New Roman" w:eastAsiaTheme="minorEastAsia"/>
                <w:color w:val="auto"/>
                <w:sz w:val="24"/>
                <w:highlight w:val="none"/>
                <w:lang w:eastAsia="zh-CN"/>
              </w:rPr>
            </w:pPr>
            <w:r>
              <w:rPr>
                <w:rFonts w:hint="eastAsia" w:ascii="Times New Roman" w:hAnsi="Times New Roman" w:cs="Times New Roman" w:eastAsiaTheme="minorEastAsia"/>
                <w:color w:val="auto"/>
                <w:sz w:val="24"/>
                <w:highlight w:val="none"/>
                <w:lang w:eastAsia="zh-CN"/>
              </w:rPr>
              <w:t>《合成树脂工业污染物排放标准》（GB31572-2015，含2024年修改单）</w:t>
            </w:r>
            <w:r>
              <w:rPr>
                <w:rFonts w:hint="eastAsia" w:ascii="Times New Roman" w:hAnsi="Times New Roman" w:cs="Times New Roman" w:eastAsiaTheme="minorEastAsia"/>
                <w:color w:val="auto"/>
                <w:sz w:val="24"/>
                <w:highlight w:val="none"/>
                <w:lang w:val="en-US" w:eastAsia="zh-CN"/>
              </w:rPr>
              <w:t>表4排放限值</w:t>
            </w:r>
          </w:p>
        </w:tc>
      </w:tr>
      <w:tr w14:paraId="61F63F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42" w:type="dxa"/>
            <w:vMerge w:val="continue"/>
            <w:vAlign w:val="center"/>
          </w:tcPr>
          <w:p w14:paraId="3007489E">
            <w:pPr>
              <w:spacing w:line="380" w:lineRule="exact"/>
              <w:jc w:val="center"/>
              <w:rPr>
                <w:rFonts w:hAnsiTheme="minorEastAsia" w:eastAsiaTheme="minorEastAsia"/>
                <w:color w:val="auto"/>
                <w:sz w:val="24"/>
                <w:highlight w:val="none"/>
              </w:rPr>
            </w:pPr>
          </w:p>
        </w:tc>
        <w:tc>
          <w:tcPr>
            <w:tcW w:w="1331" w:type="dxa"/>
            <w:vMerge w:val="continue"/>
            <w:vAlign w:val="center"/>
          </w:tcPr>
          <w:p w14:paraId="0BAC55BA">
            <w:pPr>
              <w:spacing w:line="380" w:lineRule="exact"/>
              <w:jc w:val="center"/>
              <w:rPr>
                <w:rFonts w:hint="eastAsia" w:hAnsiTheme="minorEastAsia" w:eastAsiaTheme="minorEastAsia"/>
                <w:color w:val="auto"/>
                <w:sz w:val="24"/>
                <w:highlight w:val="none"/>
                <w:lang w:val="en-US" w:eastAsia="zh-CN"/>
              </w:rPr>
            </w:pPr>
          </w:p>
        </w:tc>
        <w:tc>
          <w:tcPr>
            <w:tcW w:w="1222" w:type="dxa"/>
            <w:shd w:val="clear" w:color="auto" w:fill="auto"/>
            <w:vAlign w:val="center"/>
          </w:tcPr>
          <w:p w14:paraId="7DFDCDB6">
            <w:pPr>
              <w:spacing w:line="380" w:lineRule="exact"/>
              <w:jc w:val="center"/>
              <w:rPr>
                <w:rFonts w:hint="eastAsia" w:ascii="Times New Roman" w:hAnsi="Times New Roman" w:cs="Times New Roman" w:eastAsiaTheme="minorEastAsia"/>
                <w:color w:val="auto"/>
                <w:kern w:val="2"/>
                <w:sz w:val="24"/>
                <w:szCs w:val="24"/>
                <w:highlight w:val="none"/>
                <w:lang w:val="en-US" w:eastAsia="zh-CN" w:bidi="ar-SA"/>
              </w:rPr>
            </w:pPr>
            <w:r>
              <w:rPr>
                <w:rFonts w:hint="eastAsia" w:hAnsiTheme="minorEastAsia" w:eastAsiaTheme="minorEastAsia"/>
                <w:color w:val="auto"/>
                <w:sz w:val="24"/>
                <w:highlight w:val="none"/>
              </w:rPr>
              <w:t>非甲烷总烃</w:t>
            </w:r>
          </w:p>
        </w:tc>
        <w:tc>
          <w:tcPr>
            <w:tcW w:w="2217" w:type="dxa"/>
            <w:shd w:val="clear" w:color="auto" w:fill="auto"/>
            <w:vAlign w:val="center"/>
          </w:tcPr>
          <w:p w14:paraId="1AE96881">
            <w:pPr>
              <w:spacing w:line="380" w:lineRule="exact"/>
              <w:jc w:val="center"/>
              <w:rPr>
                <w:rFonts w:hint="eastAsia" w:ascii="Times New Roman" w:hAnsi="Times New Roman" w:cs="Times New Roman" w:eastAsiaTheme="minorEastAsia"/>
                <w:color w:val="auto"/>
                <w:kern w:val="2"/>
                <w:sz w:val="24"/>
                <w:szCs w:val="24"/>
                <w:highlight w:val="none"/>
                <w:lang w:val="en-US" w:eastAsia="zh-CN" w:bidi="ar-SA"/>
              </w:rPr>
            </w:pPr>
            <w:r>
              <w:rPr>
                <w:rFonts w:hint="eastAsia" w:ascii="Times New Roman" w:hAnsi="Times New Roman" w:cs="Times New Roman" w:eastAsiaTheme="minorEastAsia"/>
                <w:color w:val="auto"/>
                <w:sz w:val="24"/>
                <w:highlight w:val="none"/>
                <w:lang w:eastAsia="zh-CN"/>
              </w:rPr>
              <w:t>经1套活性炭吸附-脱附-催化燃烧处理达标后经15m高排气筒排放</w:t>
            </w:r>
          </w:p>
        </w:tc>
        <w:tc>
          <w:tcPr>
            <w:tcW w:w="3048" w:type="dxa"/>
            <w:vMerge w:val="continue"/>
            <w:vAlign w:val="center"/>
          </w:tcPr>
          <w:p w14:paraId="3E94644E">
            <w:pPr>
              <w:spacing w:line="380" w:lineRule="exact"/>
              <w:ind w:left="-63" w:leftChars="-30" w:right="-63" w:rightChars="-30"/>
              <w:jc w:val="center"/>
              <w:rPr>
                <w:rFonts w:hint="eastAsia" w:ascii="Times New Roman" w:hAnsi="Times New Roman" w:cs="Times New Roman" w:eastAsiaTheme="minorEastAsia"/>
                <w:color w:val="auto"/>
                <w:sz w:val="24"/>
                <w:highlight w:val="none"/>
                <w:lang w:eastAsia="zh-CN"/>
              </w:rPr>
            </w:pPr>
          </w:p>
        </w:tc>
      </w:tr>
      <w:tr w14:paraId="79ECAC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42" w:type="dxa"/>
            <w:vMerge w:val="continue"/>
            <w:vAlign w:val="center"/>
          </w:tcPr>
          <w:p w14:paraId="6C632AD4">
            <w:pPr>
              <w:spacing w:line="380" w:lineRule="exact"/>
              <w:jc w:val="center"/>
              <w:rPr>
                <w:rFonts w:hAnsiTheme="minorEastAsia" w:eastAsiaTheme="minorEastAsia"/>
                <w:color w:val="auto"/>
                <w:sz w:val="24"/>
                <w:highlight w:val="none"/>
              </w:rPr>
            </w:pPr>
          </w:p>
        </w:tc>
        <w:tc>
          <w:tcPr>
            <w:tcW w:w="1331" w:type="dxa"/>
            <w:vMerge w:val="restart"/>
            <w:vAlign w:val="center"/>
          </w:tcPr>
          <w:p w14:paraId="758DC389">
            <w:pPr>
              <w:spacing w:line="380" w:lineRule="exact"/>
              <w:jc w:val="center"/>
              <w:rPr>
                <w:rFonts w:hint="eastAsia" w:eastAsiaTheme="minorEastAsia"/>
                <w:color w:val="auto"/>
                <w:sz w:val="24"/>
                <w:highlight w:val="none"/>
                <w:lang w:eastAsia="zh-CN"/>
              </w:rPr>
            </w:pPr>
            <w:r>
              <w:rPr>
                <w:rFonts w:hint="eastAsia" w:hAnsiTheme="minorEastAsia" w:eastAsiaTheme="minorEastAsia"/>
                <w:color w:val="auto"/>
                <w:sz w:val="24"/>
                <w:highlight w:val="none"/>
              </w:rPr>
              <w:t>DA00</w:t>
            </w:r>
            <w:r>
              <w:rPr>
                <w:rFonts w:hint="eastAsia" w:hAnsiTheme="minorEastAsia" w:eastAsiaTheme="minorEastAsia"/>
                <w:color w:val="auto"/>
                <w:sz w:val="24"/>
                <w:highlight w:val="none"/>
                <w:lang w:val="en-US" w:eastAsia="zh-CN"/>
              </w:rPr>
              <w:t>2</w:t>
            </w:r>
          </w:p>
        </w:tc>
        <w:tc>
          <w:tcPr>
            <w:tcW w:w="1222" w:type="dxa"/>
            <w:shd w:val="clear" w:color="auto" w:fill="auto"/>
            <w:vAlign w:val="center"/>
          </w:tcPr>
          <w:p w14:paraId="77ABDDB3">
            <w:pPr>
              <w:spacing w:line="380" w:lineRule="exact"/>
              <w:jc w:val="center"/>
              <w:rPr>
                <w:rFonts w:hint="eastAsia" w:ascii="Times New Roman" w:cs="Times New Roman" w:hAnsiTheme="minorEastAsia" w:eastAsiaTheme="minorEastAsia"/>
                <w:color w:val="auto"/>
                <w:kern w:val="2"/>
                <w:sz w:val="24"/>
                <w:szCs w:val="24"/>
                <w:highlight w:val="none"/>
                <w:lang w:val="en-US" w:eastAsia="zh-CN" w:bidi="ar-SA"/>
              </w:rPr>
            </w:pPr>
            <w:r>
              <w:rPr>
                <w:rFonts w:hint="eastAsia" w:hAnsiTheme="minorEastAsia" w:eastAsiaTheme="minorEastAsia"/>
                <w:color w:val="auto"/>
                <w:sz w:val="24"/>
                <w:highlight w:val="none"/>
                <w:lang w:val="en-US" w:eastAsia="zh-CN"/>
              </w:rPr>
              <w:t>TSP</w:t>
            </w:r>
          </w:p>
        </w:tc>
        <w:tc>
          <w:tcPr>
            <w:tcW w:w="2217" w:type="dxa"/>
            <w:shd w:val="clear" w:color="auto" w:fill="auto"/>
            <w:vAlign w:val="center"/>
          </w:tcPr>
          <w:p w14:paraId="09514F9C">
            <w:pPr>
              <w:spacing w:line="380" w:lineRule="exact"/>
              <w:jc w:val="center"/>
              <w:rPr>
                <w:rFonts w:hint="eastAsia" w:ascii="Times New Roman" w:hAnsi="Times New Roman" w:cs="Times New Roman" w:eastAsiaTheme="minorEastAsia"/>
                <w:color w:val="auto"/>
                <w:kern w:val="2"/>
                <w:sz w:val="24"/>
                <w:szCs w:val="24"/>
                <w:highlight w:val="none"/>
                <w:lang w:val="en-US" w:eastAsia="zh-CN" w:bidi="ar-SA"/>
              </w:rPr>
            </w:pPr>
            <w:r>
              <w:rPr>
                <w:rFonts w:hint="eastAsia" w:eastAsiaTheme="minorEastAsia"/>
                <w:color w:val="auto"/>
                <w:sz w:val="24"/>
                <w:highlight w:val="none"/>
                <w:lang w:val="en-US" w:eastAsia="zh-CN"/>
              </w:rPr>
              <w:t>布袋除尘设备</w:t>
            </w:r>
            <w:r>
              <w:rPr>
                <w:rFonts w:hint="eastAsia" w:eastAsiaTheme="minorEastAsia"/>
                <w:color w:val="auto"/>
                <w:sz w:val="24"/>
                <w:highlight w:val="none"/>
              </w:rPr>
              <w:t>处理达标后经15m高排气筒排放</w:t>
            </w:r>
          </w:p>
        </w:tc>
        <w:tc>
          <w:tcPr>
            <w:tcW w:w="3048" w:type="dxa"/>
            <w:vMerge w:val="continue"/>
            <w:vAlign w:val="center"/>
          </w:tcPr>
          <w:p w14:paraId="3E3BF1F3">
            <w:pPr>
              <w:spacing w:line="380" w:lineRule="exact"/>
              <w:ind w:left="-63" w:leftChars="-30" w:right="-63" w:rightChars="-30"/>
              <w:jc w:val="center"/>
              <w:rPr>
                <w:rFonts w:hint="eastAsia" w:ascii="Times New Roman" w:hAnsi="Times New Roman" w:cs="Times New Roman" w:eastAsiaTheme="minorEastAsia"/>
                <w:color w:val="auto"/>
                <w:sz w:val="24"/>
                <w:highlight w:val="none"/>
                <w:lang w:eastAsia="zh-CN"/>
              </w:rPr>
            </w:pPr>
          </w:p>
        </w:tc>
      </w:tr>
      <w:tr w14:paraId="2874D6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42" w:type="dxa"/>
            <w:vMerge w:val="continue"/>
            <w:vAlign w:val="center"/>
          </w:tcPr>
          <w:p w14:paraId="468CD6C8">
            <w:pPr>
              <w:spacing w:line="380" w:lineRule="exact"/>
              <w:jc w:val="center"/>
              <w:rPr>
                <w:rFonts w:eastAsiaTheme="minorEastAsia"/>
                <w:color w:val="auto"/>
                <w:sz w:val="24"/>
                <w:highlight w:val="none"/>
              </w:rPr>
            </w:pPr>
          </w:p>
        </w:tc>
        <w:tc>
          <w:tcPr>
            <w:tcW w:w="1331" w:type="dxa"/>
            <w:vMerge w:val="continue"/>
            <w:vAlign w:val="center"/>
          </w:tcPr>
          <w:p w14:paraId="71913E53">
            <w:pPr>
              <w:spacing w:line="380" w:lineRule="exact"/>
              <w:jc w:val="center"/>
              <w:rPr>
                <w:rFonts w:hint="eastAsia" w:eastAsiaTheme="minorEastAsia"/>
                <w:color w:val="auto"/>
                <w:sz w:val="24"/>
                <w:highlight w:val="none"/>
                <w:lang w:eastAsia="zh-CN"/>
              </w:rPr>
            </w:pPr>
          </w:p>
        </w:tc>
        <w:tc>
          <w:tcPr>
            <w:tcW w:w="1222" w:type="dxa"/>
            <w:vAlign w:val="center"/>
          </w:tcPr>
          <w:p w14:paraId="0BF7C5CB">
            <w:pPr>
              <w:spacing w:line="380" w:lineRule="exact"/>
              <w:jc w:val="center"/>
              <w:rPr>
                <w:rFonts w:eastAsiaTheme="minorEastAsia"/>
                <w:color w:val="auto"/>
                <w:sz w:val="24"/>
                <w:highlight w:val="none"/>
              </w:rPr>
            </w:pPr>
            <w:r>
              <w:rPr>
                <w:rFonts w:hint="eastAsia" w:hAnsiTheme="minorEastAsia" w:eastAsiaTheme="minorEastAsia"/>
                <w:color w:val="auto"/>
                <w:sz w:val="24"/>
                <w:highlight w:val="none"/>
              </w:rPr>
              <w:t>非甲烷总烃</w:t>
            </w:r>
          </w:p>
        </w:tc>
        <w:tc>
          <w:tcPr>
            <w:tcW w:w="2217" w:type="dxa"/>
            <w:vAlign w:val="center"/>
          </w:tcPr>
          <w:p w14:paraId="5E7E8B78">
            <w:pPr>
              <w:spacing w:line="380" w:lineRule="exact"/>
              <w:jc w:val="center"/>
              <w:rPr>
                <w:rFonts w:eastAsiaTheme="minorEastAsia"/>
                <w:color w:val="auto"/>
                <w:sz w:val="24"/>
                <w:highlight w:val="none"/>
              </w:rPr>
            </w:pPr>
            <w:r>
              <w:rPr>
                <w:rFonts w:hint="eastAsia" w:ascii="Times New Roman" w:hAnsi="Times New Roman" w:cs="Times New Roman" w:eastAsiaTheme="minorEastAsia"/>
                <w:color w:val="auto"/>
                <w:sz w:val="24"/>
                <w:highlight w:val="none"/>
                <w:lang w:eastAsia="zh-CN"/>
              </w:rPr>
              <w:t>经1套活性炭吸附-脱附-催化燃烧处理达标后经15m高排气筒排放</w:t>
            </w:r>
          </w:p>
        </w:tc>
        <w:tc>
          <w:tcPr>
            <w:tcW w:w="3048" w:type="dxa"/>
            <w:vMerge w:val="continue"/>
            <w:vAlign w:val="center"/>
          </w:tcPr>
          <w:p w14:paraId="1AC37F86">
            <w:pPr>
              <w:spacing w:line="380" w:lineRule="exact"/>
              <w:ind w:left="-63" w:leftChars="-30" w:right="-63" w:rightChars="-30"/>
              <w:jc w:val="center"/>
              <w:rPr>
                <w:rFonts w:hint="eastAsia" w:ascii="Times New Roman" w:hAnsi="Times New Roman" w:cs="Times New Roman" w:eastAsiaTheme="minorEastAsia"/>
                <w:color w:val="auto"/>
                <w:sz w:val="24"/>
                <w:highlight w:val="none"/>
              </w:rPr>
            </w:pPr>
          </w:p>
        </w:tc>
      </w:tr>
      <w:tr w14:paraId="164986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42" w:type="dxa"/>
            <w:vMerge w:val="continue"/>
            <w:vAlign w:val="center"/>
          </w:tcPr>
          <w:p w14:paraId="6F9579F1">
            <w:pPr>
              <w:spacing w:line="380" w:lineRule="exact"/>
              <w:jc w:val="center"/>
              <w:rPr>
                <w:rFonts w:hAnsiTheme="minorEastAsia" w:eastAsiaTheme="minorEastAsia"/>
                <w:color w:val="auto"/>
                <w:sz w:val="24"/>
                <w:highlight w:val="none"/>
              </w:rPr>
            </w:pPr>
          </w:p>
        </w:tc>
        <w:tc>
          <w:tcPr>
            <w:tcW w:w="1331" w:type="dxa"/>
            <w:vMerge w:val="restart"/>
            <w:vAlign w:val="center"/>
          </w:tcPr>
          <w:p w14:paraId="4D815CDF">
            <w:pPr>
              <w:spacing w:line="380" w:lineRule="exact"/>
              <w:jc w:val="center"/>
              <w:rPr>
                <w:rFonts w:hAnsiTheme="minorEastAsia" w:eastAsiaTheme="minorEastAsia"/>
                <w:color w:val="auto"/>
                <w:sz w:val="24"/>
                <w:highlight w:val="none"/>
              </w:rPr>
            </w:pPr>
            <w:r>
              <w:rPr>
                <w:rFonts w:hint="eastAsia" w:hAnsiTheme="minorEastAsia" w:eastAsiaTheme="minorEastAsia"/>
                <w:color w:val="auto"/>
                <w:sz w:val="24"/>
                <w:highlight w:val="none"/>
              </w:rPr>
              <w:t>无组织废气</w:t>
            </w:r>
          </w:p>
        </w:tc>
        <w:tc>
          <w:tcPr>
            <w:tcW w:w="1222" w:type="dxa"/>
            <w:vAlign w:val="center"/>
          </w:tcPr>
          <w:p w14:paraId="0A57360D">
            <w:pPr>
              <w:spacing w:line="380" w:lineRule="exact"/>
              <w:jc w:val="center"/>
              <w:rPr>
                <w:rFonts w:hint="eastAsia" w:hAnsiTheme="minorEastAsia" w:eastAsiaTheme="minorEastAsia"/>
                <w:color w:val="auto"/>
                <w:sz w:val="24"/>
                <w:highlight w:val="none"/>
                <w:lang w:val="en-US" w:eastAsia="zh-CN"/>
              </w:rPr>
            </w:pPr>
            <w:r>
              <w:rPr>
                <w:rFonts w:hint="eastAsia" w:hAnsiTheme="minorEastAsia" w:eastAsiaTheme="minorEastAsia"/>
                <w:color w:val="auto"/>
                <w:sz w:val="24"/>
                <w:highlight w:val="none"/>
                <w:lang w:val="en-US" w:eastAsia="zh-CN"/>
              </w:rPr>
              <w:t>TSP</w:t>
            </w:r>
          </w:p>
        </w:tc>
        <w:tc>
          <w:tcPr>
            <w:tcW w:w="2217" w:type="dxa"/>
            <w:vAlign w:val="center"/>
          </w:tcPr>
          <w:p w14:paraId="03E902FC">
            <w:pPr>
              <w:spacing w:line="380" w:lineRule="exact"/>
              <w:jc w:val="center"/>
              <w:rPr>
                <w:rFonts w:hint="eastAsia" w:eastAsiaTheme="minorEastAsia"/>
                <w:color w:val="auto"/>
                <w:sz w:val="24"/>
                <w:highlight w:val="none"/>
                <w:lang w:val="en-US" w:eastAsia="zh-CN"/>
              </w:rPr>
            </w:pPr>
            <w:r>
              <w:rPr>
                <w:rFonts w:hint="eastAsia" w:eastAsiaTheme="minorEastAsia"/>
                <w:color w:val="auto"/>
                <w:sz w:val="24"/>
                <w:highlight w:val="none"/>
                <w:lang w:val="en-US" w:eastAsia="zh-CN"/>
              </w:rPr>
              <w:t>/</w:t>
            </w:r>
          </w:p>
        </w:tc>
        <w:tc>
          <w:tcPr>
            <w:tcW w:w="3048" w:type="dxa"/>
            <w:vAlign w:val="center"/>
          </w:tcPr>
          <w:p w14:paraId="50758506">
            <w:pPr>
              <w:spacing w:line="380" w:lineRule="exact"/>
              <w:ind w:left="-63" w:leftChars="-30" w:right="-63" w:rightChars="-30"/>
              <w:jc w:val="center"/>
              <w:rPr>
                <w:rFonts w:hint="eastAsia" w:ascii="Times New Roman" w:hAnsi="Times New Roman" w:cs="Times New Roman" w:eastAsiaTheme="minorEastAsia"/>
                <w:color w:val="auto"/>
                <w:sz w:val="24"/>
                <w:highlight w:val="none"/>
                <w:lang w:eastAsia="zh-CN"/>
              </w:rPr>
            </w:pPr>
            <w:r>
              <w:rPr>
                <w:rFonts w:hint="eastAsia" w:ascii="Times New Roman" w:hAnsi="Times New Roman" w:cs="Times New Roman" w:eastAsiaTheme="minorEastAsia"/>
                <w:color w:val="auto"/>
                <w:sz w:val="24"/>
                <w:highlight w:val="none"/>
                <w:lang w:eastAsia="zh-CN"/>
              </w:rPr>
              <w:t>《合成树脂工业污染物排放标准》（GB31572-2015，含2024年修改单）</w:t>
            </w:r>
            <w:r>
              <w:rPr>
                <w:rFonts w:hint="eastAsia" w:ascii="Times New Roman" w:hAnsi="Times New Roman" w:cs="Times New Roman" w:eastAsiaTheme="minorEastAsia"/>
                <w:color w:val="auto"/>
                <w:sz w:val="24"/>
                <w:highlight w:val="none"/>
                <w:lang w:val="en-US" w:eastAsia="zh-CN"/>
              </w:rPr>
              <w:t>表9企业边界限值要求</w:t>
            </w:r>
          </w:p>
        </w:tc>
      </w:tr>
      <w:tr w14:paraId="1590BA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42" w:type="dxa"/>
            <w:vMerge w:val="continue"/>
            <w:vAlign w:val="center"/>
          </w:tcPr>
          <w:p w14:paraId="56E0D4B0">
            <w:pPr>
              <w:spacing w:line="380" w:lineRule="exact"/>
              <w:jc w:val="center"/>
              <w:rPr>
                <w:rFonts w:hAnsiTheme="minorEastAsia" w:eastAsiaTheme="minorEastAsia"/>
                <w:color w:val="auto"/>
                <w:sz w:val="24"/>
                <w:highlight w:val="none"/>
              </w:rPr>
            </w:pPr>
          </w:p>
        </w:tc>
        <w:tc>
          <w:tcPr>
            <w:tcW w:w="1331" w:type="dxa"/>
            <w:vMerge w:val="continue"/>
            <w:vAlign w:val="center"/>
          </w:tcPr>
          <w:p w14:paraId="2C7E6550">
            <w:pPr>
              <w:spacing w:line="380" w:lineRule="exact"/>
              <w:jc w:val="center"/>
              <w:rPr>
                <w:rFonts w:hAnsiTheme="minorEastAsia" w:eastAsiaTheme="minorEastAsia"/>
                <w:color w:val="auto"/>
                <w:sz w:val="24"/>
                <w:highlight w:val="none"/>
              </w:rPr>
            </w:pPr>
          </w:p>
        </w:tc>
        <w:tc>
          <w:tcPr>
            <w:tcW w:w="1222" w:type="dxa"/>
            <w:vAlign w:val="center"/>
          </w:tcPr>
          <w:p w14:paraId="0149CE2E">
            <w:pPr>
              <w:spacing w:line="380" w:lineRule="exact"/>
              <w:ind w:left="-63" w:leftChars="-30" w:right="-63" w:rightChars="-30"/>
              <w:jc w:val="center"/>
              <w:rPr>
                <w:rFonts w:hAnsiTheme="minorEastAsia" w:eastAsiaTheme="minorEastAsia"/>
                <w:color w:val="auto"/>
                <w:sz w:val="24"/>
                <w:highlight w:val="none"/>
              </w:rPr>
            </w:pPr>
            <w:r>
              <w:rPr>
                <w:rFonts w:hint="eastAsia" w:hAnsiTheme="minorEastAsia" w:eastAsiaTheme="minorEastAsia"/>
                <w:color w:val="auto"/>
                <w:sz w:val="24"/>
                <w:highlight w:val="none"/>
              </w:rPr>
              <w:t>非甲烷总烃</w:t>
            </w:r>
          </w:p>
        </w:tc>
        <w:tc>
          <w:tcPr>
            <w:tcW w:w="2217" w:type="dxa"/>
            <w:vAlign w:val="center"/>
          </w:tcPr>
          <w:p w14:paraId="79C511E9">
            <w:pPr>
              <w:spacing w:line="380" w:lineRule="exact"/>
              <w:jc w:val="center"/>
              <w:rPr>
                <w:rFonts w:hAnsiTheme="minorEastAsia" w:eastAsiaTheme="minorEastAsia"/>
                <w:color w:val="auto"/>
                <w:sz w:val="24"/>
                <w:highlight w:val="none"/>
              </w:rPr>
            </w:pPr>
            <w:r>
              <w:rPr>
                <w:rFonts w:hint="eastAsia" w:hAnsiTheme="minorEastAsia" w:eastAsiaTheme="minorEastAsia"/>
                <w:color w:val="auto"/>
                <w:sz w:val="24"/>
                <w:highlight w:val="none"/>
              </w:rPr>
              <w:t>/</w:t>
            </w:r>
          </w:p>
        </w:tc>
        <w:tc>
          <w:tcPr>
            <w:tcW w:w="3048" w:type="dxa"/>
            <w:vAlign w:val="center"/>
          </w:tcPr>
          <w:p w14:paraId="4B23692B">
            <w:pPr>
              <w:spacing w:line="380" w:lineRule="exact"/>
              <w:ind w:left="-63" w:leftChars="-30" w:right="-63" w:rightChars="-30"/>
              <w:jc w:val="center"/>
              <w:rPr>
                <w:rFonts w:hint="eastAsia" w:ascii="Times New Roman" w:hAnsi="Times New Roman" w:cs="Times New Roman" w:eastAsiaTheme="minorEastAsia"/>
                <w:color w:val="auto"/>
                <w:sz w:val="24"/>
                <w:highlight w:val="none"/>
              </w:rPr>
            </w:pPr>
            <w:r>
              <w:rPr>
                <w:rFonts w:hint="eastAsia" w:ascii="Times New Roman" w:hAnsi="Times New Roman" w:cs="Times New Roman" w:eastAsiaTheme="minorEastAsia"/>
                <w:color w:val="auto"/>
                <w:sz w:val="24"/>
                <w:highlight w:val="none"/>
                <w:lang w:eastAsia="zh-CN"/>
              </w:rPr>
              <w:t>《合成树脂工业污染物排放标准》（GB31572-2015，含2024年修改单）</w:t>
            </w:r>
            <w:r>
              <w:rPr>
                <w:rFonts w:hint="eastAsia" w:ascii="Times New Roman" w:hAnsi="Times New Roman" w:cs="Times New Roman" w:eastAsiaTheme="minorEastAsia"/>
                <w:color w:val="auto"/>
                <w:sz w:val="24"/>
                <w:highlight w:val="none"/>
              </w:rPr>
              <w:t>表9企业边界大气污染物浓度限值及《挥发性有机物无组织排放控制标</w:t>
            </w:r>
            <w:r>
              <w:rPr>
                <w:rFonts w:hint="eastAsia" w:cs="Times New Roman" w:eastAsiaTheme="minorEastAsia"/>
                <w:color w:val="auto"/>
                <w:sz w:val="24"/>
                <w:highlight w:val="none"/>
                <w:lang w:eastAsia="zh-CN"/>
              </w:rPr>
              <w:t>（</w:t>
            </w:r>
            <w:r>
              <w:rPr>
                <w:rFonts w:hint="eastAsia" w:ascii="Times New Roman" w:hAnsi="Times New Roman" w:cs="Times New Roman" w:eastAsiaTheme="minorEastAsia"/>
                <w:color w:val="auto"/>
                <w:sz w:val="24"/>
                <w:highlight w:val="none"/>
              </w:rPr>
              <w:t>》(GB37822-2019)中厂区内非甲烷总烃无组织排放限值</w:t>
            </w:r>
          </w:p>
        </w:tc>
      </w:tr>
      <w:tr w14:paraId="4DADF0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42" w:type="dxa"/>
            <w:vMerge w:val="restart"/>
            <w:vAlign w:val="center"/>
          </w:tcPr>
          <w:p w14:paraId="792EF3DA">
            <w:pPr>
              <w:spacing w:line="380" w:lineRule="exact"/>
              <w:jc w:val="center"/>
              <w:rPr>
                <w:rFonts w:hAnsiTheme="minorEastAsia" w:eastAsiaTheme="minorEastAsia"/>
                <w:color w:val="auto"/>
                <w:sz w:val="24"/>
                <w:highlight w:val="none"/>
              </w:rPr>
            </w:pPr>
            <w:r>
              <w:rPr>
                <w:rFonts w:hAnsiTheme="minorEastAsia" w:eastAsiaTheme="minorEastAsia"/>
                <w:color w:val="auto"/>
                <w:sz w:val="24"/>
                <w:highlight w:val="none"/>
              </w:rPr>
              <w:t>地表水</w:t>
            </w:r>
          </w:p>
          <w:p w14:paraId="3B49CBB8">
            <w:pPr>
              <w:spacing w:line="380" w:lineRule="exact"/>
              <w:jc w:val="center"/>
              <w:rPr>
                <w:rFonts w:eastAsiaTheme="minorEastAsia"/>
                <w:color w:val="auto"/>
                <w:sz w:val="24"/>
                <w:highlight w:val="none"/>
              </w:rPr>
            </w:pPr>
            <w:r>
              <w:rPr>
                <w:rFonts w:hAnsiTheme="minorEastAsia" w:eastAsiaTheme="minorEastAsia"/>
                <w:color w:val="auto"/>
                <w:sz w:val="24"/>
                <w:highlight w:val="none"/>
              </w:rPr>
              <w:t>环境</w:t>
            </w:r>
          </w:p>
        </w:tc>
        <w:tc>
          <w:tcPr>
            <w:tcW w:w="1331" w:type="dxa"/>
            <w:vAlign w:val="center"/>
          </w:tcPr>
          <w:p w14:paraId="3B745D38">
            <w:pPr>
              <w:spacing w:line="380" w:lineRule="exact"/>
              <w:jc w:val="center"/>
              <w:rPr>
                <w:rFonts w:eastAsiaTheme="minorEastAsia"/>
                <w:color w:val="auto"/>
                <w:sz w:val="24"/>
                <w:highlight w:val="none"/>
              </w:rPr>
            </w:pPr>
            <w:r>
              <w:rPr>
                <w:rFonts w:hint="eastAsia" w:eastAsiaTheme="minorEastAsia"/>
                <w:color w:val="auto"/>
                <w:sz w:val="24"/>
                <w:highlight w:val="none"/>
              </w:rPr>
              <w:t>生活污水</w:t>
            </w:r>
          </w:p>
        </w:tc>
        <w:tc>
          <w:tcPr>
            <w:tcW w:w="1222" w:type="dxa"/>
            <w:vAlign w:val="center"/>
          </w:tcPr>
          <w:p w14:paraId="377EA51D">
            <w:pPr>
              <w:spacing w:line="380" w:lineRule="exact"/>
              <w:jc w:val="center"/>
              <w:rPr>
                <w:rFonts w:eastAsiaTheme="minorEastAsia"/>
                <w:color w:val="auto"/>
                <w:sz w:val="24"/>
                <w:highlight w:val="none"/>
              </w:rPr>
            </w:pPr>
            <w:r>
              <w:rPr>
                <w:rFonts w:hint="eastAsia" w:eastAsiaTheme="minorEastAsia"/>
                <w:color w:val="auto"/>
                <w:sz w:val="24"/>
                <w:highlight w:val="none"/>
              </w:rPr>
              <w:t>COD、BOD、SS、NH</w:t>
            </w:r>
            <w:r>
              <w:rPr>
                <w:rFonts w:hint="eastAsia" w:eastAsiaTheme="minorEastAsia"/>
                <w:color w:val="auto"/>
                <w:sz w:val="24"/>
                <w:highlight w:val="none"/>
                <w:vertAlign w:val="subscript"/>
              </w:rPr>
              <w:t>3</w:t>
            </w:r>
            <w:r>
              <w:rPr>
                <w:rFonts w:hint="eastAsia" w:eastAsiaTheme="minorEastAsia"/>
                <w:color w:val="auto"/>
                <w:sz w:val="24"/>
                <w:highlight w:val="none"/>
              </w:rPr>
              <w:t>-N</w:t>
            </w:r>
          </w:p>
        </w:tc>
        <w:tc>
          <w:tcPr>
            <w:tcW w:w="2217" w:type="dxa"/>
            <w:vAlign w:val="center"/>
          </w:tcPr>
          <w:p w14:paraId="3734AA01">
            <w:pPr>
              <w:spacing w:line="380" w:lineRule="exact"/>
              <w:ind w:left="-63" w:leftChars="-30" w:right="-63" w:rightChars="-30"/>
              <w:jc w:val="center"/>
              <w:rPr>
                <w:rFonts w:eastAsiaTheme="minorEastAsia"/>
                <w:color w:val="auto"/>
                <w:sz w:val="24"/>
                <w:highlight w:val="none"/>
              </w:rPr>
            </w:pPr>
            <w:r>
              <w:rPr>
                <w:rFonts w:hint="eastAsia" w:eastAsiaTheme="minorEastAsia"/>
                <w:color w:val="auto"/>
                <w:sz w:val="24"/>
                <w:highlight w:val="none"/>
              </w:rPr>
              <w:t>生活污水经</w:t>
            </w:r>
            <w:r>
              <w:rPr>
                <w:rFonts w:hint="eastAsia" w:eastAsiaTheme="minorEastAsia"/>
                <w:color w:val="auto"/>
                <w:sz w:val="24"/>
                <w:highlight w:val="none"/>
                <w:lang w:val="en-US" w:eastAsia="zh-CN"/>
              </w:rPr>
              <w:t>隔油池</w:t>
            </w:r>
            <w:r>
              <w:rPr>
                <w:rFonts w:hint="eastAsia" w:eastAsiaTheme="minorEastAsia"/>
                <w:color w:val="auto"/>
                <w:sz w:val="24"/>
                <w:highlight w:val="none"/>
              </w:rPr>
              <w:t>处理后排入污水管网，最终进入</w:t>
            </w:r>
            <w:r>
              <w:rPr>
                <w:rFonts w:hint="eastAsia" w:eastAsiaTheme="minorEastAsia"/>
                <w:color w:val="auto"/>
                <w:sz w:val="24"/>
                <w:highlight w:val="none"/>
                <w:lang w:val="en-US" w:eastAsia="zh-CN"/>
              </w:rPr>
              <w:t>和静</w:t>
            </w:r>
            <w:r>
              <w:rPr>
                <w:rFonts w:hint="eastAsia" w:eastAsiaTheme="minorEastAsia"/>
                <w:color w:val="auto"/>
                <w:sz w:val="24"/>
                <w:highlight w:val="none"/>
              </w:rPr>
              <w:t>县城</w:t>
            </w:r>
            <w:r>
              <w:rPr>
                <w:rFonts w:hint="eastAsia" w:eastAsiaTheme="minorEastAsia"/>
                <w:color w:val="auto"/>
                <w:sz w:val="24"/>
                <w:highlight w:val="none"/>
                <w:lang w:val="en-US" w:eastAsia="zh-CN"/>
              </w:rPr>
              <w:t>镇</w:t>
            </w:r>
            <w:r>
              <w:rPr>
                <w:rFonts w:hint="eastAsia" w:eastAsiaTheme="minorEastAsia"/>
                <w:color w:val="auto"/>
                <w:sz w:val="24"/>
                <w:highlight w:val="none"/>
              </w:rPr>
              <w:t>污水处理厂</w:t>
            </w:r>
          </w:p>
        </w:tc>
        <w:tc>
          <w:tcPr>
            <w:tcW w:w="3048" w:type="dxa"/>
            <w:vAlign w:val="center"/>
          </w:tcPr>
          <w:p w14:paraId="7357F747">
            <w:pPr>
              <w:spacing w:line="380" w:lineRule="exact"/>
              <w:jc w:val="center"/>
              <w:rPr>
                <w:rFonts w:eastAsiaTheme="minorEastAsia"/>
                <w:color w:val="auto"/>
                <w:sz w:val="24"/>
                <w:highlight w:val="none"/>
              </w:rPr>
            </w:pPr>
            <w:r>
              <w:rPr>
                <w:rFonts w:hint="eastAsia" w:hAnsiTheme="minorEastAsia"/>
                <w:color w:val="auto"/>
                <w:sz w:val="24"/>
                <w:highlight w:val="none"/>
              </w:rPr>
              <w:t>《污水综合排放标</w:t>
            </w:r>
            <w:r>
              <w:rPr>
                <w:rFonts w:hint="eastAsia" w:hAnsiTheme="minorEastAsia"/>
                <w:color w:val="auto"/>
                <w:sz w:val="24"/>
                <w:highlight w:val="none"/>
                <w:lang w:eastAsia="zh-CN"/>
              </w:rPr>
              <w:t>（</w:t>
            </w:r>
            <w:r>
              <w:rPr>
                <w:rFonts w:hint="eastAsia" w:hAnsiTheme="minorEastAsia"/>
                <w:color w:val="auto"/>
                <w:sz w:val="24"/>
                <w:highlight w:val="none"/>
              </w:rPr>
              <w:t>》(GB8978-1996)表4中的三级标准</w:t>
            </w:r>
          </w:p>
        </w:tc>
      </w:tr>
      <w:tr w14:paraId="5AEE7C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42" w:type="dxa"/>
            <w:vMerge w:val="continue"/>
            <w:vAlign w:val="center"/>
          </w:tcPr>
          <w:p w14:paraId="53185296">
            <w:pPr>
              <w:spacing w:line="380" w:lineRule="exact"/>
              <w:jc w:val="center"/>
              <w:rPr>
                <w:rFonts w:hAnsiTheme="minorEastAsia" w:eastAsiaTheme="minorEastAsia"/>
                <w:color w:val="auto"/>
                <w:sz w:val="24"/>
                <w:highlight w:val="none"/>
              </w:rPr>
            </w:pPr>
          </w:p>
        </w:tc>
        <w:tc>
          <w:tcPr>
            <w:tcW w:w="1331" w:type="dxa"/>
            <w:vAlign w:val="center"/>
          </w:tcPr>
          <w:p w14:paraId="04FFD0CF">
            <w:pPr>
              <w:spacing w:line="380" w:lineRule="exact"/>
              <w:ind w:left="-71" w:leftChars="-34" w:right="-71" w:rightChars="-34"/>
              <w:jc w:val="center"/>
              <w:rPr>
                <w:rFonts w:eastAsiaTheme="minorEastAsia"/>
                <w:color w:val="auto"/>
                <w:sz w:val="24"/>
                <w:highlight w:val="none"/>
              </w:rPr>
            </w:pPr>
            <w:r>
              <w:rPr>
                <w:rFonts w:hint="eastAsia" w:eastAsiaTheme="minorEastAsia"/>
                <w:color w:val="auto"/>
                <w:sz w:val="24"/>
                <w:highlight w:val="none"/>
              </w:rPr>
              <w:t>冷却水</w:t>
            </w:r>
          </w:p>
        </w:tc>
        <w:tc>
          <w:tcPr>
            <w:tcW w:w="1222" w:type="dxa"/>
            <w:vAlign w:val="center"/>
          </w:tcPr>
          <w:p w14:paraId="3C2F3BB1">
            <w:pPr>
              <w:spacing w:line="380" w:lineRule="exact"/>
              <w:jc w:val="center"/>
              <w:rPr>
                <w:rFonts w:eastAsiaTheme="minorEastAsia"/>
                <w:color w:val="auto"/>
                <w:sz w:val="24"/>
                <w:highlight w:val="none"/>
              </w:rPr>
            </w:pPr>
            <w:r>
              <w:rPr>
                <w:rFonts w:hint="eastAsia" w:eastAsiaTheme="minorEastAsia"/>
                <w:color w:val="auto"/>
                <w:sz w:val="24"/>
                <w:highlight w:val="none"/>
              </w:rPr>
              <w:t>/</w:t>
            </w:r>
          </w:p>
        </w:tc>
        <w:tc>
          <w:tcPr>
            <w:tcW w:w="2217" w:type="dxa"/>
            <w:vAlign w:val="center"/>
          </w:tcPr>
          <w:p w14:paraId="1A049F27">
            <w:pPr>
              <w:spacing w:line="380" w:lineRule="exact"/>
              <w:jc w:val="center"/>
              <w:rPr>
                <w:rFonts w:eastAsiaTheme="minorEastAsia"/>
                <w:color w:val="auto"/>
                <w:sz w:val="24"/>
                <w:highlight w:val="none"/>
              </w:rPr>
            </w:pPr>
            <w:r>
              <w:rPr>
                <w:rFonts w:hint="eastAsia" w:eastAsiaTheme="minorEastAsia"/>
                <w:color w:val="auto"/>
                <w:sz w:val="24"/>
                <w:highlight w:val="none"/>
              </w:rPr>
              <w:t>回用不外排</w:t>
            </w:r>
          </w:p>
        </w:tc>
        <w:tc>
          <w:tcPr>
            <w:tcW w:w="3048" w:type="dxa"/>
            <w:vAlign w:val="center"/>
          </w:tcPr>
          <w:p w14:paraId="29EFEFF0">
            <w:pPr>
              <w:spacing w:line="380" w:lineRule="exact"/>
              <w:jc w:val="center"/>
              <w:rPr>
                <w:color w:val="auto"/>
                <w:sz w:val="24"/>
                <w:highlight w:val="none"/>
              </w:rPr>
            </w:pPr>
            <w:r>
              <w:rPr>
                <w:rFonts w:hint="eastAsia"/>
                <w:color w:val="auto"/>
                <w:sz w:val="24"/>
                <w:highlight w:val="none"/>
              </w:rPr>
              <w:t>综合利用</w:t>
            </w:r>
          </w:p>
        </w:tc>
      </w:tr>
      <w:tr w14:paraId="466536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42" w:type="dxa"/>
            <w:vAlign w:val="center"/>
          </w:tcPr>
          <w:p w14:paraId="20545454">
            <w:pPr>
              <w:spacing w:line="380" w:lineRule="exact"/>
              <w:jc w:val="center"/>
              <w:rPr>
                <w:rFonts w:eastAsiaTheme="minorEastAsia"/>
                <w:color w:val="auto"/>
                <w:sz w:val="24"/>
                <w:highlight w:val="none"/>
              </w:rPr>
            </w:pPr>
            <w:r>
              <w:rPr>
                <w:rFonts w:hAnsiTheme="minorEastAsia" w:eastAsiaTheme="minorEastAsia"/>
                <w:color w:val="auto"/>
                <w:sz w:val="24"/>
                <w:highlight w:val="none"/>
              </w:rPr>
              <w:t>声环境</w:t>
            </w:r>
          </w:p>
        </w:tc>
        <w:tc>
          <w:tcPr>
            <w:tcW w:w="1331" w:type="dxa"/>
            <w:vAlign w:val="center"/>
          </w:tcPr>
          <w:p w14:paraId="64521DA1">
            <w:pPr>
              <w:spacing w:line="380" w:lineRule="exact"/>
              <w:jc w:val="center"/>
              <w:rPr>
                <w:rFonts w:eastAsiaTheme="minorEastAsia"/>
                <w:color w:val="auto"/>
                <w:sz w:val="24"/>
                <w:highlight w:val="none"/>
              </w:rPr>
            </w:pPr>
            <w:r>
              <w:rPr>
                <w:rFonts w:hint="eastAsia" w:hAnsiTheme="minorEastAsia" w:eastAsiaTheme="minorEastAsia"/>
                <w:color w:val="auto"/>
                <w:sz w:val="24"/>
                <w:highlight w:val="none"/>
              </w:rPr>
              <w:t>机械</w:t>
            </w:r>
            <w:r>
              <w:rPr>
                <w:rFonts w:hAnsiTheme="minorEastAsia" w:eastAsiaTheme="minorEastAsia"/>
                <w:color w:val="auto"/>
                <w:sz w:val="24"/>
                <w:highlight w:val="none"/>
              </w:rPr>
              <w:t>噪声</w:t>
            </w:r>
          </w:p>
        </w:tc>
        <w:tc>
          <w:tcPr>
            <w:tcW w:w="1222" w:type="dxa"/>
            <w:vAlign w:val="center"/>
          </w:tcPr>
          <w:p w14:paraId="688F6D7A">
            <w:pPr>
              <w:spacing w:line="380" w:lineRule="exact"/>
              <w:jc w:val="center"/>
              <w:rPr>
                <w:rFonts w:eastAsiaTheme="minorEastAsia"/>
                <w:color w:val="auto"/>
                <w:sz w:val="24"/>
                <w:highlight w:val="none"/>
              </w:rPr>
            </w:pPr>
            <w:r>
              <w:rPr>
                <w:rFonts w:hAnsiTheme="minorEastAsia" w:eastAsiaTheme="minorEastAsia"/>
                <w:color w:val="auto"/>
                <w:sz w:val="24"/>
                <w:highlight w:val="none"/>
              </w:rPr>
              <w:t>设备噪声</w:t>
            </w:r>
          </w:p>
        </w:tc>
        <w:tc>
          <w:tcPr>
            <w:tcW w:w="2217" w:type="dxa"/>
            <w:vAlign w:val="center"/>
          </w:tcPr>
          <w:p w14:paraId="223CD1EC">
            <w:pPr>
              <w:spacing w:line="380" w:lineRule="exact"/>
              <w:jc w:val="center"/>
              <w:rPr>
                <w:rFonts w:eastAsiaTheme="minorEastAsia"/>
                <w:color w:val="auto"/>
                <w:sz w:val="24"/>
                <w:highlight w:val="none"/>
              </w:rPr>
            </w:pPr>
            <w:r>
              <w:rPr>
                <w:rFonts w:hint="eastAsia" w:hAnsiTheme="minorEastAsia" w:eastAsiaTheme="minorEastAsia"/>
                <w:color w:val="auto"/>
                <w:sz w:val="24"/>
                <w:highlight w:val="none"/>
              </w:rPr>
              <w:t>合理布局、</w:t>
            </w:r>
            <w:r>
              <w:rPr>
                <w:rFonts w:hAnsiTheme="minorEastAsia" w:eastAsiaTheme="minorEastAsia"/>
                <w:color w:val="auto"/>
                <w:sz w:val="24"/>
                <w:highlight w:val="none"/>
              </w:rPr>
              <w:t>隔声降噪</w:t>
            </w:r>
          </w:p>
        </w:tc>
        <w:tc>
          <w:tcPr>
            <w:tcW w:w="3048" w:type="dxa"/>
            <w:vAlign w:val="center"/>
          </w:tcPr>
          <w:p w14:paraId="64E0C569">
            <w:pPr>
              <w:spacing w:line="380" w:lineRule="exact"/>
              <w:rPr>
                <w:rFonts w:eastAsiaTheme="minorEastAsia"/>
                <w:color w:val="auto"/>
                <w:sz w:val="24"/>
                <w:highlight w:val="none"/>
              </w:rPr>
            </w:pPr>
            <w:r>
              <w:rPr>
                <w:rFonts w:hAnsiTheme="minorEastAsia" w:eastAsiaTheme="minorEastAsia"/>
                <w:color w:val="auto"/>
                <w:sz w:val="24"/>
                <w:highlight w:val="none"/>
              </w:rPr>
              <w:t>《工业企业厂界环境噪声排放标准》（</w:t>
            </w:r>
            <w:r>
              <w:rPr>
                <w:rFonts w:eastAsiaTheme="minorEastAsia"/>
                <w:color w:val="auto"/>
                <w:sz w:val="24"/>
                <w:highlight w:val="none"/>
              </w:rPr>
              <w:t>GB12348-2008</w:t>
            </w:r>
            <w:r>
              <w:rPr>
                <w:rFonts w:hAnsiTheme="minorEastAsia" w:eastAsiaTheme="minorEastAsia"/>
                <w:color w:val="auto"/>
                <w:sz w:val="24"/>
                <w:highlight w:val="none"/>
              </w:rPr>
              <w:t>）中</w:t>
            </w:r>
            <w:r>
              <w:rPr>
                <w:rFonts w:hint="eastAsia" w:eastAsiaTheme="minorEastAsia"/>
                <w:color w:val="auto"/>
                <w:sz w:val="24"/>
                <w:highlight w:val="none"/>
              </w:rPr>
              <w:t>3</w:t>
            </w:r>
            <w:r>
              <w:rPr>
                <w:rFonts w:hAnsiTheme="minorEastAsia" w:eastAsiaTheme="minorEastAsia"/>
                <w:color w:val="auto"/>
                <w:sz w:val="24"/>
                <w:highlight w:val="none"/>
              </w:rPr>
              <w:t>类标准</w:t>
            </w:r>
          </w:p>
        </w:tc>
      </w:tr>
      <w:tr w14:paraId="700791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42" w:type="dxa"/>
            <w:vAlign w:val="center"/>
          </w:tcPr>
          <w:p w14:paraId="6090136F">
            <w:pPr>
              <w:spacing w:line="380" w:lineRule="exact"/>
              <w:ind w:left="-63" w:leftChars="-30" w:right="-63" w:rightChars="-30"/>
              <w:jc w:val="center"/>
              <w:rPr>
                <w:rFonts w:eastAsiaTheme="minorEastAsia"/>
                <w:color w:val="auto"/>
                <w:sz w:val="24"/>
                <w:highlight w:val="none"/>
              </w:rPr>
            </w:pPr>
            <w:r>
              <w:rPr>
                <w:rFonts w:hAnsiTheme="minorEastAsia" w:eastAsiaTheme="minorEastAsia"/>
                <w:color w:val="auto"/>
                <w:sz w:val="24"/>
                <w:highlight w:val="none"/>
              </w:rPr>
              <w:t>电磁辐射</w:t>
            </w:r>
          </w:p>
        </w:tc>
        <w:tc>
          <w:tcPr>
            <w:tcW w:w="1331" w:type="dxa"/>
            <w:vAlign w:val="center"/>
          </w:tcPr>
          <w:p w14:paraId="5F03FDF1">
            <w:pPr>
              <w:spacing w:line="380" w:lineRule="exact"/>
              <w:ind w:left="-63" w:leftChars="-30" w:right="-63" w:rightChars="-30"/>
              <w:jc w:val="center"/>
              <w:rPr>
                <w:rFonts w:eastAsiaTheme="minorEastAsia"/>
                <w:color w:val="auto"/>
                <w:sz w:val="24"/>
                <w:highlight w:val="none"/>
              </w:rPr>
            </w:pPr>
            <w:r>
              <w:rPr>
                <w:rFonts w:eastAsiaTheme="minorEastAsia"/>
                <w:color w:val="auto"/>
                <w:sz w:val="24"/>
                <w:highlight w:val="none"/>
              </w:rPr>
              <w:t>/</w:t>
            </w:r>
          </w:p>
        </w:tc>
        <w:tc>
          <w:tcPr>
            <w:tcW w:w="1222" w:type="dxa"/>
            <w:vAlign w:val="center"/>
          </w:tcPr>
          <w:p w14:paraId="16075AA7">
            <w:pPr>
              <w:spacing w:line="380" w:lineRule="exact"/>
              <w:ind w:left="-63" w:leftChars="-30" w:right="-63" w:rightChars="-30"/>
              <w:jc w:val="center"/>
              <w:rPr>
                <w:rFonts w:eastAsiaTheme="minorEastAsia"/>
                <w:color w:val="auto"/>
                <w:sz w:val="24"/>
                <w:highlight w:val="none"/>
              </w:rPr>
            </w:pPr>
            <w:r>
              <w:rPr>
                <w:rFonts w:eastAsiaTheme="minorEastAsia"/>
                <w:color w:val="auto"/>
                <w:sz w:val="24"/>
                <w:highlight w:val="none"/>
              </w:rPr>
              <w:t>/</w:t>
            </w:r>
          </w:p>
        </w:tc>
        <w:tc>
          <w:tcPr>
            <w:tcW w:w="2217" w:type="dxa"/>
            <w:vAlign w:val="center"/>
          </w:tcPr>
          <w:p w14:paraId="1F2F2662">
            <w:pPr>
              <w:spacing w:line="380" w:lineRule="exact"/>
              <w:ind w:left="-63" w:leftChars="-30" w:right="-63" w:rightChars="-30"/>
              <w:jc w:val="center"/>
              <w:rPr>
                <w:rFonts w:eastAsiaTheme="minorEastAsia"/>
                <w:color w:val="auto"/>
                <w:sz w:val="24"/>
                <w:highlight w:val="none"/>
              </w:rPr>
            </w:pPr>
            <w:r>
              <w:rPr>
                <w:rFonts w:eastAsiaTheme="minorEastAsia"/>
                <w:color w:val="auto"/>
                <w:sz w:val="24"/>
                <w:highlight w:val="none"/>
              </w:rPr>
              <w:t>/</w:t>
            </w:r>
          </w:p>
        </w:tc>
        <w:tc>
          <w:tcPr>
            <w:tcW w:w="3048" w:type="dxa"/>
            <w:vAlign w:val="center"/>
          </w:tcPr>
          <w:p w14:paraId="126B6825">
            <w:pPr>
              <w:spacing w:line="380" w:lineRule="exact"/>
              <w:ind w:left="-63" w:leftChars="-30" w:right="-63" w:rightChars="-30"/>
              <w:jc w:val="center"/>
              <w:rPr>
                <w:rFonts w:eastAsiaTheme="minorEastAsia"/>
                <w:color w:val="auto"/>
                <w:sz w:val="24"/>
                <w:highlight w:val="none"/>
              </w:rPr>
            </w:pPr>
            <w:r>
              <w:rPr>
                <w:rFonts w:eastAsiaTheme="minorEastAsia"/>
                <w:color w:val="auto"/>
                <w:sz w:val="24"/>
                <w:highlight w:val="none"/>
              </w:rPr>
              <w:t>/</w:t>
            </w:r>
          </w:p>
        </w:tc>
      </w:tr>
      <w:tr w14:paraId="5070B9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42" w:type="dxa"/>
            <w:vAlign w:val="center"/>
          </w:tcPr>
          <w:p w14:paraId="461E33E9">
            <w:pPr>
              <w:spacing w:line="380" w:lineRule="exact"/>
              <w:jc w:val="center"/>
              <w:rPr>
                <w:rFonts w:eastAsiaTheme="minorEastAsia"/>
                <w:color w:val="auto"/>
                <w:sz w:val="24"/>
                <w:highlight w:val="none"/>
              </w:rPr>
            </w:pPr>
            <w:r>
              <w:rPr>
                <w:rFonts w:hAnsiTheme="minorEastAsia" w:eastAsiaTheme="minorEastAsia"/>
                <w:color w:val="auto"/>
                <w:sz w:val="24"/>
                <w:highlight w:val="none"/>
              </w:rPr>
              <w:t>固体废物</w:t>
            </w:r>
          </w:p>
        </w:tc>
        <w:tc>
          <w:tcPr>
            <w:tcW w:w="7818" w:type="dxa"/>
            <w:gridSpan w:val="4"/>
            <w:vAlign w:val="center"/>
          </w:tcPr>
          <w:p w14:paraId="40664535">
            <w:pPr>
              <w:spacing w:line="380" w:lineRule="exact"/>
              <w:jc w:val="left"/>
              <w:rPr>
                <w:color w:val="auto"/>
                <w:sz w:val="24"/>
                <w:highlight w:val="none"/>
              </w:rPr>
            </w:pPr>
            <w:r>
              <w:rPr>
                <w:rFonts w:hint="eastAsia" w:hAnsi="宋体"/>
                <w:bCs/>
                <w:color w:val="auto"/>
                <w:sz w:val="24"/>
                <w:highlight w:val="none"/>
              </w:rPr>
              <w:t>原料废包装外售；边角料及残次品收集后回用于生产；生活垃圾集中收集后交由环卫部门清运处置；废活性炭、</w:t>
            </w:r>
            <w:r>
              <w:rPr>
                <w:rFonts w:hint="eastAsia" w:hAnsi="宋体"/>
                <w:bCs/>
                <w:color w:val="auto"/>
                <w:sz w:val="24"/>
                <w:highlight w:val="none"/>
                <w:lang w:eastAsia="zh-CN"/>
              </w:rPr>
              <w:t>废催化剂</w:t>
            </w:r>
            <w:r>
              <w:rPr>
                <w:rFonts w:hint="eastAsia" w:hAnsi="宋体"/>
                <w:bCs/>
                <w:color w:val="auto"/>
                <w:sz w:val="24"/>
                <w:highlight w:val="none"/>
              </w:rPr>
              <w:t>、废机油分类分区暂存于</w:t>
            </w:r>
            <w:r>
              <w:rPr>
                <w:rFonts w:hint="eastAsia" w:hAnsi="宋体"/>
                <w:bCs/>
                <w:color w:val="auto"/>
                <w:sz w:val="24"/>
                <w:highlight w:val="none"/>
                <w:lang w:eastAsia="zh-CN"/>
              </w:rPr>
              <w:t>危废贮存库</w:t>
            </w:r>
            <w:r>
              <w:rPr>
                <w:rFonts w:hint="eastAsia" w:hAnsi="宋体"/>
                <w:bCs/>
                <w:color w:val="auto"/>
                <w:sz w:val="24"/>
                <w:highlight w:val="none"/>
              </w:rPr>
              <w:t>（10m</w:t>
            </w:r>
            <w:r>
              <w:rPr>
                <w:rFonts w:hint="eastAsia" w:hAnsi="宋体"/>
                <w:bCs/>
                <w:color w:val="auto"/>
                <w:sz w:val="24"/>
                <w:highlight w:val="none"/>
                <w:vertAlign w:val="superscript"/>
              </w:rPr>
              <w:t>2</w:t>
            </w:r>
            <w:r>
              <w:rPr>
                <w:rFonts w:hint="eastAsia" w:hAnsi="宋体"/>
                <w:bCs/>
                <w:color w:val="auto"/>
                <w:sz w:val="24"/>
                <w:highlight w:val="none"/>
              </w:rPr>
              <w:t>），定期交有资质单位处置。</w:t>
            </w:r>
          </w:p>
        </w:tc>
      </w:tr>
      <w:tr w14:paraId="3F46CF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42" w:type="dxa"/>
            <w:vAlign w:val="center"/>
          </w:tcPr>
          <w:p w14:paraId="732F8C19">
            <w:pPr>
              <w:spacing w:line="380" w:lineRule="exact"/>
              <w:jc w:val="center"/>
              <w:rPr>
                <w:rFonts w:eastAsiaTheme="minorEastAsia"/>
                <w:color w:val="auto"/>
                <w:sz w:val="24"/>
                <w:highlight w:val="none"/>
              </w:rPr>
            </w:pPr>
            <w:r>
              <w:rPr>
                <w:rFonts w:hAnsiTheme="minorEastAsia" w:eastAsiaTheme="minorEastAsia"/>
                <w:color w:val="auto"/>
                <w:sz w:val="24"/>
                <w:highlight w:val="none"/>
              </w:rPr>
              <w:t>土壤及地下水污染防治措施</w:t>
            </w:r>
          </w:p>
        </w:tc>
        <w:tc>
          <w:tcPr>
            <w:tcW w:w="7818" w:type="dxa"/>
            <w:gridSpan w:val="4"/>
            <w:vAlign w:val="center"/>
          </w:tcPr>
          <w:p w14:paraId="6AAF1672">
            <w:pPr>
              <w:spacing w:line="380" w:lineRule="exact"/>
              <w:jc w:val="center"/>
              <w:rPr>
                <w:rFonts w:eastAsiaTheme="minorEastAsia"/>
                <w:color w:val="auto"/>
                <w:sz w:val="24"/>
                <w:highlight w:val="none"/>
              </w:rPr>
            </w:pPr>
            <w:r>
              <w:rPr>
                <w:rFonts w:hint="eastAsia" w:hAnsiTheme="minorEastAsia" w:eastAsiaTheme="minorEastAsia"/>
                <w:color w:val="auto"/>
                <w:sz w:val="24"/>
                <w:highlight w:val="none"/>
              </w:rPr>
              <w:t>本项目各功能区均采取分区防渗，可以有效保证污染物不会进入地下水和土壤环境，防止污染地下水和土壤</w:t>
            </w:r>
            <w:r>
              <w:rPr>
                <w:rFonts w:hAnsiTheme="minorEastAsia" w:eastAsiaTheme="minorEastAsia"/>
                <w:color w:val="auto"/>
                <w:sz w:val="24"/>
                <w:highlight w:val="none"/>
              </w:rPr>
              <w:t>。</w:t>
            </w:r>
          </w:p>
        </w:tc>
      </w:tr>
      <w:tr w14:paraId="5E137D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42" w:type="dxa"/>
            <w:vAlign w:val="center"/>
          </w:tcPr>
          <w:p w14:paraId="7230E168">
            <w:pPr>
              <w:spacing w:line="380" w:lineRule="exact"/>
              <w:jc w:val="center"/>
              <w:rPr>
                <w:rFonts w:eastAsiaTheme="minorEastAsia"/>
                <w:color w:val="auto"/>
                <w:sz w:val="24"/>
                <w:highlight w:val="none"/>
              </w:rPr>
            </w:pPr>
            <w:r>
              <w:rPr>
                <w:rFonts w:hAnsiTheme="minorEastAsia" w:eastAsiaTheme="minorEastAsia"/>
                <w:color w:val="auto"/>
                <w:sz w:val="24"/>
                <w:highlight w:val="none"/>
              </w:rPr>
              <w:t>生态保护措施</w:t>
            </w:r>
          </w:p>
        </w:tc>
        <w:tc>
          <w:tcPr>
            <w:tcW w:w="7818" w:type="dxa"/>
            <w:gridSpan w:val="4"/>
            <w:vAlign w:val="center"/>
          </w:tcPr>
          <w:p w14:paraId="6A3FE323">
            <w:pPr>
              <w:spacing w:line="380" w:lineRule="exact"/>
              <w:jc w:val="center"/>
              <w:rPr>
                <w:rFonts w:eastAsiaTheme="minorEastAsia"/>
                <w:color w:val="auto"/>
                <w:sz w:val="24"/>
                <w:highlight w:val="none"/>
              </w:rPr>
            </w:pPr>
            <w:r>
              <w:rPr>
                <w:rFonts w:hint="eastAsia" w:hAnsiTheme="minorEastAsia" w:eastAsiaTheme="minorEastAsia"/>
                <w:color w:val="auto"/>
                <w:sz w:val="24"/>
                <w:highlight w:val="none"/>
                <w:lang w:val="zh-CN"/>
              </w:rPr>
              <w:t>场地硬化</w:t>
            </w:r>
          </w:p>
        </w:tc>
      </w:tr>
      <w:tr w14:paraId="53F527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42" w:type="dxa"/>
            <w:vAlign w:val="center"/>
          </w:tcPr>
          <w:p w14:paraId="3E2A61BA">
            <w:pPr>
              <w:spacing w:line="380" w:lineRule="exact"/>
              <w:jc w:val="center"/>
              <w:rPr>
                <w:rFonts w:eastAsiaTheme="minorEastAsia"/>
                <w:color w:val="auto"/>
                <w:spacing w:val="-8"/>
                <w:sz w:val="24"/>
                <w:highlight w:val="none"/>
              </w:rPr>
            </w:pPr>
            <w:r>
              <w:rPr>
                <w:rFonts w:hAnsiTheme="minorEastAsia" w:eastAsiaTheme="minorEastAsia"/>
                <w:color w:val="auto"/>
                <w:spacing w:val="-8"/>
                <w:sz w:val="24"/>
                <w:highlight w:val="none"/>
              </w:rPr>
              <w:t>环境风险防范措施</w:t>
            </w:r>
          </w:p>
        </w:tc>
        <w:tc>
          <w:tcPr>
            <w:tcW w:w="7818" w:type="dxa"/>
            <w:gridSpan w:val="4"/>
            <w:vAlign w:val="center"/>
          </w:tcPr>
          <w:p w14:paraId="12407805">
            <w:pPr>
              <w:spacing w:line="380" w:lineRule="exact"/>
              <w:jc w:val="center"/>
              <w:rPr>
                <w:color w:val="auto"/>
                <w:sz w:val="24"/>
                <w:highlight w:val="none"/>
              </w:rPr>
            </w:pPr>
            <w:r>
              <w:rPr>
                <w:rFonts w:hint="eastAsia" w:eastAsiaTheme="minorEastAsia"/>
                <w:color w:val="auto"/>
                <w:sz w:val="24"/>
                <w:highlight w:val="none"/>
              </w:rPr>
              <w:t>加强管理，</w:t>
            </w:r>
            <w:r>
              <w:rPr>
                <w:color w:val="auto"/>
                <w:kern w:val="0"/>
                <w:sz w:val="24"/>
                <w:highlight w:val="none"/>
              </w:rPr>
              <w:t>配备消防设备，禁止明火</w:t>
            </w:r>
            <w:r>
              <w:rPr>
                <w:rFonts w:hint="eastAsia"/>
                <w:color w:val="auto"/>
                <w:kern w:val="0"/>
                <w:sz w:val="24"/>
                <w:highlight w:val="none"/>
              </w:rPr>
              <w:t>，</w:t>
            </w:r>
            <w:r>
              <w:rPr>
                <w:color w:val="auto"/>
                <w:kern w:val="0"/>
                <w:sz w:val="24"/>
                <w:highlight w:val="none"/>
              </w:rPr>
              <w:t>物料还应分区堆放</w:t>
            </w:r>
          </w:p>
        </w:tc>
      </w:tr>
      <w:tr w14:paraId="28F5DC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242" w:type="dxa"/>
            <w:vAlign w:val="center"/>
          </w:tcPr>
          <w:p w14:paraId="5FCCA92C">
            <w:pPr>
              <w:adjustRightInd w:val="0"/>
              <w:snapToGrid w:val="0"/>
              <w:spacing w:line="300" w:lineRule="exact"/>
              <w:jc w:val="center"/>
              <w:rPr>
                <w:rFonts w:eastAsiaTheme="minorEastAsia"/>
                <w:color w:val="auto"/>
                <w:spacing w:val="-8"/>
                <w:sz w:val="24"/>
                <w:highlight w:val="none"/>
              </w:rPr>
            </w:pPr>
            <w:r>
              <w:rPr>
                <w:rFonts w:hAnsiTheme="minorEastAsia" w:eastAsiaTheme="minorEastAsia"/>
                <w:color w:val="auto"/>
                <w:spacing w:val="-8"/>
                <w:sz w:val="24"/>
                <w:highlight w:val="none"/>
              </w:rPr>
              <w:t>其他环境</w:t>
            </w:r>
          </w:p>
          <w:p w14:paraId="5D79BF1A">
            <w:pPr>
              <w:adjustRightInd w:val="0"/>
              <w:snapToGrid w:val="0"/>
              <w:spacing w:line="300" w:lineRule="exact"/>
              <w:jc w:val="center"/>
              <w:rPr>
                <w:rFonts w:eastAsiaTheme="minorEastAsia"/>
                <w:color w:val="auto"/>
                <w:spacing w:val="-8"/>
                <w:sz w:val="24"/>
                <w:highlight w:val="none"/>
              </w:rPr>
            </w:pPr>
            <w:r>
              <w:rPr>
                <w:rFonts w:hAnsiTheme="minorEastAsia" w:eastAsiaTheme="minorEastAsia"/>
                <w:color w:val="auto"/>
                <w:spacing w:val="-8"/>
                <w:sz w:val="24"/>
                <w:highlight w:val="none"/>
              </w:rPr>
              <w:t>管理要求</w:t>
            </w:r>
          </w:p>
        </w:tc>
        <w:tc>
          <w:tcPr>
            <w:tcW w:w="7818" w:type="dxa"/>
            <w:gridSpan w:val="4"/>
            <w:vAlign w:val="center"/>
          </w:tcPr>
          <w:p w14:paraId="5587F390">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eastAsiaTheme="minorEastAsia"/>
                <w:b/>
                <w:color w:val="auto"/>
                <w:sz w:val="24"/>
                <w:highlight w:val="none"/>
              </w:rPr>
            </w:pPr>
            <w:r>
              <w:rPr>
                <w:rFonts w:hint="eastAsia" w:eastAsiaTheme="minorEastAsia"/>
                <w:b/>
                <w:color w:val="auto"/>
                <w:sz w:val="24"/>
                <w:highlight w:val="none"/>
              </w:rPr>
              <w:t>1、排污许可证制度</w:t>
            </w:r>
          </w:p>
          <w:p w14:paraId="413B6C4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eastAsiaTheme="minorEastAsia"/>
                <w:color w:val="auto"/>
                <w:sz w:val="24"/>
                <w:highlight w:val="none"/>
              </w:rPr>
            </w:pPr>
            <w:r>
              <w:rPr>
                <w:rFonts w:hint="eastAsia"/>
                <w:color w:val="auto"/>
                <w:sz w:val="24"/>
                <w:highlight w:val="none"/>
              </w:rPr>
              <w:t>建设单位必须按期持证排污、按证排污，不得无证排污，及时申领排污许可证，对申请材料的真实性、准确性和完整性承担法律责任，承诺按照排污许可证的规定排污并严格执行；落实污染物排放控制措施和其他各项环境管理要求，确保污染物排放种类、浓度和排放量等达到许可要求；明确单位负责人和相关人员环境保护责任，不断提高污染治理和环境管理水平，自觉接受监督检查。</w:t>
            </w:r>
            <w:r>
              <w:rPr>
                <w:color w:val="auto"/>
                <w:sz w:val="24"/>
                <w:highlight w:val="none"/>
              </w:rPr>
              <w:t>根据《固定污染源排污许可分类管理名录》（2019），</w:t>
            </w:r>
            <w:r>
              <w:rPr>
                <w:rFonts w:hint="eastAsia" w:eastAsiaTheme="minorEastAsia"/>
                <w:color w:val="auto"/>
                <w:sz w:val="24"/>
                <w:highlight w:val="none"/>
              </w:rPr>
              <w:t>本项目排污许可执行登记管理。</w:t>
            </w:r>
          </w:p>
          <w:p w14:paraId="3ED41D15">
            <w:pPr>
              <w:keepNext w:val="0"/>
              <w:keepLines w:val="0"/>
              <w:pageBreakBefore w:val="0"/>
              <w:widowControl w:val="0"/>
              <w:kinsoku/>
              <w:wordWrap/>
              <w:overflowPunct/>
              <w:topLinePunct w:val="0"/>
              <w:autoSpaceDE/>
              <w:autoSpaceDN/>
              <w:bidi w:val="0"/>
              <w:adjustRightInd w:val="0"/>
              <w:snapToGrid w:val="0"/>
              <w:spacing w:line="500" w:lineRule="exact"/>
              <w:textAlignment w:val="auto"/>
              <w:outlineLvl w:val="0"/>
              <w:rPr>
                <w:b/>
                <w:color w:val="auto"/>
                <w:sz w:val="24"/>
                <w:highlight w:val="none"/>
              </w:rPr>
            </w:pPr>
            <w:bookmarkStart w:id="16" w:name="_Toc25639"/>
            <w:r>
              <w:rPr>
                <w:rFonts w:hint="eastAsia" w:hAnsiTheme="minorEastAsia"/>
                <w:b/>
                <w:color w:val="auto"/>
                <w:sz w:val="24"/>
                <w:highlight w:val="none"/>
              </w:rPr>
              <w:t>2、</w:t>
            </w:r>
            <w:r>
              <w:rPr>
                <w:rFonts w:hAnsiTheme="minorEastAsia"/>
                <w:b/>
                <w:color w:val="auto"/>
                <w:sz w:val="24"/>
                <w:highlight w:val="none"/>
              </w:rPr>
              <w:t>排污口规范化</w:t>
            </w:r>
            <w:bookmarkEnd w:id="16"/>
          </w:p>
          <w:p w14:paraId="13D678A8">
            <w:pPr>
              <w:pStyle w:val="219"/>
              <w:keepNext w:val="0"/>
              <w:keepLines w:val="0"/>
              <w:pageBreakBefore w:val="0"/>
              <w:widowControl w:val="0"/>
              <w:kinsoku/>
              <w:wordWrap/>
              <w:overflowPunct/>
              <w:topLinePunct w:val="0"/>
              <w:autoSpaceDE/>
              <w:autoSpaceDN/>
              <w:bidi w:val="0"/>
              <w:adjustRightInd w:val="0"/>
              <w:snapToGrid w:val="0"/>
              <w:spacing w:line="500" w:lineRule="exact"/>
              <w:ind w:firstLine="480"/>
              <w:textAlignment w:val="auto"/>
              <w:rPr>
                <w:rFonts w:hAnsiTheme="minorEastAsia" w:eastAsiaTheme="minorEastAsia"/>
                <w:color w:val="auto"/>
                <w:sz w:val="24"/>
                <w:highlight w:val="none"/>
              </w:rPr>
            </w:pPr>
            <w:r>
              <w:rPr>
                <w:rFonts w:hAnsiTheme="minorEastAsia" w:eastAsiaTheme="minorEastAsia"/>
                <w:color w:val="auto"/>
                <w:sz w:val="24"/>
                <w:highlight w:val="none"/>
              </w:rPr>
              <w:t>根据原国家环境保护总局《关于开展排放口规范化整治工作的通知》、《环境保护图形标志</w:t>
            </w:r>
            <w:r>
              <w:rPr>
                <w:rFonts w:eastAsiaTheme="minorEastAsia"/>
                <w:color w:val="auto"/>
                <w:sz w:val="24"/>
                <w:highlight w:val="none"/>
              </w:rPr>
              <w:t>-</w:t>
            </w:r>
            <w:r>
              <w:rPr>
                <w:rFonts w:hAnsiTheme="minorEastAsia" w:eastAsiaTheme="minorEastAsia"/>
                <w:color w:val="auto"/>
                <w:sz w:val="24"/>
                <w:highlight w:val="none"/>
              </w:rPr>
              <w:t>排</w:t>
            </w:r>
            <w:r>
              <w:rPr>
                <w:rFonts w:hint="eastAsia" w:hAnsiTheme="minorEastAsia" w:eastAsiaTheme="minorEastAsia"/>
                <w:color w:val="auto"/>
                <w:sz w:val="24"/>
                <w:highlight w:val="none"/>
                <w:lang w:eastAsia="zh-CN"/>
              </w:rPr>
              <w:t>（</w:t>
            </w:r>
            <w:r>
              <w:rPr>
                <w:rFonts w:hAnsiTheme="minorEastAsia" w:eastAsiaTheme="minorEastAsia"/>
                <w:color w:val="auto"/>
                <w:sz w:val="24"/>
                <w:highlight w:val="none"/>
              </w:rPr>
              <w:t>口</w:t>
            </w:r>
            <w:r>
              <w:rPr>
                <w:rFonts w:eastAsiaTheme="minorEastAsia"/>
                <w:color w:val="auto"/>
                <w:sz w:val="24"/>
                <w:highlight w:val="none"/>
              </w:rPr>
              <w:t>(</w:t>
            </w:r>
            <w:r>
              <w:rPr>
                <w:rFonts w:hAnsiTheme="minorEastAsia" w:eastAsiaTheme="minorEastAsia"/>
                <w:color w:val="auto"/>
                <w:sz w:val="24"/>
                <w:highlight w:val="none"/>
              </w:rPr>
              <w:t>源</w:t>
            </w:r>
            <w:r>
              <w:rPr>
                <w:rFonts w:eastAsiaTheme="minorEastAsia"/>
                <w:color w:val="auto"/>
                <w:sz w:val="24"/>
                <w:highlight w:val="none"/>
              </w:rPr>
              <w:t>)</w:t>
            </w:r>
            <w:r>
              <w:rPr>
                <w:rFonts w:hAnsiTheme="minorEastAsia" w:eastAsiaTheme="minorEastAsia"/>
                <w:color w:val="auto"/>
                <w:sz w:val="24"/>
                <w:highlight w:val="none"/>
              </w:rPr>
              <w:t>》</w:t>
            </w:r>
            <w:r>
              <w:rPr>
                <w:rFonts w:hint="eastAsia" w:hAnsiTheme="minorEastAsia" w:eastAsiaTheme="minorEastAsia"/>
                <w:color w:val="auto"/>
                <w:sz w:val="24"/>
                <w:highlight w:val="none"/>
                <w:lang w:eastAsia="zh-CN"/>
              </w:rPr>
              <w:t>、生态环境部公告2023年第5号</w:t>
            </w:r>
            <w:r>
              <w:rPr>
                <w:rFonts w:hint="eastAsia"/>
                <w:color w:val="auto"/>
                <w:sz w:val="24"/>
                <w:szCs w:val="24"/>
              </w:rPr>
              <w:t>《环境保护图形标志—固体废物贮存（处置）场》（GB 15562.2-1995）修改单</w:t>
            </w:r>
            <w:r>
              <w:rPr>
                <w:rFonts w:hAnsiTheme="minorEastAsia" w:eastAsiaTheme="minorEastAsia"/>
                <w:color w:val="auto"/>
                <w:sz w:val="24"/>
                <w:highlight w:val="none"/>
              </w:rPr>
              <w:t>和本项目污染物排放的实际情况，项目所有排</w:t>
            </w:r>
            <w:r>
              <w:rPr>
                <w:rFonts w:hint="eastAsia" w:hAnsiTheme="minorEastAsia" w:eastAsiaTheme="minorEastAsia"/>
                <w:color w:val="auto"/>
                <w:sz w:val="24"/>
                <w:highlight w:val="none"/>
                <w:lang w:eastAsia="zh-CN"/>
              </w:rPr>
              <w:t>（</w:t>
            </w:r>
            <w:r>
              <w:rPr>
                <w:rFonts w:hAnsiTheme="minorEastAsia" w:eastAsiaTheme="minorEastAsia"/>
                <w:color w:val="auto"/>
                <w:sz w:val="24"/>
                <w:highlight w:val="none"/>
              </w:rPr>
              <w:t>口</w:t>
            </w:r>
            <w:r>
              <w:rPr>
                <w:rFonts w:eastAsiaTheme="minorEastAsia"/>
                <w:color w:val="auto"/>
                <w:sz w:val="24"/>
                <w:highlight w:val="none"/>
              </w:rPr>
              <w:t>(</w:t>
            </w:r>
            <w:r>
              <w:rPr>
                <w:rFonts w:hAnsiTheme="minorEastAsia" w:eastAsiaTheme="minorEastAsia"/>
                <w:color w:val="auto"/>
                <w:sz w:val="24"/>
                <w:highlight w:val="none"/>
              </w:rPr>
              <w:t>包括水、气、声、渣</w:t>
            </w:r>
            <w:r>
              <w:rPr>
                <w:rFonts w:eastAsiaTheme="minorEastAsia"/>
                <w:color w:val="auto"/>
                <w:sz w:val="24"/>
                <w:highlight w:val="none"/>
              </w:rPr>
              <w:t>)</w:t>
            </w:r>
            <w:r>
              <w:rPr>
                <w:rFonts w:hAnsiTheme="minorEastAsia" w:eastAsiaTheme="minorEastAsia"/>
                <w:color w:val="auto"/>
                <w:sz w:val="24"/>
                <w:highlight w:val="none"/>
              </w:rPr>
              <w:t>按照</w:t>
            </w:r>
            <w:r>
              <w:rPr>
                <w:rFonts w:eastAsiaTheme="minorEastAsia"/>
                <w:color w:val="auto"/>
                <w:sz w:val="24"/>
                <w:highlight w:val="none"/>
              </w:rPr>
              <w:t>“</w:t>
            </w:r>
            <w:r>
              <w:rPr>
                <w:rFonts w:hAnsiTheme="minorEastAsia" w:eastAsiaTheme="minorEastAsia"/>
                <w:color w:val="auto"/>
                <w:sz w:val="24"/>
                <w:highlight w:val="none"/>
              </w:rPr>
              <w:t>便于采样、便于计量监测、便于日常现场监督检查</w:t>
            </w:r>
            <w:r>
              <w:rPr>
                <w:rFonts w:eastAsiaTheme="minorEastAsia"/>
                <w:color w:val="auto"/>
                <w:sz w:val="24"/>
                <w:highlight w:val="none"/>
              </w:rPr>
              <w:t>”</w:t>
            </w:r>
            <w:r>
              <w:rPr>
                <w:rFonts w:hAnsiTheme="minorEastAsia" w:eastAsiaTheme="minorEastAsia"/>
                <w:color w:val="auto"/>
                <w:sz w:val="24"/>
                <w:highlight w:val="none"/>
              </w:rPr>
              <w:t>的原则和规范化要求，设置与之相适应的环境保护图形标志牌，排污口的规范化要符合环境监察部门的相关要求。在各排污口设立相应的环境保护图形标志牌，排放口图形标志见表</w:t>
            </w:r>
            <w:r>
              <w:rPr>
                <w:rFonts w:hint="eastAsia" w:eastAsiaTheme="minorEastAsia"/>
                <w:color w:val="auto"/>
                <w:sz w:val="24"/>
                <w:highlight w:val="none"/>
                <w:lang w:val="en-US" w:eastAsia="zh-CN"/>
              </w:rPr>
              <w:t>5-1</w:t>
            </w:r>
            <w:r>
              <w:rPr>
                <w:rFonts w:hint="eastAsia" w:eastAsiaTheme="minorEastAsia"/>
                <w:color w:val="auto"/>
                <w:sz w:val="24"/>
                <w:highlight w:val="none"/>
                <w:lang w:eastAsia="zh-CN"/>
              </w:rPr>
              <w:t>、表</w:t>
            </w:r>
            <w:r>
              <w:rPr>
                <w:rFonts w:hint="eastAsia" w:eastAsiaTheme="minorEastAsia"/>
                <w:color w:val="auto"/>
                <w:sz w:val="24"/>
                <w:highlight w:val="none"/>
                <w:lang w:val="en-US" w:eastAsia="zh-CN"/>
              </w:rPr>
              <w:t>5-2</w:t>
            </w:r>
            <w:r>
              <w:rPr>
                <w:rFonts w:hAnsiTheme="minorEastAsia" w:eastAsiaTheme="minorEastAsia"/>
                <w:color w:val="auto"/>
                <w:sz w:val="24"/>
                <w:highlight w:val="none"/>
              </w:rPr>
              <w:t>。</w:t>
            </w:r>
          </w:p>
          <w:p w14:paraId="2B461262">
            <w:pPr>
              <w:pStyle w:val="219"/>
              <w:keepNext w:val="0"/>
              <w:keepLines w:val="0"/>
              <w:pageBreakBefore w:val="0"/>
              <w:widowControl w:val="0"/>
              <w:kinsoku/>
              <w:wordWrap/>
              <w:overflowPunct/>
              <w:topLinePunct w:val="0"/>
              <w:autoSpaceDE/>
              <w:autoSpaceDN/>
              <w:bidi w:val="0"/>
              <w:adjustRightInd w:val="0"/>
              <w:snapToGrid w:val="0"/>
              <w:spacing w:line="560" w:lineRule="exact"/>
              <w:ind w:firstLine="422"/>
              <w:jc w:val="center"/>
              <w:textAlignment w:val="auto"/>
              <w:rPr>
                <w:rFonts w:eastAsiaTheme="minorEastAsia"/>
                <w:b/>
                <w:color w:val="auto"/>
                <w:szCs w:val="21"/>
                <w:highlight w:val="none"/>
              </w:rPr>
            </w:pPr>
            <w:r>
              <w:rPr>
                <w:rFonts w:hAnsiTheme="minorEastAsia" w:eastAsiaTheme="minorEastAsia"/>
                <w:b/>
                <w:color w:val="auto"/>
                <w:szCs w:val="21"/>
                <w:highlight w:val="none"/>
              </w:rPr>
              <w:t>表</w:t>
            </w:r>
            <w:r>
              <w:rPr>
                <w:rFonts w:hint="eastAsia" w:eastAsiaTheme="minorEastAsia"/>
                <w:b/>
                <w:color w:val="auto"/>
                <w:szCs w:val="21"/>
                <w:highlight w:val="none"/>
                <w:lang w:val="en-US" w:eastAsia="zh-CN"/>
              </w:rPr>
              <w:t>5-1</w:t>
            </w:r>
            <w:r>
              <w:rPr>
                <w:b/>
                <w:bCs/>
                <w:color w:val="auto"/>
                <w:szCs w:val="21"/>
                <w:highlight w:val="none"/>
              </w:rPr>
              <w:t xml:space="preserve">        </w:t>
            </w:r>
            <w:r>
              <w:rPr>
                <w:rFonts w:hAnsiTheme="minorEastAsia" w:eastAsiaTheme="minorEastAsia"/>
                <w:b/>
                <w:color w:val="auto"/>
                <w:szCs w:val="21"/>
                <w:highlight w:val="none"/>
              </w:rPr>
              <w:t>环境保护标志一缆表</w:t>
            </w:r>
          </w:p>
          <w:tbl>
            <w:tblPr>
              <w:tblStyle w:val="34"/>
              <w:tblW w:w="7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568"/>
              <w:gridCol w:w="1664"/>
              <w:gridCol w:w="1664"/>
              <w:gridCol w:w="1666"/>
            </w:tblGrid>
            <w:tr w14:paraId="500D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1093" w:type="dxa"/>
                  <w:vAlign w:val="center"/>
                </w:tcPr>
                <w:p w14:paraId="4FF54EF4">
                  <w:pPr>
                    <w:pStyle w:val="219"/>
                    <w:adjustRightInd w:val="0"/>
                    <w:snapToGrid w:val="0"/>
                    <w:spacing w:line="240" w:lineRule="auto"/>
                    <w:ind w:left="-63" w:leftChars="-30" w:right="-63" w:rightChars="-30" w:firstLine="0" w:firstLineChars="0"/>
                    <w:jc w:val="center"/>
                    <w:rPr>
                      <w:rFonts w:eastAsiaTheme="minorEastAsia"/>
                      <w:color w:val="auto"/>
                      <w:szCs w:val="21"/>
                      <w:highlight w:val="none"/>
                    </w:rPr>
                  </w:pPr>
                  <w:r>
                    <w:rPr>
                      <w:rFonts w:hAnsiTheme="minorEastAsia" w:eastAsiaTheme="minorEastAsia"/>
                      <w:color w:val="auto"/>
                      <w:szCs w:val="21"/>
                      <w:highlight w:val="none"/>
                    </w:rPr>
                    <w:t>排放口</w:t>
                  </w:r>
                </w:p>
              </w:tc>
              <w:tc>
                <w:tcPr>
                  <w:tcW w:w="1568" w:type="dxa"/>
                  <w:vAlign w:val="center"/>
                </w:tcPr>
                <w:p w14:paraId="085B2F82">
                  <w:pPr>
                    <w:pStyle w:val="219"/>
                    <w:adjustRightInd w:val="0"/>
                    <w:snapToGrid w:val="0"/>
                    <w:spacing w:line="240" w:lineRule="auto"/>
                    <w:ind w:firstLine="0" w:firstLineChars="0"/>
                    <w:jc w:val="center"/>
                    <w:rPr>
                      <w:rFonts w:eastAsiaTheme="minorEastAsia"/>
                      <w:color w:val="auto"/>
                      <w:szCs w:val="21"/>
                      <w:highlight w:val="none"/>
                    </w:rPr>
                  </w:pPr>
                  <w:r>
                    <w:rPr>
                      <w:rFonts w:hAnsiTheme="minorEastAsia" w:eastAsiaTheme="minorEastAsia"/>
                      <w:color w:val="auto"/>
                      <w:szCs w:val="21"/>
                      <w:highlight w:val="none"/>
                    </w:rPr>
                    <w:t>噪声源</w:t>
                  </w:r>
                </w:p>
              </w:tc>
              <w:tc>
                <w:tcPr>
                  <w:tcW w:w="1664" w:type="dxa"/>
                  <w:vAlign w:val="center"/>
                </w:tcPr>
                <w:p w14:paraId="169562CE">
                  <w:pPr>
                    <w:pStyle w:val="219"/>
                    <w:adjustRightInd w:val="0"/>
                    <w:snapToGrid w:val="0"/>
                    <w:spacing w:line="240" w:lineRule="auto"/>
                    <w:ind w:firstLine="0" w:firstLineChars="0"/>
                    <w:jc w:val="center"/>
                    <w:rPr>
                      <w:rFonts w:eastAsiaTheme="minorEastAsia"/>
                      <w:color w:val="auto"/>
                      <w:szCs w:val="21"/>
                      <w:highlight w:val="none"/>
                    </w:rPr>
                  </w:pPr>
                  <w:r>
                    <w:rPr>
                      <w:rFonts w:hAnsiTheme="minorEastAsia" w:eastAsiaTheme="minorEastAsia"/>
                      <w:color w:val="auto"/>
                      <w:szCs w:val="21"/>
                      <w:highlight w:val="none"/>
                    </w:rPr>
                    <w:t>废气排放口</w:t>
                  </w:r>
                </w:p>
              </w:tc>
              <w:tc>
                <w:tcPr>
                  <w:tcW w:w="1664" w:type="dxa"/>
                  <w:vAlign w:val="center"/>
                </w:tcPr>
                <w:p w14:paraId="01604F7B">
                  <w:pPr>
                    <w:pStyle w:val="219"/>
                    <w:adjustRightInd w:val="0"/>
                    <w:snapToGrid w:val="0"/>
                    <w:spacing w:line="240" w:lineRule="auto"/>
                    <w:ind w:firstLine="0" w:firstLineChars="0"/>
                    <w:jc w:val="center"/>
                    <w:rPr>
                      <w:rFonts w:eastAsiaTheme="minorEastAsia"/>
                      <w:color w:val="auto"/>
                      <w:szCs w:val="21"/>
                      <w:highlight w:val="none"/>
                    </w:rPr>
                  </w:pPr>
                  <w:r>
                    <w:rPr>
                      <w:rFonts w:hAnsiTheme="minorEastAsia" w:eastAsiaTheme="minorEastAsia"/>
                      <w:color w:val="auto"/>
                      <w:szCs w:val="21"/>
                      <w:highlight w:val="none"/>
                    </w:rPr>
                    <w:t>废水排放口</w:t>
                  </w:r>
                </w:p>
              </w:tc>
              <w:tc>
                <w:tcPr>
                  <w:tcW w:w="1666" w:type="dxa"/>
                  <w:vAlign w:val="center"/>
                </w:tcPr>
                <w:p w14:paraId="53E46943">
                  <w:pPr>
                    <w:pStyle w:val="219"/>
                    <w:adjustRightInd w:val="0"/>
                    <w:snapToGrid w:val="0"/>
                    <w:spacing w:line="240" w:lineRule="auto"/>
                    <w:ind w:firstLine="0" w:firstLineChars="0"/>
                    <w:jc w:val="center"/>
                    <w:rPr>
                      <w:rFonts w:eastAsiaTheme="minorEastAsia"/>
                      <w:color w:val="auto"/>
                      <w:szCs w:val="21"/>
                      <w:highlight w:val="none"/>
                    </w:rPr>
                  </w:pPr>
                  <w:r>
                    <w:rPr>
                      <w:rFonts w:hAnsiTheme="minorEastAsia" w:eastAsiaTheme="minorEastAsia"/>
                      <w:color w:val="auto"/>
                      <w:szCs w:val="21"/>
                      <w:highlight w:val="none"/>
                    </w:rPr>
                    <w:t>固废堆场</w:t>
                  </w:r>
                </w:p>
              </w:tc>
            </w:tr>
            <w:tr w14:paraId="3351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93" w:type="dxa"/>
                  <w:vAlign w:val="center"/>
                </w:tcPr>
                <w:p w14:paraId="21EF3199">
                  <w:pPr>
                    <w:pStyle w:val="219"/>
                    <w:adjustRightInd w:val="0"/>
                    <w:snapToGrid w:val="0"/>
                    <w:spacing w:line="240" w:lineRule="auto"/>
                    <w:ind w:left="-63" w:leftChars="-30" w:right="-63" w:rightChars="-30" w:firstLine="0" w:firstLineChars="0"/>
                    <w:jc w:val="center"/>
                    <w:rPr>
                      <w:rFonts w:eastAsiaTheme="minorEastAsia"/>
                      <w:color w:val="auto"/>
                      <w:szCs w:val="21"/>
                      <w:highlight w:val="none"/>
                    </w:rPr>
                  </w:pPr>
                  <w:r>
                    <w:rPr>
                      <w:rFonts w:hAnsiTheme="minorEastAsia" w:eastAsiaTheme="minorEastAsia"/>
                      <w:color w:val="auto"/>
                      <w:szCs w:val="21"/>
                      <w:highlight w:val="none"/>
                    </w:rPr>
                    <w:t>图形符号</w:t>
                  </w:r>
                </w:p>
              </w:tc>
              <w:tc>
                <w:tcPr>
                  <w:tcW w:w="1568" w:type="dxa"/>
                  <w:vAlign w:val="center"/>
                </w:tcPr>
                <w:p w14:paraId="6BEFBAA1">
                  <w:pPr>
                    <w:pStyle w:val="219"/>
                    <w:adjustRightInd w:val="0"/>
                    <w:snapToGrid w:val="0"/>
                    <w:spacing w:line="240" w:lineRule="auto"/>
                    <w:ind w:firstLine="0" w:firstLineChars="0"/>
                    <w:jc w:val="center"/>
                    <w:rPr>
                      <w:rFonts w:eastAsiaTheme="minorEastAsia"/>
                      <w:color w:val="auto"/>
                      <w:szCs w:val="21"/>
                      <w:highlight w:val="none"/>
                    </w:rPr>
                  </w:pPr>
                  <w:r>
                    <w:rPr>
                      <w:rFonts w:eastAsiaTheme="minorEastAsia"/>
                      <w:color w:val="auto"/>
                      <w:highlight w:val="none"/>
                    </w:rPr>
                    <w:drawing>
                      <wp:inline distT="0" distB="0" distL="0" distR="0">
                        <wp:extent cx="899795" cy="901700"/>
                        <wp:effectExtent l="0" t="0" r="14605" b="12700"/>
                        <wp:docPr id="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9"/>
                                <pic:cNvPicPr>
                                  <a:picLocks noChangeAspect="1" noChangeArrowheads="1"/>
                                </pic:cNvPicPr>
                              </pic:nvPicPr>
                              <pic:blipFill>
                                <a:blip r:embed="rId13"/>
                                <a:srcRect/>
                                <a:stretch>
                                  <a:fillRect/>
                                </a:stretch>
                              </pic:blipFill>
                              <pic:spPr>
                                <a:xfrm>
                                  <a:off x="0" y="0"/>
                                  <a:ext cx="900000" cy="901700"/>
                                </a:xfrm>
                                <a:prstGeom prst="rect">
                                  <a:avLst/>
                                </a:prstGeom>
                                <a:noFill/>
                                <a:ln w="9525">
                                  <a:noFill/>
                                  <a:miter lim="800000"/>
                                  <a:headEnd/>
                                  <a:tailEnd/>
                                </a:ln>
                              </pic:spPr>
                            </pic:pic>
                          </a:graphicData>
                        </a:graphic>
                      </wp:inline>
                    </w:drawing>
                  </w:r>
                </w:p>
              </w:tc>
              <w:tc>
                <w:tcPr>
                  <w:tcW w:w="1664" w:type="dxa"/>
                  <w:vAlign w:val="center"/>
                </w:tcPr>
                <w:p w14:paraId="5520FE4D">
                  <w:pPr>
                    <w:pStyle w:val="219"/>
                    <w:adjustRightInd w:val="0"/>
                    <w:snapToGrid w:val="0"/>
                    <w:spacing w:line="240" w:lineRule="auto"/>
                    <w:ind w:firstLine="0" w:firstLineChars="0"/>
                    <w:jc w:val="center"/>
                    <w:rPr>
                      <w:rFonts w:eastAsiaTheme="minorEastAsia"/>
                      <w:color w:val="auto"/>
                      <w:szCs w:val="21"/>
                      <w:highlight w:val="none"/>
                    </w:rPr>
                  </w:pPr>
                  <w:r>
                    <w:rPr>
                      <w:rFonts w:eastAsiaTheme="minorEastAsia"/>
                      <w:color w:val="auto"/>
                      <w:highlight w:val="none"/>
                    </w:rPr>
                    <w:drawing>
                      <wp:inline distT="0" distB="0" distL="0" distR="0">
                        <wp:extent cx="899795" cy="845820"/>
                        <wp:effectExtent l="0" t="0" r="14605" b="11430"/>
                        <wp:docPr id="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0"/>
                                <pic:cNvPicPr>
                                  <a:picLocks noChangeAspect="1" noChangeArrowheads="1"/>
                                </pic:cNvPicPr>
                              </pic:nvPicPr>
                              <pic:blipFill>
                                <a:blip r:embed="rId14"/>
                                <a:srcRect/>
                                <a:stretch>
                                  <a:fillRect/>
                                </a:stretch>
                              </pic:blipFill>
                              <pic:spPr>
                                <a:xfrm>
                                  <a:off x="0" y="0"/>
                                  <a:ext cx="900000" cy="846358"/>
                                </a:xfrm>
                                <a:prstGeom prst="rect">
                                  <a:avLst/>
                                </a:prstGeom>
                                <a:noFill/>
                                <a:ln w="9525">
                                  <a:noFill/>
                                  <a:miter lim="800000"/>
                                  <a:headEnd/>
                                  <a:tailEnd/>
                                </a:ln>
                              </pic:spPr>
                            </pic:pic>
                          </a:graphicData>
                        </a:graphic>
                      </wp:inline>
                    </w:drawing>
                  </w:r>
                </w:p>
              </w:tc>
              <w:tc>
                <w:tcPr>
                  <w:tcW w:w="1664" w:type="dxa"/>
                  <w:vAlign w:val="center"/>
                </w:tcPr>
                <w:p w14:paraId="7277E893">
                  <w:pPr>
                    <w:pStyle w:val="219"/>
                    <w:adjustRightInd w:val="0"/>
                    <w:snapToGrid w:val="0"/>
                    <w:spacing w:line="240" w:lineRule="auto"/>
                    <w:ind w:firstLine="0" w:firstLineChars="0"/>
                    <w:jc w:val="center"/>
                    <w:rPr>
                      <w:rFonts w:eastAsiaTheme="minorEastAsia"/>
                      <w:color w:val="auto"/>
                      <w:highlight w:val="none"/>
                    </w:rPr>
                  </w:pPr>
                  <w:r>
                    <w:rPr>
                      <w:rFonts w:eastAsiaTheme="minorEastAsia"/>
                      <w:color w:val="auto"/>
                      <w:highlight w:val="none"/>
                    </w:rPr>
                    <w:drawing>
                      <wp:inline distT="0" distB="0" distL="0" distR="0">
                        <wp:extent cx="899795" cy="901700"/>
                        <wp:effectExtent l="0" t="0" r="14605" b="12700"/>
                        <wp:docPr id="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pic:cNvPicPr>
                                  <a:picLocks noChangeAspect="1" noChangeArrowheads="1"/>
                                </pic:cNvPicPr>
                              </pic:nvPicPr>
                              <pic:blipFill>
                                <a:blip r:embed="rId15"/>
                                <a:srcRect/>
                                <a:stretch>
                                  <a:fillRect/>
                                </a:stretch>
                              </pic:blipFill>
                              <pic:spPr>
                                <a:xfrm>
                                  <a:off x="0" y="0"/>
                                  <a:ext cx="900000" cy="901700"/>
                                </a:xfrm>
                                <a:prstGeom prst="rect">
                                  <a:avLst/>
                                </a:prstGeom>
                                <a:noFill/>
                                <a:ln w="9525">
                                  <a:noFill/>
                                  <a:miter lim="800000"/>
                                  <a:headEnd/>
                                  <a:tailEnd/>
                                </a:ln>
                              </pic:spPr>
                            </pic:pic>
                          </a:graphicData>
                        </a:graphic>
                      </wp:inline>
                    </w:drawing>
                  </w:r>
                </w:p>
              </w:tc>
              <w:tc>
                <w:tcPr>
                  <w:tcW w:w="1666" w:type="dxa"/>
                  <w:vAlign w:val="center"/>
                </w:tcPr>
                <w:p w14:paraId="13D4F151">
                  <w:pPr>
                    <w:pStyle w:val="219"/>
                    <w:adjustRightInd w:val="0"/>
                    <w:snapToGrid w:val="0"/>
                    <w:spacing w:line="240" w:lineRule="auto"/>
                    <w:ind w:firstLine="0" w:firstLineChars="0"/>
                    <w:jc w:val="center"/>
                    <w:rPr>
                      <w:rFonts w:eastAsiaTheme="minorEastAsia"/>
                      <w:color w:val="auto"/>
                      <w:highlight w:val="none"/>
                    </w:rPr>
                  </w:pPr>
                  <w:r>
                    <w:rPr>
                      <w:rFonts w:eastAsiaTheme="minorEastAsia"/>
                      <w:color w:val="auto"/>
                      <w:highlight w:val="none"/>
                    </w:rPr>
                    <w:drawing>
                      <wp:inline distT="0" distB="0" distL="0" distR="0">
                        <wp:extent cx="901700" cy="899795"/>
                        <wp:effectExtent l="0" t="0" r="12700" b="14605"/>
                        <wp:docPr id="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2"/>
                                <pic:cNvPicPr>
                                  <a:picLocks noChangeAspect="1" noChangeArrowheads="1"/>
                                </pic:cNvPicPr>
                              </pic:nvPicPr>
                              <pic:blipFill>
                                <a:blip r:embed="rId16"/>
                                <a:srcRect/>
                                <a:stretch>
                                  <a:fillRect/>
                                </a:stretch>
                              </pic:blipFill>
                              <pic:spPr>
                                <a:xfrm>
                                  <a:off x="0" y="0"/>
                                  <a:ext cx="901700" cy="900000"/>
                                </a:xfrm>
                                <a:prstGeom prst="rect">
                                  <a:avLst/>
                                </a:prstGeom>
                                <a:noFill/>
                                <a:ln w="9525">
                                  <a:noFill/>
                                  <a:miter lim="800000"/>
                                  <a:headEnd/>
                                  <a:tailEnd/>
                                </a:ln>
                              </pic:spPr>
                            </pic:pic>
                          </a:graphicData>
                        </a:graphic>
                      </wp:inline>
                    </w:drawing>
                  </w:r>
                </w:p>
              </w:tc>
            </w:tr>
            <w:tr w14:paraId="5BC49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93" w:type="dxa"/>
                  <w:vAlign w:val="center"/>
                </w:tcPr>
                <w:p w14:paraId="70330B20">
                  <w:pPr>
                    <w:pStyle w:val="219"/>
                    <w:adjustRightInd w:val="0"/>
                    <w:snapToGrid w:val="0"/>
                    <w:spacing w:line="240" w:lineRule="auto"/>
                    <w:ind w:left="-63" w:leftChars="-30" w:right="-63" w:rightChars="-30" w:firstLine="0" w:firstLineChars="0"/>
                    <w:jc w:val="center"/>
                    <w:rPr>
                      <w:rFonts w:eastAsiaTheme="minorEastAsia"/>
                      <w:color w:val="auto"/>
                      <w:szCs w:val="21"/>
                      <w:highlight w:val="none"/>
                    </w:rPr>
                  </w:pPr>
                  <w:r>
                    <w:rPr>
                      <w:rFonts w:hAnsiTheme="minorEastAsia" w:eastAsiaTheme="minorEastAsia"/>
                      <w:color w:val="auto"/>
                      <w:szCs w:val="21"/>
                      <w:highlight w:val="none"/>
                    </w:rPr>
                    <w:t>背景颜色</w:t>
                  </w:r>
                </w:p>
              </w:tc>
              <w:tc>
                <w:tcPr>
                  <w:tcW w:w="1568" w:type="dxa"/>
                  <w:vAlign w:val="center"/>
                </w:tcPr>
                <w:p w14:paraId="340CDB05">
                  <w:pPr>
                    <w:pStyle w:val="219"/>
                    <w:adjustRightInd w:val="0"/>
                    <w:snapToGrid w:val="0"/>
                    <w:spacing w:line="240" w:lineRule="auto"/>
                    <w:ind w:firstLine="0" w:firstLineChars="0"/>
                    <w:jc w:val="center"/>
                    <w:rPr>
                      <w:rFonts w:eastAsiaTheme="minorEastAsia"/>
                      <w:color w:val="auto"/>
                      <w:szCs w:val="21"/>
                      <w:highlight w:val="none"/>
                    </w:rPr>
                  </w:pPr>
                  <w:r>
                    <w:rPr>
                      <w:rFonts w:hAnsiTheme="minorEastAsia" w:eastAsiaTheme="minorEastAsia"/>
                      <w:color w:val="auto"/>
                      <w:szCs w:val="21"/>
                      <w:highlight w:val="none"/>
                    </w:rPr>
                    <w:t>绿色</w:t>
                  </w:r>
                </w:p>
              </w:tc>
              <w:tc>
                <w:tcPr>
                  <w:tcW w:w="1664" w:type="dxa"/>
                  <w:vAlign w:val="center"/>
                </w:tcPr>
                <w:p w14:paraId="2B99A8B9">
                  <w:pPr>
                    <w:pStyle w:val="219"/>
                    <w:adjustRightInd w:val="0"/>
                    <w:snapToGrid w:val="0"/>
                    <w:spacing w:line="240" w:lineRule="auto"/>
                    <w:ind w:firstLine="0" w:firstLineChars="0"/>
                    <w:jc w:val="center"/>
                    <w:rPr>
                      <w:rFonts w:eastAsiaTheme="minorEastAsia"/>
                      <w:color w:val="auto"/>
                      <w:szCs w:val="21"/>
                      <w:highlight w:val="none"/>
                    </w:rPr>
                  </w:pPr>
                  <w:r>
                    <w:rPr>
                      <w:rFonts w:hAnsiTheme="minorEastAsia" w:eastAsiaTheme="minorEastAsia"/>
                      <w:color w:val="auto"/>
                      <w:szCs w:val="21"/>
                      <w:highlight w:val="none"/>
                    </w:rPr>
                    <w:t>绿色</w:t>
                  </w:r>
                </w:p>
              </w:tc>
              <w:tc>
                <w:tcPr>
                  <w:tcW w:w="1664" w:type="dxa"/>
                  <w:vAlign w:val="center"/>
                </w:tcPr>
                <w:p w14:paraId="78C2C896">
                  <w:pPr>
                    <w:pStyle w:val="219"/>
                    <w:adjustRightInd w:val="0"/>
                    <w:snapToGrid w:val="0"/>
                    <w:spacing w:line="240" w:lineRule="auto"/>
                    <w:ind w:firstLine="0" w:firstLineChars="0"/>
                    <w:jc w:val="center"/>
                    <w:rPr>
                      <w:rFonts w:eastAsiaTheme="minorEastAsia"/>
                      <w:color w:val="auto"/>
                      <w:szCs w:val="21"/>
                      <w:highlight w:val="none"/>
                    </w:rPr>
                  </w:pPr>
                  <w:r>
                    <w:rPr>
                      <w:rFonts w:hAnsiTheme="minorEastAsia" w:eastAsiaTheme="minorEastAsia"/>
                      <w:color w:val="auto"/>
                      <w:szCs w:val="21"/>
                      <w:highlight w:val="none"/>
                    </w:rPr>
                    <w:t>绿色</w:t>
                  </w:r>
                </w:p>
              </w:tc>
              <w:tc>
                <w:tcPr>
                  <w:tcW w:w="1666" w:type="dxa"/>
                  <w:vAlign w:val="center"/>
                </w:tcPr>
                <w:p w14:paraId="74D832A8">
                  <w:pPr>
                    <w:pStyle w:val="219"/>
                    <w:adjustRightInd w:val="0"/>
                    <w:snapToGrid w:val="0"/>
                    <w:spacing w:line="240" w:lineRule="auto"/>
                    <w:ind w:firstLine="0" w:firstLineChars="0"/>
                    <w:jc w:val="center"/>
                    <w:rPr>
                      <w:rFonts w:eastAsiaTheme="minorEastAsia"/>
                      <w:color w:val="auto"/>
                      <w:szCs w:val="21"/>
                      <w:highlight w:val="none"/>
                    </w:rPr>
                  </w:pPr>
                  <w:r>
                    <w:rPr>
                      <w:rFonts w:hAnsiTheme="minorEastAsia" w:eastAsiaTheme="minorEastAsia"/>
                      <w:color w:val="auto"/>
                      <w:szCs w:val="21"/>
                      <w:highlight w:val="none"/>
                    </w:rPr>
                    <w:t>绿色</w:t>
                  </w:r>
                </w:p>
              </w:tc>
            </w:tr>
            <w:tr w14:paraId="4CBAB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93" w:type="dxa"/>
                  <w:vAlign w:val="center"/>
                </w:tcPr>
                <w:p w14:paraId="09C9386A">
                  <w:pPr>
                    <w:pStyle w:val="219"/>
                    <w:adjustRightInd w:val="0"/>
                    <w:snapToGrid w:val="0"/>
                    <w:spacing w:line="240" w:lineRule="auto"/>
                    <w:ind w:left="-63" w:leftChars="-30" w:right="-63" w:rightChars="-30" w:firstLine="0" w:firstLineChars="0"/>
                    <w:jc w:val="center"/>
                    <w:rPr>
                      <w:rFonts w:eastAsiaTheme="minorEastAsia"/>
                      <w:color w:val="auto"/>
                      <w:szCs w:val="21"/>
                      <w:highlight w:val="none"/>
                    </w:rPr>
                  </w:pPr>
                  <w:r>
                    <w:rPr>
                      <w:rFonts w:hAnsiTheme="minorEastAsia" w:eastAsiaTheme="minorEastAsia"/>
                      <w:color w:val="auto"/>
                      <w:szCs w:val="21"/>
                      <w:highlight w:val="none"/>
                    </w:rPr>
                    <w:t>图形颜色</w:t>
                  </w:r>
                </w:p>
              </w:tc>
              <w:tc>
                <w:tcPr>
                  <w:tcW w:w="1568" w:type="dxa"/>
                  <w:vAlign w:val="center"/>
                </w:tcPr>
                <w:p w14:paraId="214BD774">
                  <w:pPr>
                    <w:pStyle w:val="219"/>
                    <w:adjustRightInd w:val="0"/>
                    <w:snapToGrid w:val="0"/>
                    <w:spacing w:line="240" w:lineRule="auto"/>
                    <w:ind w:firstLine="0" w:firstLineChars="0"/>
                    <w:jc w:val="center"/>
                    <w:rPr>
                      <w:rFonts w:eastAsiaTheme="minorEastAsia"/>
                      <w:color w:val="auto"/>
                      <w:szCs w:val="21"/>
                      <w:highlight w:val="none"/>
                    </w:rPr>
                  </w:pPr>
                  <w:r>
                    <w:rPr>
                      <w:rFonts w:hAnsiTheme="minorEastAsia" w:eastAsiaTheme="minorEastAsia"/>
                      <w:color w:val="auto"/>
                      <w:szCs w:val="21"/>
                      <w:highlight w:val="none"/>
                    </w:rPr>
                    <w:t>白色</w:t>
                  </w:r>
                </w:p>
              </w:tc>
              <w:tc>
                <w:tcPr>
                  <w:tcW w:w="1664" w:type="dxa"/>
                  <w:vAlign w:val="center"/>
                </w:tcPr>
                <w:p w14:paraId="28584D0C">
                  <w:pPr>
                    <w:pStyle w:val="219"/>
                    <w:adjustRightInd w:val="0"/>
                    <w:snapToGrid w:val="0"/>
                    <w:spacing w:line="240" w:lineRule="auto"/>
                    <w:ind w:firstLine="0" w:firstLineChars="0"/>
                    <w:jc w:val="center"/>
                    <w:rPr>
                      <w:rFonts w:eastAsiaTheme="minorEastAsia"/>
                      <w:color w:val="auto"/>
                      <w:szCs w:val="21"/>
                      <w:highlight w:val="none"/>
                    </w:rPr>
                  </w:pPr>
                  <w:r>
                    <w:rPr>
                      <w:rFonts w:hAnsiTheme="minorEastAsia" w:eastAsiaTheme="minorEastAsia"/>
                      <w:color w:val="auto"/>
                      <w:szCs w:val="21"/>
                      <w:highlight w:val="none"/>
                    </w:rPr>
                    <w:t>白色</w:t>
                  </w:r>
                </w:p>
              </w:tc>
              <w:tc>
                <w:tcPr>
                  <w:tcW w:w="1664" w:type="dxa"/>
                  <w:vAlign w:val="center"/>
                </w:tcPr>
                <w:p w14:paraId="16B8695F">
                  <w:pPr>
                    <w:pStyle w:val="219"/>
                    <w:adjustRightInd w:val="0"/>
                    <w:snapToGrid w:val="0"/>
                    <w:spacing w:line="240" w:lineRule="auto"/>
                    <w:ind w:firstLine="0" w:firstLineChars="0"/>
                    <w:jc w:val="center"/>
                    <w:rPr>
                      <w:rFonts w:eastAsiaTheme="minorEastAsia"/>
                      <w:color w:val="auto"/>
                      <w:szCs w:val="21"/>
                      <w:highlight w:val="none"/>
                    </w:rPr>
                  </w:pPr>
                  <w:r>
                    <w:rPr>
                      <w:rFonts w:hAnsiTheme="minorEastAsia" w:eastAsiaTheme="minorEastAsia"/>
                      <w:color w:val="auto"/>
                      <w:szCs w:val="21"/>
                      <w:highlight w:val="none"/>
                    </w:rPr>
                    <w:t>白色</w:t>
                  </w:r>
                </w:p>
              </w:tc>
              <w:tc>
                <w:tcPr>
                  <w:tcW w:w="1666" w:type="dxa"/>
                  <w:vAlign w:val="center"/>
                </w:tcPr>
                <w:p w14:paraId="3007962F">
                  <w:pPr>
                    <w:pStyle w:val="219"/>
                    <w:adjustRightInd w:val="0"/>
                    <w:snapToGrid w:val="0"/>
                    <w:spacing w:line="240" w:lineRule="auto"/>
                    <w:ind w:firstLine="0" w:firstLineChars="0"/>
                    <w:jc w:val="center"/>
                    <w:rPr>
                      <w:rFonts w:eastAsiaTheme="minorEastAsia"/>
                      <w:color w:val="auto"/>
                      <w:szCs w:val="21"/>
                      <w:highlight w:val="none"/>
                    </w:rPr>
                  </w:pPr>
                  <w:r>
                    <w:rPr>
                      <w:rFonts w:hAnsiTheme="minorEastAsia" w:eastAsiaTheme="minorEastAsia"/>
                      <w:color w:val="auto"/>
                      <w:szCs w:val="21"/>
                      <w:highlight w:val="none"/>
                    </w:rPr>
                    <w:t>白色</w:t>
                  </w:r>
                </w:p>
              </w:tc>
            </w:tr>
          </w:tbl>
          <w:p w14:paraId="1CA9B6F5">
            <w:pPr>
              <w:pStyle w:val="219"/>
              <w:adjustRightInd w:val="0"/>
              <w:snapToGrid w:val="0"/>
              <w:spacing w:line="440" w:lineRule="exact"/>
              <w:ind w:firstLine="422"/>
              <w:jc w:val="center"/>
              <w:rPr>
                <w:rFonts w:eastAsiaTheme="minorEastAsia"/>
                <w:b/>
                <w:color w:val="auto"/>
                <w:szCs w:val="21"/>
              </w:rPr>
            </w:pPr>
            <w:r>
              <w:rPr>
                <w:rFonts w:hAnsiTheme="minorEastAsia" w:eastAsiaTheme="minorEastAsia"/>
                <w:b/>
                <w:color w:val="auto"/>
                <w:szCs w:val="21"/>
              </w:rPr>
              <w:t>表</w:t>
            </w:r>
            <w:r>
              <w:rPr>
                <w:rFonts w:hint="eastAsia" w:hAnsiTheme="minorEastAsia" w:eastAsiaTheme="minorEastAsia"/>
                <w:b/>
                <w:color w:val="auto"/>
                <w:szCs w:val="21"/>
                <w:lang w:val="en-US" w:eastAsia="zh-CN"/>
              </w:rPr>
              <w:t>5-2</w:t>
            </w:r>
            <w:r>
              <w:rPr>
                <w:b/>
                <w:bCs/>
                <w:color w:val="auto"/>
                <w:szCs w:val="21"/>
              </w:rPr>
              <w:t xml:space="preserve">        </w:t>
            </w:r>
            <w:r>
              <w:rPr>
                <w:rFonts w:hint="eastAsia"/>
                <w:b/>
                <w:bCs/>
                <w:color w:val="auto"/>
                <w:szCs w:val="21"/>
                <w:lang w:eastAsia="zh-CN"/>
              </w:rPr>
              <w:t>危险废物</w:t>
            </w:r>
            <w:r>
              <w:rPr>
                <w:rFonts w:hAnsiTheme="minorEastAsia" w:eastAsiaTheme="minorEastAsia"/>
                <w:b/>
                <w:color w:val="auto"/>
                <w:szCs w:val="21"/>
              </w:rPr>
              <w:t>环境保护标志一缆表</w:t>
            </w:r>
          </w:p>
          <w:tbl>
            <w:tblPr>
              <w:tblStyle w:val="34"/>
              <w:tblW w:w="76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2"/>
              <w:gridCol w:w="4621"/>
            </w:tblGrid>
            <w:tr w14:paraId="7DA7D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93" w:type="dxa"/>
                  <w:vAlign w:val="center"/>
                </w:tcPr>
                <w:p w14:paraId="59859C30">
                  <w:pPr>
                    <w:pStyle w:val="219"/>
                    <w:adjustRightInd w:val="0"/>
                    <w:snapToGrid w:val="0"/>
                    <w:spacing w:line="240" w:lineRule="auto"/>
                    <w:ind w:firstLine="0" w:firstLineChars="0"/>
                    <w:jc w:val="center"/>
                    <w:rPr>
                      <w:rFonts w:eastAsiaTheme="minorEastAsia"/>
                      <w:color w:val="auto"/>
                      <w:szCs w:val="21"/>
                    </w:rPr>
                  </w:pPr>
                  <w:r>
                    <w:rPr>
                      <w:rFonts w:hAnsiTheme="minorEastAsia" w:eastAsiaTheme="minorEastAsia"/>
                      <w:color w:val="auto"/>
                      <w:szCs w:val="21"/>
                    </w:rPr>
                    <w:t>排放口</w:t>
                  </w:r>
                </w:p>
              </w:tc>
              <w:tc>
                <w:tcPr>
                  <w:tcW w:w="1666" w:type="dxa"/>
                  <w:vAlign w:val="center"/>
                </w:tcPr>
                <w:p w14:paraId="67C5F1E9">
                  <w:pPr>
                    <w:pStyle w:val="219"/>
                    <w:adjustRightInd w:val="0"/>
                    <w:snapToGrid w:val="0"/>
                    <w:spacing w:line="240" w:lineRule="auto"/>
                    <w:ind w:firstLine="0" w:firstLineChars="0"/>
                    <w:jc w:val="center"/>
                    <w:rPr>
                      <w:rFonts w:hint="eastAsia" w:eastAsiaTheme="minorEastAsia"/>
                      <w:color w:val="auto"/>
                      <w:szCs w:val="21"/>
                      <w:lang w:eastAsia="zh-CN"/>
                    </w:rPr>
                  </w:pPr>
                  <w:r>
                    <w:rPr>
                      <w:rFonts w:hint="eastAsia" w:hAnsiTheme="minorEastAsia" w:eastAsiaTheme="minorEastAsia"/>
                      <w:color w:val="auto"/>
                      <w:szCs w:val="21"/>
                      <w:lang w:eastAsia="zh-CN"/>
                    </w:rPr>
                    <w:t>危险废物</w:t>
                  </w:r>
                </w:p>
              </w:tc>
            </w:tr>
            <w:tr w14:paraId="7025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93" w:type="dxa"/>
                  <w:vAlign w:val="center"/>
                </w:tcPr>
                <w:p w14:paraId="01D71988">
                  <w:pPr>
                    <w:pStyle w:val="219"/>
                    <w:adjustRightInd w:val="0"/>
                    <w:snapToGrid w:val="0"/>
                    <w:spacing w:line="240" w:lineRule="auto"/>
                    <w:ind w:firstLine="0" w:firstLineChars="0"/>
                    <w:jc w:val="center"/>
                    <w:rPr>
                      <w:rFonts w:eastAsiaTheme="minorEastAsia"/>
                      <w:color w:val="auto"/>
                      <w:szCs w:val="21"/>
                    </w:rPr>
                  </w:pPr>
                  <w:r>
                    <w:rPr>
                      <w:rFonts w:hAnsiTheme="minorEastAsia" w:eastAsiaTheme="minorEastAsia"/>
                      <w:color w:val="auto"/>
                      <w:szCs w:val="21"/>
                    </w:rPr>
                    <w:t>图形符号</w:t>
                  </w:r>
                </w:p>
              </w:tc>
              <w:tc>
                <w:tcPr>
                  <w:tcW w:w="1666" w:type="dxa"/>
                  <w:vAlign w:val="center"/>
                </w:tcPr>
                <w:p w14:paraId="447A480E">
                  <w:pPr>
                    <w:pStyle w:val="219"/>
                    <w:adjustRightInd w:val="0"/>
                    <w:snapToGrid w:val="0"/>
                    <w:spacing w:line="240" w:lineRule="auto"/>
                    <w:ind w:firstLine="0" w:firstLineChars="0"/>
                    <w:jc w:val="center"/>
                    <w:rPr>
                      <w:rFonts w:eastAsiaTheme="minorEastAsia"/>
                      <w:color w:val="auto"/>
                    </w:rPr>
                  </w:pPr>
                  <w:r>
                    <w:rPr>
                      <w:color w:val="auto"/>
                    </w:rPr>
                    <w:drawing>
                      <wp:inline distT="0" distB="0" distL="114300" distR="114300">
                        <wp:extent cx="916940" cy="810895"/>
                        <wp:effectExtent l="0" t="0" r="16510" b="825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7"/>
                                <a:stretch>
                                  <a:fillRect/>
                                </a:stretch>
                              </pic:blipFill>
                              <pic:spPr>
                                <a:xfrm>
                                  <a:off x="0" y="0"/>
                                  <a:ext cx="916940" cy="810895"/>
                                </a:xfrm>
                                <a:prstGeom prst="rect">
                                  <a:avLst/>
                                </a:prstGeom>
                                <a:noFill/>
                                <a:ln>
                                  <a:noFill/>
                                </a:ln>
                              </pic:spPr>
                            </pic:pic>
                          </a:graphicData>
                        </a:graphic>
                      </wp:inline>
                    </w:drawing>
                  </w:r>
                </w:p>
              </w:tc>
            </w:tr>
            <w:tr w14:paraId="244FC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93" w:type="dxa"/>
                  <w:vAlign w:val="center"/>
                </w:tcPr>
                <w:p w14:paraId="713FF4C2">
                  <w:pPr>
                    <w:pStyle w:val="219"/>
                    <w:adjustRightInd w:val="0"/>
                    <w:snapToGrid w:val="0"/>
                    <w:spacing w:line="240" w:lineRule="auto"/>
                    <w:ind w:firstLine="0" w:firstLineChars="0"/>
                    <w:jc w:val="center"/>
                    <w:rPr>
                      <w:rFonts w:eastAsiaTheme="minorEastAsia"/>
                      <w:color w:val="auto"/>
                      <w:szCs w:val="21"/>
                    </w:rPr>
                  </w:pPr>
                  <w:r>
                    <w:rPr>
                      <w:rFonts w:hAnsiTheme="minorEastAsia" w:eastAsiaTheme="minorEastAsia"/>
                      <w:color w:val="auto"/>
                      <w:szCs w:val="21"/>
                    </w:rPr>
                    <w:t>背景颜色</w:t>
                  </w:r>
                </w:p>
              </w:tc>
              <w:tc>
                <w:tcPr>
                  <w:tcW w:w="1666" w:type="dxa"/>
                  <w:vAlign w:val="center"/>
                </w:tcPr>
                <w:p w14:paraId="18BB870F">
                  <w:pPr>
                    <w:pStyle w:val="219"/>
                    <w:adjustRightInd w:val="0"/>
                    <w:snapToGrid w:val="0"/>
                    <w:spacing w:line="240" w:lineRule="auto"/>
                    <w:ind w:firstLine="0" w:firstLineChars="0"/>
                    <w:jc w:val="center"/>
                    <w:rPr>
                      <w:rFonts w:hint="eastAsia" w:eastAsiaTheme="minorEastAsia"/>
                      <w:color w:val="auto"/>
                      <w:szCs w:val="21"/>
                      <w:lang w:eastAsia="zh-CN"/>
                    </w:rPr>
                  </w:pPr>
                  <w:r>
                    <w:rPr>
                      <w:rFonts w:hint="eastAsia" w:hAnsiTheme="minorEastAsia" w:eastAsiaTheme="minorEastAsia"/>
                      <w:color w:val="auto"/>
                      <w:szCs w:val="21"/>
                      <w:lang w:eastAsia="zh-CN"/>
                    </w:rPr>
                    <w:t>黄色</w:t>
                  </w:r>
                </w:p>
              </w:tc>
            </w:tr>
            <w:tr w14:paraId="361D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93" w:type="dxa"/>
                  <w:vAlign w:val="center"/>
                </w:tcPr>
                <w:p w14:paraId="77DDCAEF">
                  <w:pPr>
                    <w:pStyle w:val="219"/>
                    <w:adjustRightInd w:val="0"/>
                    <w:snapToGrid w:val="0"/>
                    <w:spacing w:line="240" w:lineRule="auto"/>
                    <w:ind w:firstLine="0" w:firstLineChars="0"/>
                    <w:jc w:val="center"/>
                    <w:rPr>
                      <w:rFonts w:eastAsiaTheme="minorEastAsia"/>
                      <w:color w:val="auto"/>
                      <w:szCs w:val="21"/>
                    </w:rPr>
                  </w:pPr>
                  <w:r>
                    <w:rPr>
                      <w:rFonts w:hAnsiTheme="minorEastAsia" w:eastAsiaTheme="minorEastAsia"/>
                      <w:color w:val="auto"/>
                      <w:szCs w:val="21"/>
                    </w:rPr>
                    <w:t>图形颜色</w:t>
                  </w:r>
                </w:p>
              </w:tc>
              <w:tc>
                <w:tcPr>
                  <w:tcW w:w="1666" w:type="dxa"/>
                  <w:vAlign w:val="center"/>
                </w:tcPr>
                <w:p w14:paraId="4B5C1A83">
                  <w:pPr>
                    <w:pStyle w:val="219"/>
                    <w:adjustRightInd w:val="0"/>
                    <w:snapToGrid w:val="0"/>
                    <w:spacing w:line="240" w:lineRule="auto"/>
                    <w:ind w:firstLine="0" w:firstLineChars="0"/>
                    <w:jc w:val="center"/>
                    <w:rPr>
                      <w:rFonts w:hint="eastAsia" w:eastAsiaTheme="minorEastAsia"/>
                      <w:color w:val="auto"/>
                      <w:szCs w:val="21"/>
                      <w:lang w:eastAsia="zh-CN"/>
                    </w:rPr>
                  </w:pPr>
                  <w:r>
                    <w:rPr>
                      <w:rFonts w:hint="eastAsia" w:hAnsiTheme="minorEastAsia" w:eastAsiaTheme="minorEastAsia"/>
                      <w:color w:val="auto"/>
                      <w:szCs w:val="21"/>
                      <w:lang w:eastAsia="zh-CN"/>
                    </w:rPr>
                    <w:t>黑色</w:t>
                  </w:r>
                </w:p>
              </w:tc>
            </w:tr>
          </w:tbl>
          <w:p w14:paraId="22EAB84E">
            <w:pPr>
              <w:tabs>
                <w:tab w:val="left" w:pos="3390"/>
              </w:tabs>
              <w:topLinePunct/>
              <w:spacing w:line="500" w:lineRule="exact"/>
              <w:rPr>
                <w:rFonts w:eastAsiaTheme="minorEastAsia"/>
                <w:b/>
                <w:bCs/>
                <w:color w:val="auto"/>
                <w:sz w:val="28"/>
                <w:szCs w:val="28"/>
                <w:highlight w:val="none"/>
              </w:rPr>
            </w:pPr>
            <w:r>
              <w:rPr>
                <w:rFonts w:hint="eastAsia" w:eastAsiaTheme="minorEastAsia"/>
                <w:b/>
                <w:bCs/>
                <w:color w:val="auto"/>
                <w:sz w:val="24"/>
                <w:highlight w:val="none"/>
              </w:rPr>
              <w:t>3</w:t>
            </w:r>
            <w:r>
              <w:rPr>
                <w:rFonts w:hAnsiTheme="minorEastAsia" w:eastAsiaTheme="minorEastAsia"/>
                <w:b/>
                <w:bCs/>
                <w:color w:val="auto"/>
                <w:sz w:val="24"/>
                <w:highlight w:val="none"/>
              </w:rPr>
              <w:t>、环保投资</w:t>
            </w:r>
            <w:r>
              <w:rPr>
                <w:rFonts w:hint="eastAsia" w:hAnsiTheme="minorEastAsia" w:eastAsiaTheme="minorEastAsia"/>
                <w:b/>
                <w:bCs/>
                <w:color w:val="auto"/>
                <w:sz w:val="24"/>
                <w:highlight w:val="none"/>
              </w:rPr>
              <w:t>及“三同时”验收内容</w:t>
            </w:r>
          </w:p>
          <w:p w14:paraId="2B897BE1">
            <w:pPr>
              <w:tabs>
                <w:tab w:val="left" w:pos="3390"/>
              </w:tabs>
              <w:topLinePunct/>
              <w:spacing w:line="500" w:lineRule="exact"/>
              <w:ind w:firstLine="600" w:firstLineChars="250"/>
              <w:rPr>
                <w:color w:val="auto"/>
                <w:sz w:val="24"/>
                <w:highlight w:val="none"/>
              </w:rPr>
            </w:pPr>
            <w:r>
              <w:rPr>
                <w:rFonts w:hint="eastAsia"/>
                <w:color w:val="auto"/>
                <w:sz w:val="24"/>
                <w:highlight w:val="none"/>
              </w:rPr>
              <w:t>为了加强建设项目的环境管理，防止环境污染，减轻或防止环境质量下降，建设项目需执行“三同时”原则，即在项目建设过程中，环境污染防治设施应与主体工程同时设计、同时施工、同时投入使用。</w:t>
            </w:r>
          </w:p>
          <w:p w14:paraId="557E027A">
            <w:pPr>
              <w:tabs>
                <w:tab w:val="left" w:pos="3390"/>
              </w:tabs>
              <w:topLinePunct/>
              <w:spacing w:line="500" w:lineRule="exact"/>
              <w:ind w:firstLine="480" w:firstLineChars="200"/>
              <w:rPr>
                <w:color w:val="auto"/>
                <w:sz w:val="24"/>
                <w:highlight w:val="none"/>
              </w:rPr>
            </w:pPr>
            <w:r>
              <w:rPr>
                <w:color w:val="auto"/>
                <w:sz w:val="24"/>
                <w:highlight w:val="none"/>
              </w:rPr>
              <w:t>经统计估算，项目总投资为</w:t>
            </w:r>
            <w:r>
              <w:rPr>
                <w:rFonts w:hint="eastAsia"/>
                <w:color w:val="auto"/>
                <w:sz w:val="24"/>
                <w:highlight w:val="none"/>
                <w:lang w:val="en-US" w:eastAsia="zh-CN"/>
              </w:rPr>
              <w:t>200</w:t>
            </w:r>
            <w:r>
              <w:rPr>
                <w:color w:val="auto"/>
                <w:sz w:val="24"/>
                <w:highlight w:val="none"/>
              </w:rPr>
              <w:t>万元，环保投资为</w:t>
            </w:r>
            <w:r>
              <w:rPr>
                <w:rFonts w:hint="eastAsia"/>
                <w:color w:val="auto"/>
                <w:sz w:val="24"/>
                <w:highlight w:val="none"/>
                <w:lang w:val="en-US" w:eastAsia="zh-CN"/>
              </w:rPr>
              <w:t>33.5</w:t>
            </w:r>
            <w:r>
              <w:rPr>
                <w:color w:val="auto"/>
                <w:sz w:val="24"/>
                <w:highlight w:val="none"/>
              </w:rPr>
              <w:t>万元，占总投资的比例为</w:t>
            </w:r>
            <w:r>
              <w:rPr>
                <w:rFonts w:hint="eastAsia"/>
                <w:color w:val="auto"/>
                <w:sz w:val="24"/>
                <w:highlight w:val="none"/>
                <w:lang w:val="en-US" w:eastAsia="zh-CN"/>
              </w:rPr>
              <w:t>17</w:t>
            </w:r>
            <w:r>
              <w:rPr>
                <w:color w:val="auto"/>
                <w:sz w:val="24"/>
                <w:highlight w:val="none"/>
              </w:rPr>
              <w:t>%。建设项目环保设施投资见表</w:t>
            </w:r>
            <w:r>
              <w:rPr>
                <w:rFonts w:hint="eastAsia"/>
                <w:color w:val="auto"/>
                <w:sz w:val="24"/>
                <w:highlight w:val="none"/>
                <w:lang w:val="en-US" w:eastAsia="zh-CN"/>
              </w:rPr>
              <w:t>5-3</w:t>
            </w:r>
            <w:r>
              <w:rPr>
                <w:color w:val="auto"/>
                <w:sz w:val="24"/>
                <w:highlight w:val="none"/>
              </w:rPr>
              <w:t>。</w:t>
            </w:r>
          </w:p>
          <w:p w14:paraId="21992579">
            <w:pPr>
              <w:spacing w:line="400" w:lineRule="exact"/>
              <w:jc w:val="center"/>
              <w:rPr>
                <w:b/>
                <w:bCs/>
                <w:color w:val="auto"/>
                <w:highlight w:val="none"/>
              </w:rPr>
            </w:pPr>
            <w:r>
              <w:rPr>
                <w:b/>
                <w:bCs/>
                <w:color w:val="auto"/>
                <w:highlight w:val="none"/>
              </w:rPr>
              <w:t>表</w:t>
            </w:r>
            <w:r>
              <w:rPr>
                <w:rFonts w:hint="eastAsia"/>
                <w:b/>
                <w:bCs/>
                <w:color w:val="auto"/>
                <w:highlight w:val="none"/>
                <w:lang w:val="en-US" w:eastAsia="zh-CN"/>
              </w:rPr>
              <w:t>5-3</w:t>
            </w:r>
            <w:r>
              <w:rPr>
                <w:b/>
                <w:bCs/>
                <w:color w:val="auto"/>
                <w:szCs w:val="21"/>
                <w:highlight w:val="none"/>
              </w:rPr>
              <w:t xml:space="preserve">       </w:t>
            </w:r>
            <w:r>
              <w:rPr>
                <w:b/>
                <w:bCs/>
                <w:color w:val="auto"/>
                <w:highlight w:val="none"/>
              </w:rPr>
              <w:t>建设项目环保设施投资一览表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78"/>
              <w:gridCol w:w="867"/>
              <w:gridCol w:w="2528"/>
              <w:gridCol w:w="788"/>
              <w:gridCol w:w="2831"/>
            </w:tblGrid>
            <w:tr w14:paraId="1AB106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51" w:type="pct"/>
                  <w:gridSpan w:val="2"/>
                  <w:vAlign w:val="center"/>
                </w:tcPr>
                <w:p w14:paraId="2FAB6CE0">
                  <w:pPr>
                    <w:adjustRightInd w:val="0"/>
                    <w:snapToGrid w:val="0"/>
                    <w:spacing w:line="240" w:lineRule="atLeast"/>
                    <w:ind w:left="-63" w:leftChars="-30" w:right="-63" w:rightChars="-30"/>
                    <w:jc w:val="center"/>
                    <w:rPr>
                      <w:rFonts w:eastAsiaTheme="minorEastAsia"/>
                      <w:b/>
                      <w:bCs/>
                      <w:color w:val="auto"/>
                      <w:szCs w:val="21"/>
                      <w:highlight w:val="none"/>
                    </w:rPr>
                  </w:pPr>
                  <w:r>
                    <w:rPr>
                      <w:rFonts w:hAnsiTheme="minorEastAsia" w:eastAsiaTheme="minorEastAsia"/>
                      <w:b/>
                      <w:bCs/>
                      <w:color w:val="auto"/>
                      <w:szCs w:val="21"/>
                      <w:highlight w:val="none"/>
                    </w:rPr>
                    <w:t>治理项目</w:t>
                  </w:r>
                </w:p>
              </w:tc>
              <w:tc>
                <w:tcPr>
                  <w:tcW w:w="1664" w:type="pct"/>
                  <w:vAlign w:val="center"/>
                </w:tcPr>
                <w:p w14:paraId="58876E0E">
                  <w:pPr>
                    <w:adjustRightInd w:val="0"/>
                    <w:snapToGrid w:val="0"/>
                    <w:spacing w:line="240" w:lineRule="atLeast"/>
                    <w:ind w:left="-63" w:leftChars="-30" w:right="-63" w:rightChars="-30"/>
                    <w:jc w:val="center"/>
                    <w:rPr>
                      <w:rFonts w:eastAsiaTheme="minorEastAsia"/>
                      <w:b/>
                      <w:bCs/>
                      <w:color w:val="auto"/>
                      <w:szCs w:val="21"/>
                      <w:highlight w:val="none"/>
                    </w:rPr>
                  </w:pPr>
                  <w:r>
                    <w:rPr>
                      <w:rFonts w:hAnsiTheme="minorEastAsia" w:eastAsiaTheme="minorEastAsia"/>
                      <w:b/>
                      <w:bCs/>
                      <w:color w:val="auto"/>
                      <w:szCs w:val="21"/>
                      <w:highlight w:val="none"/>
                    </w:rPr>
                    <w:t>治理措施</w:t>
                  </w:r>
                </w:p>
              </w:tc>
              <w:tc>
                <w:tcPr>
                  <w:tcW w:w="518" w:type="pct"/>
                  <w:vAlign w:val="center"/>
                </w:tcPr>
                <w:p w14:paraId="0DC874DA">
                  <w:pPr>
                    <w:adjustRightInd w:val="0"/>
                    <w:snapToGrid w:val="0"/>
                    <w:spacing w:line="240" w:lineRule="atLeast"/>
                    <w:ind w:left="-63" w:leftChars="-30" w:right="-63" w:rightChars="-30"/>
                    <w:jc w:val="center"/>
                    <w:rPr>
                      <w:rFonts w:eastAsiaTheme="minorEastAsia"/>
                      <w:b/>
                      <w:bCs/>
                      <w:color w:val="auto"/>
                      <w:szCs w:val="21"/>
                      <w:highlight w:val="none"/>
                    </w:rPr>
                  </w:pPr>
                  <w:r>
                    <w:rPr>
                      <w:rFonts w:hint="eastAsia" w:hAnsiTheme="minorEastAsia" w:eastAsiaTheme="minorEastAsia"/>
                      <w:b/>
                      <w:bCs/>
                      <w:color w:val="auto"/>
                      <w:szCs w:val="21"/>
                      <w:highlight w:val="none"/>
                      <w:lang w:eastAsia="zh-CN"/>
                    </w:rPr>
                    <w:t>（</w:t>
                  </w:r>
                  <w:r>
                    <w:rPr>
                      <w:rFonts w:hAnsiTheme="minorEastAsia" w:eastAsiaTheme="minorEastAsia"/>
                      <w:b/>
                      <w:bCs/>
                      <w:color w:val="auto"/>
                      <w:szCs w:val="21"/>
                      <w:highlight w:val="none"/>
                    </w:rPr>
                    <w:t>资</w:t>
                  </w:r>
                  <w:r>
                    <w:rPr>
                      <w:rFonts w:eastAsiaTheme="minorEastAsia"/>
                      <w:b/>
                      <w:bCs/>
                      <w:color w:val="auto"/>
                      <w:szCs w:val="21"/>
                      <w:highlight w:val="none"/>
                    </w:rPr>
                    <w:t>(</w:t>
                  </w:r>
                  <w:r>
                    <w:rPr>
                      <w:rFonts w:hAnsiTheme="minorEastAsia" w:eastAsiaTheme="minorEastAsia"/>
                      <w:b/>
                      <w:bCs/>
                      <w:color w:val="auto"/>
                      <w:szCs w:val="21"/>
                      <w:highlight w:val="none"/>
                    </w:rPr>
                    <w:t>万元</w:t>
                  </w:r>
                  <w:r>
                    <w:rPr>
                      <w:rFonts w:eastAsiaTheme="minorEastAsia"/>
                      <w:b/>
                      <w:bCs/>
                      <w:color w:val="auto"/>
                      <w:szCs w:val="21"/>
                      <w:highlight w:val="none"/>
                    </w:rPr>
                    <w:t>)</w:t>
                  </w:r>
                </w:p>
              </w:tc>
              <w:tc>
                <w:tcPr>
                  <w:tcW w:w="1864" w:type="pct"/>
                  <w:vAlign w:val="center"/>
                </w:tcPr>
                <w:p w14:paraId="08864530">
                  <w:pPr>
                    <w:adjustRightInd w:val="0"/>
                    <w:snapToGrid w:val="0"/>
                    <w:spacing w:line="240" w:lineRule="atLeast"/>
                    <w:ind w:left="-63" w:leftChars="-30" w:right="-63" w:rightChars="-30"/>
                    <w:jc w:val="center"/>
                    <w:rPr>
                      <w:rFonts w:eastAsiaTheme="minorEastAsia"/>
                      <w:b/>
                      <w:bCs/>
                      <w:color w:val="auto"/>
                      <w:szCs w:val="21"/>
                      <w:highlight w:val="none"/>
                    </w:rPr>
                  </w:pPr>
                  <w:r>
                    <w:rPr>
                      <w:rFonts w:hAnsiTheme="minorEastAsia" w:eastAsiaTheme="minorEastAsia"/>
                      <w:b/>
                      <w:bCs/>
                      <w:color w:val="auto"/>
                      <w:szCs w:val="21"/>
                      <w:highlight w:val="none"/>
                    </w:rPr>
                    <w:t>验收标准</w:t>
                  </w:r>
                </w:p>
              </w:tc>
            </w:tr>
            <w:tr w14:paraId="1370B6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0" w:type="pct"/>
                  <w:vMerge w:val="restart"/>
                  <w:vAlign w:val="center"/>
                </w:tcPr>
                <w:p w14:paraId="610A13DE">
                  <w:pPr>
                    <w:tabs>
                      <w:tab w:val="left" w:pos="1560"/>
                    </w:tabs>
                    <w:topLinePunct/>
                    <w:adjustRightInd w:val="0"/>
                    <w:snapToGrid w:val="0"/>
                    <w:spacing w:line="240" w:lineRule="atLeast"/>
                    <w:ind w:left="-63" w:leftChars="-30" w:right="-63" w:rightChars="-30"/>
                    <w:jc w:val="center"/>
                    <w:rPr>
                      <w:rFonts w:eastAsiaTheme="minorEastAsia"/>
                      <w:color w:val="auto"/>
                      <w:szCs w:val="21"/>
                      <w:highlight w:val="none"/>
                    </w:rPr>
                  </w:pPr>
                  <w:r>
                    <w:rPr>
                      <w:rFonts w:hAnsiTheme="minorEastAsia" w:eastAsiaTheme="minorEastAsia"/>
                      <w:color w:val="auto"/>
                      <w:szCs w:val="21"/>
                      <w:highlight w:val="none"/>
                    </w:rPr>
                    <w:t>废气治理</w:t>
                  </w:r>
                </w:p>
              </w:tc>
              <w:tc>
                <w:tcPr>
                  <w:tcW w:w="570" w:type="pct"/>
                  <w:vAlign w:val="center"/>
                </w:tcPr>
                <w:p w14:paraId="4F1F7870">
                  <w:pPr>
                    <w:adjustRightInd w:val="0"/>
                    <w:snapToGrid w:val="0"/>
                    <w:spacing w:line="240" w:lineRule="atLeast"/>
                    <w:ind w:left="-63" w:leftChars="-30" w:right="-63" w:rightChars="-30"/>
                    <w:jc w:val="center"/>
                    <w:rPr>
                      <w:rFonts w:hint="eastAsia" w:hAnsiTheme="minorEastAsia" w:eastAsiaTheme="minorEastAsia"/>
                      <w:color w:val="auto"/>
                      <w:szCs w:val="21"/>
                      <w:highlight w:val="none"/>
                      <w:lang w:val="en-US" w:eastAsia="zh-CN"/>
                    </w:rPr>
                  </w:pPr>
                  <w:r>
                    <w:rPr>
                      <w:rFonts w:hint="eastAsia" w:hAnsiTheme="minorEastAsia" w:eastAsiaTheme="minorEastAsia"/>
                      <w:color w:val="auto"/>
                      <w:szCs w:val="21"/>
                      <w:highlight w:val="none"/>
                      <w:lang w:val="en-US" w:eastAsia="zh-CN"/>
                    </w:rPr>
                    <w:t>TSP</w:t>
                  </w:r>
                </w:p>
              </w:tc>
              <w:tc>
                <w:tcPr>
                  <w:tcW w:w="1664" w:type="pct"/>
                  <w:vAlign w:val="center"/>
                </w:tcPr>
                <w:p w14:paraId="5CC08708">
                  <w:pPr>
                    <w:tabs>
                      <w:tab w:val="left" w:pos="1560"/>
                    </w:tabs>
                    <w:topLinePunct/>
                    <w:adjustRightInd w:val="0"/>
                    <w:snapToGrid w:val="0"/>
                    <w:spacing w:line="240" w:lineRule="atLeast"/>
                    <w:ind w:left="-63" w:leftChars="-30" w:right="-63" w:rightChars="-30"/>
                    <w:jc w:val="center"/>
                    <w:rPr>
                      <w:rFonts w:hint="default" w:eastAsiaTheme="minorEastAsia"/>
                      <w:color w:val="auto"/>
                      <w:szCs w:val="21"/>
                      <w:highlight w:val="none"/>
                      <w:lang w:val="en-US" w:eastAsia="zh-CN"/>
                    </w:rPr>
                  </w:pPr>
                  <w:r>
                    <w:rPr>
                      <w:rFonts w:hint="eastAsia" w:eastAsiaTheme="minorEastAsia"/>
                      <w:color w:val="auto"/>
                      <w:szCs w:val="21"/>
                      <w:highlight w:val="none"/>
                      <w:lang w:val="en-US" w:eastAsia="zh-CN"/>
                    </w:rPr>
                    <w:t>集气罩+布袋除尘设备+排气筒</w:t>
                  </w:r>
                </w:p>
              </w:tc>
              <w:tc>
                <w:tcPr>
                  <w:tcW w:w="518" w:type="pct"/>
                  <w:vAlign w:val="center"/>
                </w:tcPr>
                <w:p w14:paraId="070BB6DD">
                  <w:pPr>
                    <w:tabs>
                      <w:tab w:val="left" w:pos="1560"/>
                    </w:tabs>
                    <w:topLinePunct/>
                    <w:adjustRightInd w:val="0"/>
                    <w:snapToGrid w:val="0"/>
                    <w:spacing w:line="240" w:lineRule="atLeast"/>
                    <w:ind w:left="-63" w:leftChars="-30" w:right="-63" w:rightChars="-30"/>
                    <w:jc w:val="center"/>
                    <w:rPr>
                      <w:rFonts w:hint="default" w:eastAsiaTheme="minorEastAsia"/>
                      <w:color w:val="auto"/>
                      <w:szCs w:val="21"/>
                      <w:highlight w:val="none"/>
                      <w:lang w:val="en-US" w:eastAsia="zh-CN"/>
                    </w:rPr>
                  </w:pPr>
                  <w:r>
                    <w:rPr>
                      <w:rFonts w:hint="eastAsia" w:eastAsiaTheme="minorEastAsia"/>
                      <w:color w:val="auto"/>
                      <w:szCs w:val="21"/>
                      <w:highlight w:val="none"/>
                      <w:lang w:val="en-US" w:eastAsia="zh-CN"/>
                    </w:rPr>
                    <w:t>6</w:t>
                  </w:r>
                </w:p>
              </w:tc>
              <w:tc>
                <w:tcPr>
                  <w:tcW w:w="1864" w:type="pct"/>
                  <w:vAlign w:val="center"/>
                </w:tcPr>
                <w:p w14:paraId="0DCCC77D">
                  <w:pPr>
                    <w:tabs>
                      <w:tab w:val="left" w:pos="1560"/>
                    </w:tabs>
                    <w:topLinePunct/>
                    <w:adjustRightInd w:val="0"/>
                    <w:snapToGrid w:val="0"/>
                    <w:spacing w:line="240" w:lineRule="atLeast"/>
                    <w:ind w:left="-63" w:leftChars="-30" w:right="-63" w:rightChars="-30"/>
                    <w:jc w:val="center"/>
                    <w:rPr>
                      <w:rFonts w:hint="eastAsia" w:ascii="Times New Roman" w:cs="Times New Roman" w:hAnsiTheme="minorEastAsia" w:eastAsiaTheme="minorEastAsia"/>
                      <w:color w:val="auto"/>
                      <w:szCs w:val="21"/>
                      <w:highlight w:val="none"/>
                      <w:lang w:val="en-US" w:eastAsia="zh-CN"/>
                    </w:rPr>
                  </w:pPr>
                  <w:r>
                    <w:rPr>
                      <w:rFonts w:hint="eastAsia" w:ascii="Times New Roman" w:cs="Times New Roman" w:hAnsiTheme="minorEastAsia" w:eastAsiaTheme="minorEastAsia"/>
                      <w:color w:val="auto"/>
                      <w:szCs w:val="21"/>
                      <w:highlight w:val="none"/>
                      <w:lang w:val="en-US" w:eastAsia="zh-CN"/>
                    </w:rPr>
                    <w:t>有组织采用</w:t>
                  </w:r>
                  <w:r>
                    <w:rPr>
                      <w:rFonts w:hint="eastAsia" w:ascii="Times New Roman" w:cs="Times New Roman" w:hAnsiTheme="minorEastAsia" w:eastAsiaTheme="minorEastAsia"/>
                      <w:color w:val="auto"/>
                      <w:szCs w:val="21"/>
                      <w:highlight w:val="none"/>
                      <w:lang w:eastAsia="zh-CN"/>
                    </w:rPr>
                    <w:t>《合成树脂工业污染物排放标准》（GB31572-2015，含2024年修改单）</w:t>
                  </w:r>
                  <w:r>
                    <w:rPr>
                      <w:rFonts w:hint="eastAsia" w:ascii="Times New Roman" w:cs="Times New Roman" w:hAnsiTheme="minorEastAsia" w:eastAsiaTheme="minorEastAsia"/>
                      <w:color w:val="auto"/>
                      <w:szCs w:val="21"/>
                      <w:highlight w:val="none"/>
                      <w:lang w:val="en-US" w:eastAsia="zh-CN"/>
                    </w:rPr>
                    <w:t>表4排放限值；</w:t>
                  </w:r>
                </w:p>
                <w:p w14:paraId="03619DDC">
                  <w:pPr>
                    <w:tabs>
                      <w:tab w:val="left" w:pos="1560"/>
                    </w:tabs>
                    <w:topLinePunct/>
                    <w:adjustRightInd w:val="0"/>
                    <w:snapToGrid w:val="0"/>
                    <w:spacing w:line="240" w:lineRule="atLeast"/>
                    <w:ind w:left="-63" w:leftChars="-30" w:right="-63" w:rightChars="-30"/>
                    <w:jc w:val="center"/>
                    <w:rPr>
                      <w:rFonts w:hint="eastAsia" w:ascii="Times New Roman" w:cs="Times New Roman" w:hAnsiTheme="minorEastAsia" w:eastAsiaTheme="minorEastAsia"/>
                      <w:color w:val="auto"/>
                      <w:szCs w:val="21"/>
                      <w:highlight w:val="none"/>
                      <w:lang w:eastAsia="zh-CN"/>
                    </w:rPr>
                  </w:pPr>
                  <w:r>
                    <w:rPr>
                      <w:rFonts w:hint="eastAsia" w:ascii="Times New Roman" w:cs="Times New Roman" w:hAnsiTheme="minorEastAsia" w:eastAsiaTheme="minorEastAsia"/>
                      <w:color w:val="auto"/>
                      <w:szCs w:val="21"/>
                      <w:highlight w:val="none"/>
                      <w:lang w:val="en-US" w:eastAsia="zh-CN"/>
                    </w:rPr>
                    <w:t>无组织采用</w:t>
                  </w:r>
                  <w:r>
                    <w:rPr>
                      <w:rFonts w:hint="eastAsia" w:ascii="Times New Roman" w:cs="Times New Roman" w:hAnsiTheme="minorEastAsia" w:eastAsiaTheme="minorEastAsia"/>
                      <w:color w:val="auto"/>
                      <w:szCs w:val="21"/>
                      <w:highlight w:val="none"/>
                      <w:lang w:eastAsia="zh-CN"/>
                    </w:rPr>
                    <w:t>《合成树脂工业污染物排放标准》（GB31572-2015，含2024年修改单）</w:t>
                  </w:r>
                  <w:r>
                    <w:rPr>
                      <w:rFonts w:hint="eastAsia" w:ascii="Times New Roman" w:cs="Times New Roman" w:hAnsiTheme="minorEastAsia" w:eastAsiaTheme="minorEastAsia"/>
                      <w:color w:val="auto"/>
                      <w:szCs w:val="21"/>
                      <w:highlight w:val="none"/>
                      <w:lang w:val="en-US" w:eastAsia="zh-CN"/>
                    </w:rPr>
                    <w:t>表9企业边界限值要求</w:t>
                  </w:r>
                </w:p>
              </w:tc>
            </w:tr>
            <w:tr w14:paraId="1D9FB5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0" w:type="pct"/>
                  <w:vMerge w:val="continue"/>
                  <w:vAlign w:val="center"/>
                </w:tcPr>
                <w:p w14:paraId="4899CB61">
                  <w:pPr>
                    <w:tabs>
                      <w:tab w:val="left" w:pos="1560"/>
                    </w:tabs>
                    <w:topLinePunct/>
                    <w:adjustRightInd w:val="0"/>
                    <w:snapToGrid w:val="0"/>
                    <w:spacing w:line="240" w:lineRule="atLeast"/>
                    <w:ind w:left="-63" w:leftChars="-30" w:right="-63" w:rightChars="-30"/>
                    <w:jc w:val="center"/>
                    <w:rPr>
                      <w:rFonts w:eastAsiaTheme="minorEastAsia"/>
                      <w:color w:val="auto"/>
                      <w:szCs w:val="21"/>
                      <w:highlight w:val="none"/>
                    </w:rPr>
                  </w:pPr>
                </w:p>
              </w:tc>
              <w:tc>
                <w:tcPr>
                  <w:tcW w:w="570" w:type="pct"/>
                  <w:vAlign w:val="center"/>
                </w:tcPr>
                <w:p w14:paraId="6B00B2AE">
                  <w:pPr>
                    <w:adjustRightInd w:val="0"/>
                    <w:snapToGrid w:val="0"/>
                    <w:spacing w:line="240" w:lineRule="atLeast"/>
                    <w:ind w:left="-63" w:leftChars="-30" w:right="-63" w:rightChars="-30"/>
                    <w:jc w:val="center"/>
                    <w:rPr>
                      <w:rFonts w:hAnsiTheme="minorEastAsia" w:eastAsiaTheme="minorEastAsia"/>
                      <w:color w:val="auto"/>
                      <w:szCs w:val="21"/>
                      <w:highlight w:val="none"/>
                    </w:rPr>
                  </w:pPr>
                  <w:r>
                    <w:rPr>
                      <w:rFonts w:hint="eastAsia" w:hAnsiTheme="minorEastAsia" w:eastAsiaTheme="minorEastAsia"/>
                      <w:color w:val="auto"/>
                      <w:szCs w:val="21"/>
                      <w:highlight w:val="none"/>
                    </w:rPr>
                    <w:t>非甲烷总烃</w:t>
                  </w:r>
                </w:p>
              </w:tc>
              <w:tc>
                <w:tcPr>
                  <w:tcW w:w="1664" w:type="pct"/>
                  <w:vAlign w:val="center"/>
                </w:tcPr>
                <w:p w14:paraId="39980BB5">
                  <w:pPr>
                    <w:tabs>
                      <w:tab w:val="left" w:pos="1560"/>
                    </w:tabs>
                    <w:topLinePunct/>
                    <w:adjustRightInd w:val="0"/>
                    <w:snapToGrid w:val="0"/>
                    <w:spacing w:line="240" w:lineRule="atLeast"/>
                    <w:ind w:left="-63" w:leftChars="-30" w:right="-63" w:rightChars="-30"/>
                    <w:jc w:val="center"/>
                    <w:rPr>
                      <w:rFonts w:eastAsiaTheme="minorEastAsia"/>
                      <w:color w:val="auto"/>
                      <w:szCs w:val="21"/>
                      <w:highlight w:val="none"/>
                    </w:rPr>
                  </w:pPr>
                  <w:r>
                    <w:rPr>
                      <w:rFonts w:hint="eastAsia" w:eastAsiaTheme="minorEastAsia"/>
                      <w:color w:val="auto"/>
                      <w:szCs w:val="21"/>
                      <w:highlight w:val="none"/>
                    </w:rPr>
                    <w:t>集气罩+</w:t>
                  </w:r>
                  <w:r>
                    <w:rPr>
                      <w:rFonts w:hint="eastAsia"/>
                      <w:color w:val="auto"/>
                    </w:rPr>
                    <w:t>活性炭附-脱附-催化燃烧</w:t>
                  </w:r>
                  <w:r>
                    <w:rPr>
                      <w:rFonts w:hint="eastAsia" w:eastAsiaTheme="minorEastAsia"/>
                      <w:color w:val="auto"/>
                      <w:szCs w:val="21"/>
                      <w:highlight w:val="none"/>
                    </w:rPr>
                    <w:t>设备+15m高排气筒。</w:t>
                  </w:r>
                </w:p>
              </w:tc>
              <w:tc>
                <w:tcPr>
                  <w:tcW w:w="518" w:type="pct"/>
                  <w:vAlign w:val="center"/>
                </w:tcPr>
                <w:p w14:paraId="52B0BDBD">
                  <w:pPr>
                    <w:tabs>
                      <w:tab w:val="left" w:pos="1560"/>
                    </w:tabs>
                    <w:topLinePunct/>
                    <w:adjustRightInd w:val="0"/>
                    <w:snapToGrid w:val="0"/>
                    <w:spacing w:line="240" w:lineRule="atLeast"/>
                    <w:ind w:left="-63" w:leftChars="-30" w:right="-63" w:rightChars="-30"/>
                    <w:jc w:val="center"/>
                    <w:rPr>
                      <w:rFonts w:hint="default" w:eastAsiaTheme="minorEastAsia"/>
                      <w:color w:val="auto"/>
                      <w:szCs w:val="21"/>
                      <w:highlight w:val="none"/>
                      <w:lang w:val="en-US" w:eastAsia="zh-CN"/>
                    </w:rPr>
                  </w:pPr>
                  <w:r>
                    <w:rPr>
                      <w:rFonts w:hint="eastAsia" w:eastAsiaTheme="minorEastAsia"/>
                      <w:color w:val="auto"/>
                      <w:szCs w:val="21"/>
                      <w:highlight w:val="none"/>
                      <w:lang w:val="en-US" w:eastAsia="zh-CN"/>
                    </w:rPr>
                    <w:t>20</w:t>
                  </w:r>
                </w:p>
              </w:tc>
              <w:tc>
                <w:tcPr>
                  <w:tcW w:w="1864" w:type="pct"/>
                  <w:vAlign w:val="center"/>
                </w:tcPr>
                <w:p w14:paraId="03E2E683">
                  <w:pPr>
                    <w:tabs>
                      <w:tab w:val="left" w:pos="1560"/>
                    </w:tabs>
                    <w:topLinePunct/>
                    <w:adjustRightInd w:val="0"/>
                    <w:snapToGrid w:val="0"/>
                    <w:spacing w:line="240" w:lineRule="atLeast"/>
                    <w:ind w:left="-63" w:leftChars="-30" w:right="-63" w:rightChars="-30"/>
                    <w:jc w:val="center"/>
                    <w:rPr>
                      <w:rFonts w:hint="eastAsia" w:hAnsiTheme="minorEastAsia" w:eastAsiaTheme="minorEastAsia"/>
                      <w:color w:val="auto"/>
                      <w:szCs w:val="21"/>
                      <w:highlight w:val="none"/>
                      <w:lang w:eastAsia="zh-CN"/>
                    </w:rPr>
                  </w:pPr>
                  <w:r>
                    <w:rPr>
                      <w:rFonts w:hint="eastAsia" w:hAnsiTheme="minorEastAsia" w:eastAsiaTheme="minorEastAsia"/>
                      <w:color w:val="auto"/>
                      <w:szCs w:val="21"/>
                      <w:highlight w:val="none"/>
                      <w:lang w:eastAsia="zh-CN"/>
                    </w:rPr>
                    <w:t>《合成树脂工业污染物排放标准》（GB31572-2015，含2024年修改单）</w:t>
                  </w:r>
                  <w:r>
                    <w:rPr>
                      <w:rFonts w:hint="eastAsia" w:hAnsiTheme="minorEastAsia" w:eastAsiaTheme="minorEastAsia"/>
                      <w:color w:val="auto"/>
                      <w:szCs w:val="21"/>
                      <w:highlight w:val="none"/>
                    </w:rPr>
                    <w:t>及《挥发性有机物无组织排放控制标准》</w:t>
                  </w:r>
                  <w:r>
                    <w:rPr>
                      <w:rFonts w:hint="eastAsia" w:hAnsiTheme="minorEastAsia" w:eastAsiaTheme="minorEastAsia"/>
                      <w:color w:val="auto"/>
                      <w:szCs w:val="21"/>
                      <w:highlight w:val="none"/>
                      <w:lang w:eastAsia="zh-CN"/>
                    </w:rPr>
                    <w:t>（</w:t>
                  </w:r>
                  <w:r>
                    <w:rPr>
                      <w:rFonts w:hint="eastAsia" w:hAnsiTheme="minorEastAsia" w:eastAsiaTheme="minorEastAsia"/>
                      <w:color w:val="auto"/>
                      <w:szCs w:val="21"/>
                      <w:highlight w:val="none"/>
                    </w:rPr>
                    <w:t>GB37822-2019</w:t>
                  </w:r>
                  <w:r>
                    <w:rPr>
                      <w:rFonts w:hint="eastAsia" w:hAnsiTheme="minorEastAsia" w:eastAsiaTheme="minorEastAsia"/>
                      <w:color w:val="auto"/>
                      <w:szCs w:val="21"/>
                      <w:highlight w:val="none"/>
                      <w:lang w:eastAsia="zh-CN"/>
                    </w:rPr>
                    <w:t>）</w:t>
                  </w:r>
                  <w:r>
                    <w:rPr>
                      <w:rFonts w:hint="eastAsia" w:hAnsiTheme="minorEastAsia" w:eastAsiaTheme="minorEastAsia"/>
                      <w:color w:val="auto"/>
                      <w:szCs w:val="21"/>
                      <w:highlight w:val="none"/>
                    </w:rPr>
                    <w:t>中厂区内非甲烷总烃无组织排放限值。</w:t>
                  </w:r>
                </w:p>
              </w:tc>
            </w:tr>
            <w:tr w14:paraId="36D510C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0" w:type="pct"/>
                  <w:vAlign w:val="center"/>
                </w:tcPr>
                <w:p w14:paraId="1B70C61C">
                  <w:pPr>
                    <w:tabs>
                      <w:tab w:val="left" w:pos="1560"/>
                    </w:tabs>
                    <w:topLinePunct/>
                    <w:adjustRightInd w:val="0"/>
                    <w:snapToGrid w:val="0"/>
                    <w:spacing w:line="240" w:lineRule="atLeast"/>
                    <w:ind w:left="-63" w:leftChars="-30" w:right="-63" w:rightChars="-30"/>
                    <w:jc w:val="center"/>
                    <w:rPr>
                      <w:rFonts w:eastAsiaTheme="minorEastAsia"/>
                      <w:color w:val="auto"/>
                      <w:szCs w:val="21"/>
                      <w:highlight w:val="none"/>
                    </w:rPr>
                  </w:pPr>
                  <w:r>
                    <w:rPr>
                      <w:rFonts w:hint="eastAsia" w:hAnsiTheme="minorEastAsia" w:eastAsiaTheme="minorEastAsia"/>
                      <w:color w:val="auto"/>
                      <w:szCs w:val="21"/>
                      <w:highlight w:val="none"/>
                    </w:rPr>
                    <w:t>废</w:t>
                  </w:r>
                  <w:r>
                    <w:rPr>
                      <w:rFonts w:hAnsiTheme="minorEastAsia" w:eastAsiaTheme="minorEastAsia"/>
                      <w:color w:val="auto"/>
                      <w:szCs w:val="21"/>
                      <w:highlight w:val="none"/>
                    </w:rPr>
                    <w:t>水治理</w:t>
                  </w:r>
                </w:p>
              </w:tc>
              <w:tc>
                <w:tcPr>
                  <w:tcW w:w="570" w:type="pct"/>
                  <w:vAlign w:val="center"/>
                </w:tcPr>
                <w:p w14:paraId="73CF228E">
                  <w:pPr>
                    <w:adjustRightInd w:val="0"/>
                    <w:snapToGrid w:val="0"/>
                    <w:spacing w:line="240" w:lineRule="atLeast"/>
                    <w:ind w:left="-63" w:leftChars="-30" w:right="-63" w:rightChars="-30"/>
                    <w:jc w:val="center"/>
                    <w:rPr>
                      <w:rFonts w:eastAsiaTheme="minorEastAsia"/>
                      <w:color w:val="auto"/>
                      <w:szCs w:val="21"/>
                      <w:highlight w:val="none"/>
                    </w:rPr>
                  </w:pPr>
                  <w:r>
                    <w:rPr>
                      <w:rFonts w:hAnsiTheme="minorEastAsia" w:eastAsiaTheme="minorEastAsia"/>
                      <w:color w:val="auto"/>
                      <w:szCs w:val="21"/>
                      <w:highlight w:val="none"/>
                    </w:rPr>
                    <w:t>生活</w:t>
                  </w:r>
                </w:p>
                <w:p w14:paraId="52045CE1">
                  <w:pPr>
                    <w:adjustRightInd w:val="0"/>
                    <w:snapToGrid w:val="0"/>
                    <w:spacing w:line="240" w:lineRule="atLeast"/>
                    <w:ind w:left="-63" w:leftChars="-30" w:right="-63" w:rightChars="-30"/>
                    <w:jc w:val="center"/>
                    <w:rPr>
                      <w:rFonts w:eastAsiaTheme="minorEastAsia"/>
                      <w:color w:val="auto"/>
                      <w:szCs w:val="21"/>
                      <w:highlight w:val="none"/>
                    </w:rPr>
                  </w:pPr>
                  <w:r>
                    <w:rPr>
                      <w:rFonts w:hAnsiTheme="minorEastAsia" w:eastAsiaTheme="minorEastAsia"/>
                      <w:color w:val="auto"/>
                      <w:szCs w:val="21"/>
                      <w:highlight w:val="none"/>
                    </w:rPr>
                    <w:t>污水</w:t>
                  </w:r>
                </w:p>
              </w:tc>
              <w:tc>
                <w:tcPr>
                  <w:tcW w:w="1664" w:type="pct"/>
                  <w:vAlign w:val="center"/>
                </w:tcPr>
                <w:p w14:paraId="1E703EC8">
                  <w:pPr>
                    <w:tabs>
                      <w:tab w:val="left" w:pos="1560"/>
                    </w:tabs>
                    <w:topLinePunct/>
                    <w:adjustRightInd w:val="0"/>
                    <w:snapToGrid w:val="0"/>
                    <w:spacing w:line="240" w:lineRule="atLeast"/>
                    <w:ind w:left="-63" w:leftChars="-30" w:right="-63" w:rightChars="-30"/>
                    <w:rPr>
                      <w:rFonts w:eastAsiaTheme="minorEastAsia"/>
                      <w:color w:val="auto"/>
                      <w:szCs w:val="21"/>
                      <w:highlight w:val="none"/>
                    </w:rPr>
                  </w:pPr>
                  <w:r>
                    <w:rPr>
                      <w:rFonts w:hint="eastAsia" w:eastAsiaTheme="minorEastAsia"/>
                      <w:color w:val="auto"/>
                      <w:szCs w:val="21"/>
                      <w:highlight w:val="none"/>
                    </w:rPr>
                    <w:t>生活污水排入污水管网，最终进入</w:t>
                  </w:r>
                  <w:r>
                    <w:rPr>
                      <w:rFonts w:hint="eastAsia" w:eastAsiaTheme="minorEastAsia"/>
                      <w:color w:val="auto"/>
                      <w:szCs w:val="21"/>
                      <w:highlight w:val="none"/>
                      <w:lang w:val="en-US" w:eastAsia="zh-CN"/>
                    </w:rPr>
                    <w:t>和静</w:t>
                  </w:r>
                  <w:r>
                    <w:rPr>
                      <w:rFonts w:hint="eastAsia" w:eastAsiaTheme="minorEastAsia"/>
                      <w:color w:val="auto"/>
                      <w:szCs w:val="21"/>
                      <w:highlight w:val="none"/>
                    </w:rPr>
                    <w:t>县城</w:t>
                  </w:r>
                  <w:r>
                    <w:rPr>
                      <w:rFonts w:hint="eastAsia" w:eastAsiaTheme="minorEastAsia"/>
                      <w:color w:val="auto"/>
                      <w:szCs w:val="21"/>
                      <w:highlight w:val="none"/>
                      <w:lang w:val="en-US" w:eastAsia="zh-CN"/>
                    </w:rPr>
                    <w:t>镇</w:t>
                  </w:r>
                  <w:r>
                    <w:rPr>
                      <w:rFonts w:hint="eastAsia" w:eastAsiaTheme="minorEastAsia"/>
                      <w:color w:val="auto"/>
                      <w:szCs w:val="21"/>
                      <w:highlight w:val="none"/>
                    </w:rPr>
                    <w:t>污水处理厂。</w:t>
                  </w:r>
                </w:p>
              </w:tc>
              <w:tc>
                <w:tcPr>
                  <w:tcW w:w="518" w:type="pct"/>
                  <w:vAlign w:val="center"/>
                </w:tcPr>
                <w:p w14:paraId="3A586E5A">
                  <w:pPr>
                    <w:tabs>
                      <w:tab w:val="left" w:pos="1560"/>
                    </w:tabs>
                    <w:topLinePunct/>
                    <w:adjustRightInd w:val="0"/>
                    <w:snapToGrid w:val="0"/>
                    <w:spacing w:line="240" w:lineRule="atLeast"/>
                    <w:ind w:left="-63" w:leftChars="-30" w:right="-63" w:rightChars="-30"/>
                    <w:jc w:val="center"/>
                    <w:rPr>
                      <w:rFonts w:hint="default" w:eastAsiaTheme="minorEastAsia"/>
                      <w:color w:val="auto"/>
                      <w:szCs w:val="21"/>
                      <w:highlight w:val="none"/>
                      <w:lang w:val="en-US" w:eastAsia="zh-CN"/>
                    </w:rPr>
                  </w:pPr>
                  <w:r>
                    <w:rPr>
                      <w:rFonts w:hint="eastAsia" w:eastAsiaTheme="minorEastAsia"/>
                      <w:color w:val="auto"/>
                      <w:szCs w:val="21"/>
                      <w:highlight w:val="none"/>
                      <w:lang w:val="en-US" w:eastAsia="zh-CN"/>
                    </w:rPr>
                    <w:t>0.5</w:t>
                  </w:r>
                </w:p>
              </w:tc>
              <w:tc>
                <w:tcPr>
                  <w:tcW w:w="1864" w:type="pct"/>
                  <w:vAlign w:val="center"/>
                </w:tcPr>
                <w:p w14:paraId="3B503A16">
                  <w:pPr>
                    <w:tabs>
                      <w:tab w:val="left" w:pos="1560"/>
                    </w:tabs>
                    <w:topLinePunct/>
                    <w:adjustRightInd w:val="0"/>
                    <w:snapToGrid w:val="0"/>
                    <w:spacing w:line="240" w:lineRule="atLeast"/>
                    <w:ind w:left="-63" w:leftChars="-30" w:right="-63" w:rightChars="-30"/>
                    <w:jc w:val="center"/>
                    <w:rPr>
                      <w:rFonts w:eastAsiaTheme="minorEastAsia"/>
                      <w:color w:val="auto"/>
                      <w:szCs w:val="21"/>
                      <w:highlight w:val="none"/>
                    </w:rPr>
                  </w:pPr>
                  <w:r>
                    <w:rPr>
                      <w:rFonts w:hAnsiTheme="minorEastAsia" w:eastAsiaTheme="minorEastAsia"/>
                      <w:color w:val="auto"/>
                      <w:szCs w:val="21"/>
                      <w:highlight w:val="none"/>
                    </w:rPr>
                    <w:t>满足</w:t>
                  </w:r>
                  <w:r>
                    <w:rPr>
                      <w:rFonts w:hint="eastAsia" w:hAnsiTheme="minorEastAsia"/>
                      <w:color w:val="auto"/>
                      <w:szCs w:val="21"/>
                      <w:highlight w:val="none"/>
                    </w:rPr>
                    <w:t>《污水综合排放标准》</w:t>
                  </w:r>
                  <w:r>
                    <w:rPr>
                      <w:rFonts w:hint="eastAsia" w:hAnsiTheme="minorEastAsia"/>
                      <w:color w:val="auto"/>
                      <w:szCs w:val="21"/>
                      <w:highlight w:val="none"/>
                      <w:lang w:eastAsia="zh-CN"/>
                    </w:rPr>
                    <w:t>（</w:t>
                  </w:r>
                  <w:r>
                    <w:rPr>
                      <w:rFonts w:hint="eastAsia" w:hAnsiTheme="minorEastAsia"/>
                      <w:color w:val="auto"/>
                      <w:szCs w:val="21"/>
                      <w:highlight w:val="none"/>
                    </w:rPr>
                    <w:t>GB8978-1996</w:t>
                  </w:r>
                  <w:r>
                    <w:rPr>
                      <w:rFonts w:hint="eastAsia" w:hAnsiTheme="minorEastAsia"/>
                      <w:color w:val="auto"/>
                      <w:szCs w:val="21"/>
                      <w:highlight w:val="none"/>
                      <w:lang w:eastAsia="zh-CN"/>
                    </w:rPr>
                    <w:t>）</w:t>
                  </w:r>
                  <w:r>
                    <w:rPr>
                      <w:rFonts w:hint="eastAsia" w:hAnsiTheme="minorEastAsia"/>
                      <w:color w:val="auto"/>
                      <w:szCs w:val="21"/>
                      <w:highlight w:val="none"/>
                    </w:rPr>
                    <w:t>表4中的三级标准</w:t>
                  </w:r>
                </w:p>
              </w:tc>
            </w:tr>
            <w:tr w14:paraId="34BE33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0" w:type="pct"/>
                  <w:vMerge w:val="restart"/>
                  <w:vAlign w:val="center"/>
                </w:tcPr>
                <w:p w14:paraId="503D921D">
                  <w:pPr>
                    <w:tabs>
                      <w:tab w:val="left" w:pos="1560"/>
                    </w:tabs>
                    <w:topLinePunct/>
                    <w:adjustRightInd w:val="0"/>
                    <w:snapToGrid w:val="0"/>
                    <w:spacing w:line="240" w:lineRule="atLeast"/>
                    <w:ind w:left="-63" w:leftChars="-30" w:right="-63" w:rightChars="-30"/>
                    <w:jc w:val="center"/>
                    <w:rPr>
                      <w:rFonts w:eastAsiaTheme="minorEastAsia"/>
                      <w:color w:val="auto"/>
                      <w:szCs w:val="21"/>
                      <w:highlight w:val="none"/>
                    </w:rPr>
                  </w:pPr>
                  <w:r>
                    <w:rPr>
                      <w:rFonts w:hAnsiTheme="minorEastAsia" w:eastAsiaTheme="minorEastAsia"/>
                      <w:color w:val="auto"/>
                      <w:szCs w:val="21"/>
                      <w:highlight w:val="none"/>
                    </w:rPr>
                    <w:t>固废治理</w:t>
                  </w:r>
                </w:p>
              </w:tc>
              <w:tc>
                <w:tcPr>
                  <w:tcW w:w="570" w:type="pct"/>
                  <w:vAlign w:val="center"/>
                </w:tcPr>
                <w:p w14:paraId="5C26BB94">
                  <w:pPr>
                    <w:adjustRightInd w:val="0"/>
                    <w:snapToGrid w:val="0"/>
                    <w:spacing w:line="240" w:lineRule="atLeast"/>
                    <w:ind w:left="-63" w:leftChars="-30" w:right="-63" w:rightChars="-30"/>
                    <w:jc w:val="center"/>
                    <w:rPr>
                      <w:rFonts w:hAnsiTheme="minorEastAsia" w:eastAsiaTheme="minorEastAsia"/>
                      <w:color w:val="auto"/>
                      <w:szCs w:val="21"/>
                      <w:highlight w:val="none"/>
                    </w:rPr>
                  </w:pPr>
                  <w:r>
                    <w:rPr>
                      <w:rFonts w:hAnsiTheme="minorEastAsia" w:eastAsiaTheme="minorEastAsia"/>
                      <w:color w:val="auto"/>
                      <w:szCs w:val="21"/>
                      <w:highlight w:val="none"/>
                    </w:rPr>
                    <w:t>一般</w:t>
                  </w:r>
                </w:p>
                <w:p w14:paraId="62DA4D83">
                  <w:pPr>
                    <w:adjustRightInd w:val="0"/>
                    <w:snapToGrid w:val="0"/>
                    <w:spacing w:line="240" w:lineRule="atLeast"/>
                    <w:ind w:left="-63" w:leftChars="-30" w:right="-63" w:rightChars="-30"/>
                    <w:jc w:val="center"/>
                    <w:rPr>
                      <w:rFonts w:eastAsiaTheme="minorEastAsia"/>
                      <w:color w:val="auto"/>
                      <w:szCs w:val="21"/>
                      <w:highlight w:val="none"/>
                    </w:rPr>
                  </w:pPr>
                  <w:r>
                    <w:rPr>
                      <w:rFonts w:hAnsiTheme="minorEastAsia" w:eastAsiaTheme="minorEastAsia"/>
                      <w:color w:val="auto"/>
                      <w:szCs w:val="21"/>
                      <w:highlight w:val="none"/>
                    </w:rPr>
                    <w:t>固废</w:t>
                  </w:r>
                </w:p>
              </w:tc>
              <w:tc>
                <w:tcPr>
                  <w:tcW w:w="1664" w:type="pct"/>
                  <w:vAlign w:val="center"/>
                </w:tcPr>
                <w:p w14:paraId="6639D41F">
                  <w:pPr>
                    <w:adjustRightInd w:val="0"/>
                    <w:snapToGrid w:val="0"/>
                    <w:spacing w:line="240" w:lineRule="atLeast"/>
                    <w:ind w:left="-63" w:leftChars="-30" w:right="-63" w:rightChars="-30"/>
                    <w:rPr>
                      <w:rFonts w:eastAsiaTheme="minorEastAsia"/>
                      <w:color w:val="auto"/>
                      <w:szCs w:val="21"/>
                      <w:highlight w:val="none"/>
                    </w:rPr>
                  </w:pPr>
                  <w:r>
                    <w:rPr>
                      <w:rFonts w:hint="eastAsia" w:hAnsi="宋体"/>
                      <w:bCs/>
                      <w:color w:val="auto"/>
                      <w:szCs w:val="21"/>
                      <w:highlight w:val="none"/>
                    </w:rPr>
                    <w:t>原料废包装</w:t>
                  </w:r>
                  <w:r>
                    <w:rPr>
                      <w:rFonts w:hint="eastAsia" w:hAnsi="宋体"/>
                      <w:bCs/>
                      <w:color w:val="auto"/>
                      <w:szCs w:val="21"/>
                      <w:highlight w:val="none"/>
                      <w:lang w:eastAsia="zh-CN"/>
                    </w:rPr>
                    <w:t>、</w:t>
                  </w:r>
                  <w:r>
                    <w:rPr>
                      <w:rFonts w:hint="eastAsia" w:hAnsi="宋体"/>
                      <w:bCs/>
                      <w:color w:val="auto"/>
                      <w:szCs w:val="21"/>
                      <w:highlight w:val="none"/>
                    </w:rPr>
                    <w:t>边角料及残次品外售。</w:t>
                  </w:r>
                </w:p>
              </w:tc>
              <w:tc>
                <w:tcPr>
                  <w:tcW w:w="518" w:type="pct"/>
                  <w:vAlign w:val="center"/>
                </w:tcPr>
                <w:p w14:paraId="2725F40C">
                  <w:pPr>
                    <w:adjustRightInd w:val="0"/>
                    <w:snapToGrid w:val="0"/>
                    <w:spacing w:line="240" w:lineRule="atLeast"/>
                    <w:ind w:left="-63" w:leftChars="-30" w:right="-63" w:rightChars="-30"/>
                    <w:jc w:val="center"/>
                    <w:rPr>
                      <w:rFonts w:hint="eastAsia" w:eastAsiaTheme="minorEastAsia"/>
                      <w:color w:val="auto"/>
                      <w:szCs w:val="21"/>
                      <w:highlight w:val="none"/>
                      <w:lang w:eastAsia="zh-CN"/>
                    </w:rPr>
                  </w:pPr>
                  <w:r>
                    <w:rPr>
                      <w:rFonts w:hint="eastAsia" w:eastAsiaTheme="minorEastAsia"/>
                      <w:color w:val="auto"/>
                      <w:szCs w:val="21"/>
                      <w:highlight w:val="none"/>
                      <w:lang w:val="en-US" w:eastAsia="zh-CN"/>
                    </w:rPr>
                    <w:t>1</w:t>
                  </w:r>
                </w:p>
              </w:tc>
              <w:tc>
                <w:tcPr>
                  <w:tcW w:w="1864" w:type="pct"/>
                  <w:vAlign w:val="center"/>
                </w:tcPr>
                <w:p w14:paraId="75A6B862">
                  <w:pPr>
                    <w:adjustRightInd w:val="0"/>
                    <w:snapToGrid w:val="0"/>
                    <w:spacing w:line="240" w:lineRule="atLeast"/>
                    <w:ind w:left="-63" w:leftChars="-30" w:right="-63" w:rightChars="-30"/>
                    <w:jc w:val="center"/>
                    <w:rPr>
                      <w:rFonts w:eastAsiaTheme="minorEastAsia"/>
                      <w:color w:val="auto"/>
                      <w:szCs w:val="21"/>
                      <w:highlight w:val="none"/>
                    </w:rPr>
                  </w:pPr>
                  <w:r>
                    <w:rPr>
                      <w:rFonts w:hAnsiTheme="minorEastAsia" w:eastAsiaTheme="minorEastAsia"/>
                      <w:color w:val="auto"/>
                      <w:szCs w:val="21"/>
                      <w:highlight w:val="none"/>
                    </w:rPr>
                    <w:t>《一般工业固体废物贮存和填埋污染控制标准》（</w:t>
                  </w:r>
                  <w:r>
                    <w:rPr>
                      <w:rFonts w:eastAsiaTheme="minorEastAsia"/>
                      <w:color w:val="auto"/>
                      <w:szCs w:val="21"/>
                      <w:highlight w:val="none"/>
                    </w:rPr>
                    <w:t>GB18599-2020</w:t>
                  </w:r>
                  <w:r>
                    <w:rPr>
                      <w:rFonts w:hAnsiTheme="minorEastAsia" w:eastAsiaTheme="minorEastAsia"/>
                      <w:color w:val="auto"/>
                      <w:szCs w:val="21"/>
                      <w:highlight w:val="none"/>
                    </w:rPr>
                    <w:t>）</w:t>
                  </w:r>
                </w:p>
              </w:tc>
            </w:tr>
            <w:tr w14:paraId="5896C70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0" w:type="pct"/>
                  <w:vMerge w:val="continue"/>
                  <w:vAlign w:val="center"/>
                </w:tcPr>
                <w:p w14:paraId="6916EC86">
                  <w:pPr>
                    <w:tabs>
                      <w:tab w:val="left" w:pos="1560"/>
                    </w:tabs>
                    <w:topLinePunct/>
                    <w:adjustRightInd w:val="0"/>
                    <w:snapToGrid w:val="0"/>
                    <w:spacing w:line="240" w:lineRule="atLeast"/>
                    <w:ind w:left="-63" w:leftChars="-30" w:right="-63" w:rightChars="-30"/>
                    <w:jc w:val="center"/>
                    <w:rPr>
                      <w:rFonts w:eastAsiaTheme="minorEastAsia"/>
                      <w:color w:val="auto"/>
                      <w:szCs w:val="21"/>
                      <w:highlight w:val="none"/>
                    </w:rPr>
                  </w:pPr>
                </w:p>
              </w:tc>
              <w:tc>
                <w:tcPr>
                  <w:tcW w:w="570" w:type="pct"/>
                  <w:vAlign w:val="center"/>
                </w:tcPr>
                <w:p w14:paraId="5768B163">
                  <w:pPr>
                    <w:adjustRightInd w:val="0"/>
                    <w:snapToGrid w:val="0"/>
                    <w:spacing w:line="240" w:lineRule="atLeast"/>
                    <w:ind w:left="-63" w:leftChars="-30" w:right="-63" w:rightChars="-30"/>
                    <w:jc w:val="center"/>
                    <w:rPr>
                      <w:rFonts w:hAnsiTheme="minorEastAsia" w:eastAsiaTheme="minorEastAsia"/>
                      <w:color w:val="auto"/>
                      <w:szCs w:val="21"/>
                      <w:highlight w:val="none"/>
                    </w:rPr>
                  </w:pPr>
                  <w:r>
                    <w:rPr>
                      <w:rFonts w:hAnsiTheme="minorEastAsia" w:eastAsiaTheme="minorEastAsia"/>
                      <w:color w:val="auto"/>
                      <w:szCs w:val="21"/>
                      <w:highlight w:val="none"/>
                    </w:rPr>
                    <w:t>生活</w:t>
                  </w:r>
                </w:p>
                <w:p w14:paraId="314037EA">
                  <w:pPr>
                    <w:adjustRightInd w:val="0"/>
                    <w:snapToGrid w:val="0"/>
                    <w:spacing w:line="240" w:lineRule="atLeast"/>
                    <w:ind w:left="-63" w:leftChars="-30" w:right="-63" w:rightChars="-30"/>
                    <w:jc w:val="center"/>
                    <w:rPr>
                      <w:rFonts w:eastAsiaTheme="minorEastAsia"/>
                      <w:color w:val="auto"/>
                      <w:szCs w:val="21"/>
                      <w:highlight w:val="none"/>
                    </w:rPr>
                  </w:pPr>
                  <w:r>
                    <w:rPr>
                      <w:rFonts w:hAnsiTheme="minorEastAsia" w:eastAsiaTheme="minorEastAsia"/>
                      <w:color w:val="auto"/>
                      <w:szCs w:val="21"/>
                      <w:highlight w:val="none"/>
                    </w:rPr>
                    <w:t>垃圾</w:t>
                  </w:r>
                </w:p>
              </w:tc>
              <w:tc>
                <w:tcPr>
                  <w:tcW w:w="1664" w:type="pct"/>
                  <w:vAlign w:val="center"/>
                </w:tcPr>
                <w:p w14:paraId="359D85B3">
                  <w:pPr>
                    <w:adjustRightInd w:val="0"/>
                    <w:snapToGrid w:val="0"/>
                    <w:spacing w:line="240" w:lineRule="atLeast"/>
                    <w:ind w:left="-63" w:leftChars="-30" w:right="-63" w:rightChars="-30"/>
                    <w:rPr>
                      <w:rFonts w:eastAsiaTheme="minorEastAsia"/>
                      <w:color w:val="auto"/>
                      <w:szCs w:val="21"/>
                      <w:highlight w:val="none"/>
                    </w:rPr>
                  </w:pPr>
                  <w:r>
                    <w:rPr>
                      <w:rFonts w:hAnsiTheme="minorEastAsia" w:eastAsiaTheme="minorEastAsia"/>
                      <w:color w:val="auto"/>
                      <w:kern w:val="44"/>
                      <w:szCs w:val="21"/>
                      <w:highlight w:val="none"/>
                    </w:rPr>
                    <w:t>生活垃圾集中收集后交由环卫部门统一清运处置。</w:t>
                  </w:r>
                </w:p>
              </w:tc>
              <w:tc>
                <w:tcPr>
                  <w:tcW w:w="518" w:type="pct"/>
                  <w:vAlign w:val="center"/>
                </w:tcPr>
                <w:p w14:paraId="47033A5F">
                  <w:pPr>
                    <w:adjustRightInd w:val="0"/>
                    <w:snapToGrid w:val="0"/>
                    <w:spacing w:line="240" w:lineRule="atLeast"/>
                    <w:ind w:left="-63" w:leftChars="-30" w:right="-63" w:rightChars="-30"/>
                    <w:jc w:val="center"/>
                    <w:rPr>
                      <w:rFonts w:eastAsiaTheme="minorEastAsia"/>
                      <w:color w:val="auto"/>
                      <w:szCs w:val="21"/>
                      <w:highlight w:val="none"/>
                    </w:rPr>
                  </w:pPr>
                  <w:r>
                    <w:rPr>
                      <w:rFonts w:hint="eastAsia" w:eastAsiaTheme="minorEastAsia"/>
                      <w:color w:val="auto"/>
                      <w:szCs w:val="21"/>
                      <w:highlight w:val="none"/>
                    </w:rPr>
                    <w:t>1</w:t>
                  </w:r>
                </w:p>
              </w:tc>
              <w:tc>
                <w:tcPr>
                  <w:tcW w:w="1864" w:type="pct"/>
                  <w:vAlign w:val="center"/>
                </w:tcPr>
                <w:p w14:paraId="7D269F96">
                  <w:pPr>
                    <w:adjustRightInd w:val="0"/>
                    <w:snapToGrid w:val="0"/>
                    <w:spacing w:line="240" w:lineRule="atLeast"/>
                    <w:ind w:left="-63" w:leftChars="-30" w:right="-63" w:rightChars="-30"/>
                    <w:jc w:val="center"/>
                    <w:rPr>
                      <w:rFonts w:eastAsiaTheme="minorEastAsia"/>
                      <w:color w:val="auto"/>
                      <w:szCs w:val="21"/>
                      <w:highlight w:val="none"/>
                    </w:rPr>
                  </w:pPr>
                  <w:r>
                    <w:rPr>
                      <w:rFonts w:hAnsiTheme="minorEastAsia" w:eastAsiaTheme="minorEastAsia"/>
                      <w:color w:val="auto"/>
                      <w:szCs w:val="21"/>
                      <w:highlight w:val="none"/>
                    </w:rPr>
                    <w:t>合理处置</w:t>
                  </w:r>
                </w:p>
              </w:tc>
            </w:tr>
            <w:tr w14:paraId="32A5151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0" w:type="pct"/>
                  <w:vMerge w:val="continue"/>
                  <w:vAlign w:val="center"/>
                </w:tcPr>
                <w:p w14:paraId="408C4C27">
                  <w:pPr>
                    <w:tabs>
                      <w:tab w:val="left" w:pos="1560"/>
                    </w:tabs>
                    <w:topLinePunct/>
                    <w:adjustRightInd w:val="0"/>
                    <w:snapToGrid w:val="0"/>
                    <w:spacing w:line="240" w:lineRule="atLeast"/>
                    <w:ind w:left="-63" w:leftChars="-30" w:right="-63" w:rightChars="-30"/>
                    <w:jc w:val="center"/>
                    <w:rPr>
                      <w:rFonts w:eastAsiaTheme="minorEastAsia"/>
                      <w:color w:val="auto"/>
                      <w:szCs w:val="21"/>
                      <w:highlight w:val="none"/>
                    </w:rPr>
                  </w:pPr>
                </w:p>
              </w:tc>
              <w:tc>
                <w:tcPr>
                  <w:tcW w:w="570" w:type="pct"/>
                  <w:vAlign w:val="center"/>
                </w:tcPr>
                <w:p w14:paraId="5FE42587">
                  <w:pPr>
                    <w:adjustRightInd w:val="0"/>
                    <w:snapToGrid w:val="0"/>
                    <w:spacing w:line="240" w:lineRule="atLeast"/>
                    <w:ind w:left="-63" w:leftChars="-30" w:right="-63" w:rightChars="-30"/>
                    <w:jc w:val="center"/>
                    <w:rPr>
                      <w:rFonts w:hAnsiTheme="minorEastAsia" w:eastAsiaTheme="minorEastAsia"/>
                      <w:color w:val="auto"/>
                      <w:szCs w:val="21"/>
                      <w:highlight w:val="none"/>
                    </w:rPr>
                  </w:pPr>
                  <w:r>
                    <w:rPr>
                      <w:rFonts w:hint="eastAsia" w:hAnsiTheme="minorEastAsia" w:eastAsiaTheme="minorEastAsia"/>
                      <w:color w:val="auto"/>
                      <w:szCs w:val="21"/>
                      <w:highlight w:val="none"/>
                    </w:rPr>
                    <w:t>危险</w:t>
                  </w:r>
                </w:p>
                <w:p w14:paraId="5BDDAB67">
                  <w:pPr>
                    <w:adjustRightInd w:val="0"/>
                    <w:snapToGrid w:val="0"/>
                    <w:spacing w:line="240" w:lineRule="atLeast"/>
                    <w:ind w:left="-63" w:leftChars="-30" w:right="-63" w:rightChars="-30"/>
                    <w:jc w:val="center"/>
                    <w:rPr>
                      <w:rFonts w:hAnsiTheme="minorEastAsia" w:eastAsiaTheme="minorEastAsia"/>
                      <w:color w:val="auto"/>
                      <w:szCs w:val="21"/>
                      <w:highlight w:val="none"/>
                    </w:rPr>
                  </w:pPr>
                  <w:r>
                    <w:rPr>
                      <w:rFonts w:hint="eastAsia" w:hAnsiTheme="minorEastAsia" w:eastAsiaTheme="minorEastAsia"/>
                      <w:color w:val="auto"/>
                      <w:szCs w:val="21"/>
                      <w:highlight w:val="none"/>
                    </w:rPr>
                    <w:t>废物</w:t>
                  </w:r>
                </w:p>
              </w:tc>
              <w:tc>
                <w:tcPr>
                  <w:tcW w:w="1664" w:type="pct"/>
                  <w:vAlign w:val="center"/>
                </w:tcPr>
                <w:p w14:paraId="0C198416">
                  <w:pPr>
                    <w:adjustRightInd w:val="0"/>
                    <w:snapToGrid w:val="0"/>
                    <w:spacing w:line="240" w:lineRule="atLeast"/>
                    <w:ind w:left="-63" w:leftChars="-30" w:right="-63" w:rightChars="-30"/>
                    <w:rPr>
                      <w:rFonts w:hAnsiTheme="minorEastAsia" w:eastAsiaTheme="minorEastAsia"/>
                      <w:color w:val="auto"/>
                      <w:kern w:val="44"/>
                      <w:szCs w:val="21"/>
                      <w:highlight w:val="none"/>
                    </w:rPr>
                  </w:pPr>
                  <w:r>
                    <w:rPr>
                      <w:rFonts w:hint="eastAsia" w:hAnsi="宋体"/>
                      <w:bCs/>
                      <w:color w:val="auto"/>
                      <w:szCs w:val="21"/>
                      <w:highlight w:val="none"/>
                    </w:rPr>
                    <w:t>废活性炭、</w:t>
                  </w:r>
                  <w:r>
                    <w:rPr>
                      <w:rFonts w:hint="eastAsia" w:hAnsi="宋体"/>
                      <w:bCs/>
                      <w:color w:val="auto"/>
                      <w:szCs w:val="21"/>
                      <w:highlight w:val="none"/>
                      <w:lang w:eastAsia="zh-CN"/>
                    </w:rPr>
                    <w:t>废催化剂</w:t>
                  </w:r>
                  <w:r>
                    <w:rPr>
                      <w:rFonts w:hint="eastAsia" w:hAnsi="宋体"/>
                      <w:bCs/>
                      <w:color w:val="auto"/>
                      <w:szCs w:val="21"/>
                      <w:highlight w:val="none"/>
                    </w:rPr>
                    <w:t>、废机油分类分区暂存于</w:t>
                  </w:r>
                  <w:r>
                    <w:rPr>
                      <w:rFonts w:hint="eastAsia" w:hAnsi="宋体"/>
                      <w:bCs/>
                      <w:color w:val="auto"/>
                      <w:szCs w:val="21"/>
                      <w:highlight w:val="none"/>
                      <w:lang w:eastAsia="zh-CN"/>
                    </w:rPr>
                    <w:t>危废贮存库</w:t>
                  </w:r>
                  <w:r>
                    <w:rPr>
                      <w:rFonts w:hint="eastAsia" w:hAnsi="宋体"/>
                      <w:bCs/>
                      <w:color w:val="auto"/>
                      <w:szCs w:val="21"/>
                      <w:highlight w:val="none"/>
                    </w:rPr>
                    <w:t>（10m</w:t>
                  </w:r>
                  <w:r>
                    <w:rPr>
                      <w:rFonts w:hint="eastAsia" w:hAnsi="宋体"/>
                      <w:bCs/>
                      <w:color w:val="auto"/>
                      <w:szCs w:val="21"/>
                      <w:highlight w:val="none"/>
                      <w:vertAlign w:val="superscript"/>
                    </w:rPr>
                    <w:t>2</w:t>
                  </w:r>
                  <w:r>
                    <w:rPr>
                      <w:rFonts w:hint="eastAsia" w:hAnsi="宋体"/>
                      <w:bCs/>
                      <w:color w:val="auto"/>
                      <w:szCs w:val="21"/>
                      <w:highlight w:val="none"/>
                    </w:rPr>
                    <w:t>），定期</w:t>
                  </w:r>
                  <w:r>
                    <w:rPr>
                      <w:rFonts w:hint="eastAsia" w:hAnsi="宋体"/>
                      <w:bCs/>
                      <w:color w:val="auto"/>
                      <w:szCs w:val="21"/>
                      <w:highlight w:val="none"/>
                      <w:lang w:eastAsia="zh-CN"/>
                    </w:rPr>
                    <w:t>交由</w:t>
                  </w:r>
                  <w:r>
                    <w:rPr>
                      <w:rFonts w:hint="eastAsia" w:hAnsi="宋体"/>
                      <w:bCs/>
                      <w:color w:val="auto"/>
                      <w:szCs w:val="21"/>
                      <w:highlight w:val="none"/>
                    </w:rPr>
                    <w:t>资质单位处置。</w:t>
                  </w:r>
                </w:p>
              </w:tc>
              <w:tc>
                <w:tcPr>
                  <w:tcW w:w="518" w:type="pct"/>
                  <w:vAlign w:val="center"/>
                </w:tcPr>
                <w:p w14:paraId="6BD2E8A1">
                  <w:pPr>
                    <w:adjustRightInd w:val="0"/>
                    <w:snapToGrid w:val="0"/>
                    <w:spacing w:line="240" w:lineRule="atLeast"/>
                    <w:ind w:left="-63" w:leftChars="-30" w:right="-63" w:rightChars="-30"/>
                    <w:jc w:val="center"/>
                    <w:rPr>
                      <w:rFonts w:hint="eastAsia" w:eastAsiaTheme="minorEastAsia"/>
                      <w:color w:val="auto"/>
                      <w:szCs w:val="21"/>
                      <w:highlight w:val="none"/>
                      <w:lang w:eastAsia="zh-CN"/>
                    </w:rPr>
                  </w:pPr>
                  <w:r>
                    <w:rPr>
                      <w:rFonts w:hint="eastAsia" w:eastAsiaTheme="minorEastAsia"/>
                      <w:color w:val="auto"/>
                      <w:szCs w:val="21"/>
                      <w:highlight w:val="none"/>
                      <w:lang w:val="en-US" w:eastAsia="zh-CN"/>
                    </w:rPr>
                    <w:t>3</w:t>
                  </w:r>
                </w:p>
              </w:tc>
              <w:tc>
                <w:tcPr>
                  <w:tcW w:w="1864" w:type="pct"/>
                  <w:vAlign w:val="center"/>
                </w:tcPr>
                <w:p w14:paraId="07BDB711">
                  <w:pPr>
                    <w:adjustRightInd w:val="0"/>
                    <w:snapToGrid w:val="0"/>
                    <w:spacing w:line="240" w:lineRule="atLeast"/>
                    <w:ind w:left="-63" w:leftChars="-30" w:right="-63" w:rightChars="-30"/>
                    <w:jc w:val="center"/>
                    <w:rPr>
                      <w:rFonts w:hAnsiTheme="minorEastAsia" w:eastAsiaTheme="minorEastAsia"/>
                      <w:color w:val="auto"/>
                      <w:szCs w:val="21"/>
                      <w:highlight w:val="none"/>
                    </w:rPr>
                  </w:pPr>
                  <w:r>
                    <w:rPr>
                      <w:rFonts w:hint="eastAsia" w:hAnsiTheme="minorEastAsia" w:eastAsiaTheme="minorEastAsia"/>
                      <w:color w:val="auto"/>
                      <w:szCs w:val="21"/>
                      <w:highlight w:val="none"/>
                    </w:rPr>
                    <w:t>《危险废物贮存污染控制标准》（GB18597-2023）</w:t>
                  </w:r>
                </w:p>
              </w:tc>
            </w:tr>
            <w:tr w14:paraId="64423F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0" w:type="pct"/>
                  <w:vAlign w:val="center"/>
                </w:tcPr>
                <w:p w14:paraId="71114C7A">
                  <w:pPr>
                    <w:adjustRightInd w:val="0"/>
                    <w:snapToGrid w:val="0"/>
                    <w:spacing w:line="240" w:lineRule="atLeast"/>
                    <w:ind w:left="-63" w:leftChars="-30" w:right="-63" w:rightChars="-30"/>
                    <w:jc w:val="center"/>
                    <w:rPr>
                      <w:rFonts w:eastAsiaTheme="minorEastAsia"/>
                      <w:color w:val="auto"/>
                      <w:szCs w:val="21"/>
                      <w:highlight w:val="none"/>
                    </w:rPr>
                  </w:pPr>
                  <w:r>
                    <w:rPr>
                      <w:rFonts w:hAnsiTheme="minorEastAsia" w:eastAsiaTheme="minorEastAsia"/>
                      <w:color w:val="auto"/>
                      <w:szCs w:val="21"/>
                      <w:highlight w:val="none"/>
                    </w:rPr>
                    <w:t>噪声治理</w:t>
                  </w:r>
                </w:p>
              </w:tc>
              <w:tc>
                <w:tcPr>
                  <w:tcW w:w="570" w:type="pct"/>
                  <w:vAlign w:val="center"/>
                </w:tcPr>
                <w:p w14:paraId="52D29A7D">
                  <w:pPr>
                    <w:adjustRightInd w:val="0"/>
                    <w:snapToGrid w:val="0"/>
                    <w:spacing w:line="240" w:lineRule="atLeast"/>
                    <w:ind w:left="-63" w:leftChars="-30" w:right="-63" w:rightChars="-30"/>
                    <w:jc w:val="center"/>
                    <w:rPr>
                      <w:rFonts w:hAnsiTheme="minorEastAsia" w:eastAsiaTheme="minorEastAsia"/>
                      <w:color w:val="auto"/>
                      <w:szCs w:val="21"/>
                      <w:highlight w:val="none"/>
                    </w:rPr>
                  </w:pPr>
                  <w:r>
                    <w:rPr>
                      <w:rFonts w:hint="eastAsia" w:hAnsiTheme="minorEastAsia" w:eastAsiaTheme="minorEastAsia"/>
                      <w:color w:val="auto"/>
                      <w:szCs w:val="21"/>
                      <w:highlight w:val="none"/>
                    </w:rPr>
                    <w:t>机械</w:t>
                  </w:r>
                </w:p>
                <w:p w14:paraId="2A45CD54">
                  <w:pPr>
                    <w:adjustRightInd w:val="0"/>
                    <w:snapToGrid w:val="0"/>
                    <w:spacing w:line="240" w:lineRule="atLeast"/>
                    <w:ind w:left="-63" w:leftChars="-30" w:right="-63" w:rightChars="-30"/>
                    <w:jc w:val="center"/>
                    <w:rPr>
                      <w:rFonts w:eastAsiaTheme="minorEastAsia"/>
                      <w:color w:val="auto"/>
                      <w:szCs w:val="21"/>
                      <w:highlight w:val="none"/>
                    </w:rPr>
                  </w:pPr>
                  <w:r>
                    <w:rPr>
                      <w:rFonts w:hAnsiTheme="minorEastAsia" w:eastAsiaTheme="minorEastAsia"/>
                      <w:color w:val="auto"/>
                      <w:szCs w:val="21"/>
                      <w:highlight w:val="none"/>
                    </w:rPr>
                    <w:t>噪声</w:t>
                  </w:r>
                </w:p>
              </w:tc>
              <w:tc>
                <w:tcPr>
                  <w:tcW w:w="1664" w:type="pct"/>
                  <w:vAlign w:val="center"/>
                </w:tcPr>
                <w:p w14:paraId="29606E59">
                  <w:pPr>
                    <w:adjustRightInd w:val="0"/>
                    <w:snapToGrid w:val="0"/>
                    <w:spacing w:line="240" w:lineRule="atLeast"/>
                    <w:ind w:left="-63" w:leftChars="-30" w:right="-63" w:rightChars="-30"/>
                    <w:rPr>
                      <w:rFonts w:eastAsiaTheme="minorEastAsia"/>
                      <w:color w:val="auto"/>
                      <w:szCs w:val="21"/>
                      <w:highlight w:val="none"/>
                    </w:rPr>
                  </w:pPr>
                  <w:r>
                    <w:rPr>
                      <w:rFonts w:hAnsiTheme="minorEastAsia" w:eastAsiaTheme="minorEastAsia"/>
                      <w:color w:val="auto"/>
                      <w:szCs w:val="21"/>
                      <w:highlight w:val="none"/>
                    </w:rPr>
                    <w:t>选用低噪设备，基础减振，采取隔声措施</w:t>
                  </w:r>
                  <w:r>
                    <w:rPr>
                      <w:rFonts w:hint="eastAsia" w:hAnsiTheme="minorEastAsia" w:eastAsiaTheme="minorEastAsia"/>
                      <w:color w:val="auto"/>
                      <w:szCs w:val="21"/>
                      <w:highlight w:val="none"/>
                    </w:rPr>
                    <w:t>。</w:t>
                  </w:r>
                </w:p>
              </w:tc>
              <w:tc>
                <w:tcPr>
                  <w:tcW w:w="518" w:type="pct"/>
                  <w:vAlign w:val="center"/>
                </w:tcPr>
                <w:p w14:paraId="233E32DF">
                  <w:pPr>
                    <w:adjustRightInd w:val="0"/>
                    <w:snapToGrid w:val="0"/>
                    <w:spacing w:line="240" w:lineRule="atLeast"/>
                    <w:ind w:left="-63" w:leftChars="-30" w:right="-63" w:rightChars="-30"/>
                    <w:jc w:val="center"/>
                    <w:rPr>
                      <w:rFonts w:eastAsiaTheme="minorEastAsia"/>
                      <w:color w:val="auto"/>
                      <w:szCs w:val="21"/>
                      <w:highlight w:val="none"/>
                    </w:rPr>
                  </w:pPr>
                  <w:r>
                    <w:rPr>
                      <w:rFonts w:eastAsiaTheme="minorEastAsia"/>
                      <w:color w:val="auto"/>
                      <w:szCs w:val="21"/>
                      <w:highlight w:val="none"/>
                    </w:rPr>
                    <w:t>2</w:t>
                  </w:r>
                </w:p>
              </w:tc>
              <w:tc>
                <w:tcPr>
                  <w:tcW w:w="1864" w:type="pct"/>
                  <w:vAlign w:val="center"/>
                </w:tcPr>
                <w:p w14:paraId="5046A8AF">
                  <w:pPr>
                    <w:adjustRightInd w:val="0"/>
                    <w:snapToGrid w:val="0"/>
                    <w:spacing w:line="240" w:lineRule="atLeast"/>
                    <w:ind w:left="-63" w:leftChars="-30" w:right="-63" w:rightChars="-30"/>
                    <w:jc w:val="center"/>
                    <w:rPr>
                      <w:rFonts w:eastAsiaTheme="minorEastAsia"/>
                      <w:color w:val="auto"/>
                      <w:szCs w:val="21"/>
                      <w:highlight w:val="none"/>
                    </w:rPr>
                  </w:pPr>
                  <w:r>
                    <w:rPr>
                      <w:rFonts w:hAnsiTheme="minorEastAsia" w:eastAsiaTheme="minorEastAsia"/>
                      <w:color w:val="auto"/>
                      <w:szCs w:val="21"/>
                      <w:highlight w:val="none"/>
                    </w:rPr>
                    <w:t>《工业企业厂界环境噪声排放标准》（</w:t>
                  </w:r>
                  <w:r>
                    <w:rPr>
                      <w:rFonts w:eastAsiaTheme="minorEastAsia"/>
                      <w:color w:val="auto"/>
                      <w:szCs w:val="21"/>
                      <w:highlight w:val="none"/>
                    </w:rPr>
                    <w:t>GB12348-2008</w:t>
                  </w:r>
                  <w:r>
                    <w:rPr>
                      <w:rFonts w:hAnsiTheme="minorEastAsia" w:eastAsiaTheme="minorEastAsia"/>
                      <w:color w:val="auto"/>
                      <w:szCs w:val="21"/>
                      <w:highlight w:val="none"/>
                    </w:rPr>
                    <w:t>）</w:t>
                  </w:r>
                  <w:r>
                    <w:rPr>
                      <w:rFonts w:hint="eastAsia" w:eastAsiaTheme="minorEastAsia"/>
                      <w:color w:val="auto"/>
                      <w:szCs w:val="21"/>
                      <w:highlight w:val="none"/>
                    </w:rPr>
                    <w:t>3</w:t>
                  </w:r>
                  <w:r>
                    <w:rPr>
                      <w:rFonts w:hAnsiTheme="minorEastAsia" w:eastAsiaTheme="minorEastAsia"/>
                      <w:color w:val="auto"/>
                      <w:szCs w:val="21"/>
                      <w:highlight w:val="none"/>
                    </w:rPr>
                    <w:t>类标准</w:t>
                  </w:r>
                </w:p>
              </w:tc>
            </w:tr>
            <w:tr w14:paraId="61DA13A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51" w:type="pct"/>
                  <w:gridSpan w:val="2"/>
                  <w:vAlign w:val="center"/>
                </w:tcPr>
                <w:p w14:paraId="3A60BBCC">
                  <w:pPr>
                    <w:adjustRightInd w:val="0"/>
                    <w:snapToGrid w:val="0"/>
                    <w:spacing w:line="240" w:lineRule="atLeast"/>
                    <w:ind w:left="-63" w:leftChars="-30" w:right="-63" w:rightChars="-30"/>
                    <w:jc w:val="center"/>
                    <w:rPr>
                      <w:rFonts w:eastAsiaTheme="minorEastAsia"/>
                      <w:color w:val="auto"/>
                      <w:szCs w:val="21"/>
                      <w:highlight w:val="none"/>
                    </w:rPr>
                  </w:pPr>
                  <w:r>
                    <w:rPr>
                      <w:rFonts w:hAnsiTheme="minorEastAsia" w:eastAsiaTheme="minorEastAsia"/>
                      <w:color w:val="auto"/>
                      <w:szCs w:val="21"/>
                      <w:highlight w:val="none"/>
                    </w:rPr>
                    <w:t>总环保投资</w:t>
                  </w:r>
                </w:p>
              </w:tc>
              <w:tc>
                <w:tcPr>
                  <w:tcW w:w="4048" w:type="pct"/>
                  <w:gridSpan w:val="3"/>
                  <w:vAlign w:val="center"/>
                </w:tcPr>
                <w:p w14:paraId="3013D1BA">
                  <w:pPr>
                    <w:adjustRightInd w:val="0"/>
                    <w:snapToGrid w:val="0"/>
                    <w:spacing w:line="240" w:lineRule="atLeast"/>
                    <w:ind w:left="-63" w:leftChars="-30" w:right="-63" w:rightChars="-30"/>
                    <w:jc w:val="center"/>
                    <w:rPr>
                      <w:rFonts w:hint="default" w:eastAsiaTheme="minorEastAsia"/>
                      <w:color w:val="auto"/>
                      <w:szCs w:val="21"/>
                      <w:highlight w:val="none"/>
                      <w:lang w:val="en-US" w:eastAsia="zh-CN"/>
                    </w:rPr>
                  </w:pPr>
                  <w:r>
                    <w:rPr>
                      <w:rFonts w:hint="eastAsia" w:eastAsiaTheme="minorEastAsia"/>
                      <w:color w:val="auto"/>
                      <w:szCs w:val="21"/>
                      <w:highlight w:val="none"/>
                      <w:lang w:val="en-US" w:eastAsia="zh-CN"/>
                    </w:rPr>
                    <w:t>33.5</w:t>
                  </w:r>
                </w:p>
              </w:tc>
            </w:tr>
            <w:tr w14:paraId="34958AD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51" w:type="pct"/>
                  <w:gridSpan w:val="2"/>
                  <w:vAlign w:val="center"/>
                </w:tcPr>
                <w:p w14:paraId="175C5FC5">
                  <w:pPr>
                    <w:adjustRightInd w:val="0"/>
                    <w:snapToGrid w:val="0"/>
                    <w:spacing w:line="240" w:lineRule="atLeast"/>
                    <w:ind w:left="-63" w:leftChars="-30" w:right="-63" w:rightChars="-30"/>
                    <w:jc w:val="center"/>
                    <w:rPr>
                      <w:rFonts w:eastAsiaTheme="minorEastAsia"/>
                      <w:color w:val="auto"/>
                      <w:szCs w:val="21"/>
                      <w:highlight w:val="none"/>
                    </w:rPr>
                  </w:pPr>
                  <w:r>
                    <w:rPr>
                      <w:rFonts w:hAnsiTheme="minorEastAsia" w:eastAsiaTheme="minorEastAsia"/>
                      <w:color w:val="auto"/>
                      <w:szCs w:val="21"/>
                      <w:highlight w:val="none"/>
                    </w:rPr>
                    <w:t>占总投资比例</w:t>
                  </w:r>
                </w:p>
              </w:tc>
              <w:tc>
                <w:tcPr>
                  <w:tcW w:w="4048" w:type="pct"/>
                  <w:gridSpan w:val="3"/>
                  <w:vAlign w:val="center"/>
                </w:tcPr>
                <w:p w14:paraId="0CDE9344">
                  <w:pPr>
                    <w:adjustRightInd w:val="0"/>
                    <w:snapToGrid w:val="0"/>
                    <w:spacing w:line="240" w:lineRule="atLeast"/>
                    <w:ind w:left="-63" w:leftChars="-30" w:right="-63" w:rightChars="-30"/>
                    <w:jc w:val="center"/>
                    <w:rPr>
                      <w:rFonts w:eastAsiaTheme="minorEastAsia"/>
                      <w:color w:val="auto"/>
                      <w:szCs w:val="21"/>
                      <w:highlight w:val="none"/>
                    </w:rPr>
                  </w:pPr>
                  <w:r>
                    <w:rPr>
                      <w:rFonts w:hint="eastAsia" w:eastAsiaTheme="minorEastAsia"/>
                      <w:color w:val="auto"/>
                      <w:szCs w:val="21"/>
                      <w:highlight w:val="none"/>
                      <w:lang w:val="en-US" w:eastAsia="zh-CN"/>
                    </w:rPr>
                    <w:t>17</w:t>
                  </w:r>
                  <w:r>
                    <w:rPr>
                      <w:rFonts w:eastAsiaTheme="minorEastAsia"/>
                      <w:color w:val="auto"/>
                      <w:szCs w:val="21"/>
                      <w:highlight w:val="none"/>
                    </w:rPr>
                    <w:t>%</w:t>
                  </w:r>
                </w:p>
              </w:tc>
            </w:tr>
          </w:tbl>
          <w:p w14:paraId="17606A3B">
            <w:pPr>
              <w:spacing w:line="400" w:lineRule="exact"/>
              <w:jc w:val="left"/>
              <w:rPr>
                <w:rFonts w:eastAsiaTheme="minorEastAsia"/>
                <w:color w:val="auto"/>
                <w:sz w:val="24"/>
                <w:highlight w:val="none"/>
              </w:rPr>
            </w:pPr>
          </w:p>
        </w:tc>
      </w:tr>
    </w:tbl>
    <w:p w14:paraId="5383C38C">
      <w:pPr>
        <w:pStyle w:val="29"/>
        <w:jc w:val="center"/>
        <w:outlineLvl w:val="0"/>
        <w:rPr>
          <w:rFonts w:ascii="黑体" w:hAnsi="黑体" w:eastAsia="黑体"/>
          <w:snapToGrid w:val="0"/>
          <w:color w:val="auto"/>
          <w:sz w:val="30"/>
          <w:szCs w:val="30"/>
          <w:highlight w:val="none"/>
        </w:rPr>
      </w:pPr>
      <w:r>
        <w:rPr>
          <w:snapToGrid w:val="0"/>
          <w:color w:val="auto"/>
          <w:highlight w:val="none"/>
        </w:rPr>
        <w:br w:type="page"/>
      </w:r>
      <w:bookmarkStart w:id="17" w:name="_Toc13929"/>
      <w:r>
        <w:rPr>
          <w:rFonts w:hint="eastAsia" w:ascii="黑体" w:hAnsi="黑体" w:eastAsia="黑体"/>
          <w:snapToGrid w:val="0"/>
          <w:color w:val="auto"/>
          <w:sz w:val="30"/>
          <w:szCs w:val="30"/>
          <w:highlight w:val="none"/>
        </w:rPr>
        <w:t>六、结论</w:t>
      </w:r>
      <w:bookmarkEnd w:id="17"/>
    </w:p>
    <w:tbl>
      <w:tblPr>
        <w:tblStyle w:val="34"/>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865"/>
      </w:tblGrid>
      <w:tr w14:paraId="114F73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991" w:hRule="atLeast"/>
          <w:jc w:val="center"/>
        </w:trPr>
        <w:tc>
          <w:tcPr>
            <w:tcW w:w="8865" w:type="dxa"/>
          </w:tcPr>
          <w:p w14:paraId="53C0A671">
            <w:pPr>
              <w:spacing w:beforeLines="100" w:line="360" w:lineRule="auto"/>
              <w:ind w:firstLine="480" w:firstLineChars="200"/>
              <w:rPr>
                <w:color w:val="auto"/>
                <w:sz w:val="24"/>
                <w:highlight w:val="none"/>
              </w:rPr>
            </w:pPr>
            <w:r>
              <w:rPr>
                <w:color w:val="auto"/>
                <w:sz w:val="24"/>
                <w:highlight w:val="none"/>
              </w:rPr>
              <w:t>本项目符合“三线一单”、产业政策及国家和地方的相关要求，选址合理；采用的各项环保措施合理、可靠、有效，能够实现达标排放。总体上项目对所在地区</w:t>
            </w:r>
            <w:r>
              <w:rPr>
                <w:rFonts w:hint="eastAsia"/>
                <w:color w:val="auto"/>
                <w:sz w:val="24"/>
                <w:highlight w:val="none"/>
                <w:lang w:eastAsia="zh-CN"/>
              </w:rPr>
              <w:t>生态</w:t>
            </w:r>
            <w:r>
              <w:rPr>
                <w:color w:val="auto"/>
                <w:sz w:val="24"/>
                <w:highlight w:val="none"/>
              </w:rPr>
              <w:t>环境影响较小。本评价认为，从环境保护角度出发，本项目的建设是可行的。</w:t>
            </w:r>
          </w:p>
        </w:tc>
      </w:tr>
    </w:tbl>
    <w:p w14:paraId="4F074E92">
      <w:pPr>
        <w:rPr>
          <w:rFonts w:ascii="宋体"/>
          <w:color w:val="auto"/>
          <w:highlight w:val="none"/>
        </w:rPr>
        <w:sectPr>
          <w:pgSz w:w="11906" w:h="16838"/>
          <w:pgMar w:top="1701" w:right="1531" w:bottom="1701" w:left="1531" w:header="851" w:footer="851" w:gutter="0"/>
          <w:pgNumType w:fmt="decimal"/>
          <w:cols w:space="720" w:num="1"/>
          <w:docGrid w:linePitch="312" w:charSpace="0"/>
        </w:sectPr>
      </w:pPr>
    </w:p>
    <w:p w14:paraId="54A0736E">
      <w:pPr>
        <w:pStyle w:val="29"/>
        <w:adjustRightInd w:val="0"/>
        <w:snapToGrid w:val="0"/>
        <w:spacing w:before="0" w:beforeAutospacing="0" w:after="0" w:afterAutospacing="0" w:line="288" w:lineRule="auto"/>
        <w:outlineLvl w:val="9"/>
        <w:rPr>
          <w:rFonts w:ascii="黑体" w:hAnsi="黑体" w:eastAsia="黑体"/>
          <w:snapToGrid w:val="0"/>
          <w:color w:val="auto"/>
          <w:sz w:val="32"/>
          <w:szCs w:val="32"/>
          <w:highlight w:val="none"/>
        </w:rPr>
      </w:pPr>
      <w:r>
        <w:rPr>
          <w:rFonts w:hint="eastAsia" w:ascii="黑体" w:hAnsi="黑体" w:eastAsia="黑体"/>
          <w:snapToGrid w:val="0"/>
          <w:color w:val="auto"/>
          <w:sz w:val="32"/>
          <w:szCs w:val="32"/>
          <w:highlight w:val="none"/>
        </w:rPr>
        <w:t>附表</w:t>
      </w:r>
    </w:p>
    <w:p w14:paraId="13D0FAD1">
      <w:pPr>
        <w:pStyle w:val="29"/>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outlineLvl w:val="0"/>
        <w:rPr>
          <w:rFonts w:ascii="方正小标宋_GBK" w:hAnsi="黑体" w:eastAsia="方正小标宋_GBK"/>
          <w:snapToGrid w:val="0"/>
          <w:color w:val="auto"/>
          <w:sz w:val="38"/>
          <w:szCs w:val="38"/>
          <w:highlight w:val="none"/>
        </w:rPr>
      </w:pPr>
      <w:bookmarkStart w:id="18" w:name="_Toc4422"/>
      <w:r>
        <w:rPr>
          <w:rFonts w:hint="eastAsia" w:ascii="方正小标宋_GBK" w:hAnsi="黑体" w:eastAsia="方正小标宋_GBK"/>
          <w:snapToGrid w:val="0"/>
          <w:color w:val="auto"/>
          <w:sz w:val="38"/>
          <w:szCs w:val="38"/>
          <w:highlight w:val="none"/>
        </w:rPr>
        <w:t>建设项目污染物排放量汇总表</w:t>
      </w:r>
      <w:bookmarkEnd w:id="18"/>
    </w:p>
    <w:tbl>
      <w:tblPr>
        <w:tblStyle w:val="34"/>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21"/>
        <w:gridCol w:w="1984"/>
        <w:gridCol w:w="1701"/>
        <w:gridCol w:w="1134"/>
        <w:gridCol w:w="1636"/>
        <w:gridCol w:w="1600"/>
        <w:gridCol w:w="1516"/>
        <w:gridCol w:w="1763"/>
        <w:gridCol w:w="1433"/>
      </w:tblGrid>
      <w:tr w14:paraId="58C449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21" w:type="dxa"/>
            <w:tcBorders>
              <w:tl2br w:val="single" w:color="auto" w:sz="4" w:space="0"/>
            </w:tcBorders>
            <w:tcMar>
              <w:left w:w="28" w:type="dxa"/>
              <w:right w:w="28" w:type="dxa"/>
            </w:tcMar>
            <w:vAlign w:val="center"/>
          </w:tcPr>
          <w:p w14:paraId="547D48F8">
            <w:pPr>
              <w:pStyle w:val="53"/>
              <w:keepNext w:val="0"/>
              <w:keepLines w:val="0"/>
              <w:pageBreakBefore w:val="0"/>
              <w:widowControl w:val="0"/>
              <w:kinsoku/>
              <w:wordWrap/>
              <w:overflowPunct/>
              <w:topLinePunct w:val="0"/>
              <w:autoSpaceDE/>
              <w:autoSpaceDN/>
              <w:bidi w:val="0"/>
              <w:adjustRightInd/>
              <w:snapToGrid/>
              <w:spacing w:beforeLines="0" w:afterLines="0" w:line="240" w:lineRule="auto"/>
              <w:jc w:val="right"/>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项目</w:t>
            </w:r>
          </w:p>
          <w:p w14:paraId="69872ADC">
            <w:pPr>
              <w:pStyle w:val="53"/>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分类</w:t>
            </w:r>
          </w:p>
        </w:tc>
        <w:tc>
          <w:tcPr>
            <w:tcW w:w="1984" w:type="dxa"/>
            <w:tcMar>
              <w:left w:w="28" w:type="dxa"/>
              <w:right w:w="28" w:type="dxa"/>
            </w:tcMar>
            <w:vAlign w:val="center"/>
          </w:tcPr>
          <w:p w14:paraId="5FAF57C0">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污染物名称</w:t>
            </w:r>
          </w:p>
        </w:tc>
        <w:tc>
          <w:tcPr>
            <w:tcW w:w="1701" w:type="dxa"/>
            <w:tcMar>
              <w:left w:w="28" w:type="dxa"/>
              <w:right w:w="28" w:type="dxa"/>
            </w:tcMar>
            <w:vAlign w:val="center"/>
          </w:tcPr>
          <w:p w14:paraId="0E95E3A9">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现有工程</w:t>
            </w:r>
          </w:p>
          <w:p w14:paraId="50F2D7E5">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排放量（固体废物产生量）</w:t>
            </w:r>
            <w:r>
              <w:rPr>
                <w:rFonts w:ascii="Times New Roman" w:eastAsiaTheme="minorEastAsia"/>
                <w:snapToGrid w:val="0"/>
                <w:color w:val="auto"/>
                <w:kern w:val="21"/>
                <w:sz w:val="24"/>
                <w:szCs w:val="24"/>
                <w:highlight w:val="none"/>
              </w:rPr>
              <w:fldChar w:fldCharType="begin"/>
            </w:r>
            <w:r>
              <w:rPr>
                <w:rFonts w:ascii="Times New Roman" w:eastAsiaTheme="minorEastAsia"/>
                <w:snapToGrid w:val="0"/>
                <w:color w:val="auto"/>
                <w:kern w:val="21"/>
                <w:sz w:val="24"/>
                <w:szCs w:val="24"/>
                <w:highlight w:val="none"/>
              </w:rPr>
              <w:instrText xml:space="preserve"> = 1 \* GB3 \* MERGEFORMAT </w:instrText>
            </w:r>
            <w:r>
              <w:rPr>
                <w:rFonts w:ascii="Times New Roman" w:eastAsiaTheme="minorEastAsia"/>
                <w:snapToGrid w:val="0"/>
                <w:color w:val="auto"/>
                <w:kern w:val="21"/>
                <w:sz w:val="24"/>
                <w:szCs w:val="24"/>
                <w:highlight w:val="none"/>
              </w:rPr>
              <w:fldChar w:fldCharType="separate"/>
            </w:r>
            <w:r>
              <w:rPr>
                <w:rFonts w:asciiTheme="minorEastAsia" w:hAnsiTheme="minorEastAsia" w:eastAsiaTheme="minorEastAsia"/>
                <w:color w:val="auto"/>
                <w:kern w:val="2"/>
                <w:sz w:val="24"/>
                <w:szCs w:val="24"/>
                <w:highlight w:val="none"/>
              </w:rPr>
              <w:t>①</w:t>
            </w:r>
            <w:r>
              <w:rPr>
                <w:rFonts w:ascii="Times New Roman" w:eastAsiaTheme="minorEastAsia"/>
                <w:snapToGrid w:val="0"/>
                <w:color w:val="auto"/>
                <w:kern w:val="21"/>
                <w:sz w:val="24"/>
                <w:szCs w:val="24"/>
                <w:highlight w:val="none"/>
              </w:rPr>
              <w:fldChar w:fldCharType="end"/>
            </w:r>
          </w:p>
        </w:tc>
        <w:tc>
          <w:tcPr>
            <w:tcW w:w="1134" w:type="dxa"/>
            <w:tcMar>
              <w:left w:w="28" w:type="dxa"/>
              <w:right w:w="28" w:type="dxa"/>
            </w:tcMar>
            <w:vAlign w:val="center"/>
          </w:tcPr>
          <w:p w14:paraId="6CBFA0D0">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现有工程</w:t>
            </w:r>
          </w:p>
          <w:p w14:paraId="20550F45">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许可排放量</w:t>
            </w:r>
            <w:r>
              <w:rPr>
                <w:rFonts w:ascii="Times New Roman" w:eastAsiaTheme="minorEastAsia"/>
                <w:snapToGrid w:val="0"/>
                <w:color w:val="auto"/>
                <w:kern w:val="21"/>
                <w:sz w:val="24"/>
                <w:szCs w:val="24"/>
                <w:highlight w:val="none"/>
              </w:rPr>
              <w:fldChar w:fldCharType="begin"/>
            </w:r>
            <w:r>
              <w:rPr>
                <w:rFonts w:ascii="Times New Roman" w:eastAsiaTheme="minorEastAsia"/>
                <w:snapToGrid w:val="0"/>
                <w:color w:val="auto"/>
                <w:kern w:val="21"/>
                <w:sz w:val="24"/>
                <w:szCs w:val="24"/>
                <w:highlight w:val="none"/>
              </w:rPr>
              <w:instrText xml:space="preserve"> = 2 \* GB3 \* MERGEFORMAT </w:instrText>
            </w:r>
            <w:r>
              <w:rPr>
                <w:rFonts w:ascii="Times New Roman" w:eastAsiaTheme="minorEastAsia"/>
                <w:snapToGrid w:val="0"/>
                <w:color w:val="auto"/>
                <w:kern w:val="21"/>
                <w:sz w:val="24"/>
                <w:szCs w:val="24"/>
                <w:highlight w:val="none"/>
              </w:rPr>
              <w:fldChar w:fldCharType="separate"/>
            </w:r>
            <w:r>
              <w:rPr>
                <w:rFonts w:asciiTheme="minorEastAsia" w:hAnsiTheme="minorEastAsia" w:eastAsiaTheme="minorEastAsia"/>
                <w:snapToGrid w:val="0"/>
                <w:color w:val="auto"/>
                <w:kern w:val="21"/>
                <w:sz w:val="24"/>
                <w:szCs w:val="24"/>
                <w:highlight w:val="none"/>
              </w:rPr>
              <w:t>②</w:t>
            </w:r>
            <w:r>
              <w:rPr>
                <w:rFonts w:ascii="Times New Roman" w:eastAsiaTheme="minorEastAsia"/>
                <w:snapToGrid w:val="0"/>
                <w:color w:val="auto"/>
                <w:kern w:val="21"/>
                <w:sz w:val="24"/>
                <w:szCs w:val="24"/>
                <w:highlight w:val="none"/>
              </w:rPr>
              <w:fldChar w:fldCharType="end"/>
            </w:r>
          </w:p>
        </w:tc>
        <w:tc>
          <w:tcPr>
            <w:tcW w:w="1636" w:type="dxa"/>
            <w:tcMar>
              <w:left w:w="28" w:type="dxa"/>
              <w:right w:w="28" w:type="dxa"/>
            </w:tcMar>
            <w:vAlign w:val="center"/>
          </w:tcPr>
          <w:p w14:paraId="6E216D20">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在建工程排放量（固体废物产生量）</w:t>
            </w:r>
            <w:r>
              <w:rPr>
                <w:rFonts w:ascii="Times New Roman" w:eastAsiaTheme="minorEastAsia"/>
                <w:snapToGrid w:val="0"/>
                <w:color w:val="auto"/>
                <w:kern w:val="21"/>
                <w:sz w:val="24"/>
                <w:szCs w:val="24"/>
                <w:highlight w:val="none"/>
              </w:rPr>
              <w:fldChar w:fldCharType="begin"/>
            </w:r>
            <w:r>
              <w:rPr>
                <w:rFonts w:ascii="Times New Roman" w:eastAsiaTheme="minorEastAsia"/>
                <w:snapToGrid w:val="0"/>
                <w:color w:val="auto"/>
                <w:kern w:val="21"/>
                <w:sz w:val="24"/>
                <w:szCs w:val="24"/>
                <w:highlight w:val="none"/>
              </w:rPr>
              <w:instrText xml:space="preserve"> = 3 \* GB3 \* MERGEFORMAT </w:instrText>
            </w:r>
            <w:r>
              <w:rPr>
                <w:rFonts w:ascii="Times New Roman" w:eastAsiaTheme="minorEastAsia"/>
                <w:snapToGrid w:val="0"/>
                <w:color w:val="auto"/>
                <w:kern w:val="21"/>
                <w:sz w:val="24"/>
                <w:szCs w:val="24"/>
                <w:highlight w:val="none"/>
              </w:rPr>
              <w:fldChar w:fldCharType="separate"/>
            </w:r>
            <w:r>
              <w:rPr>
                <w:rFonts w:asciiTheme="minorEastAsia" w:hAnsiTheme="minorEastAsia" w:eastAsiaTheme="minorEastAsia"/>
                <w:color w:val="auto"/>
                <w:kern w:val="2"/>
                <w:sz w:val="24"/>
                <w:szCs w:val="24"/>
                <w:highlight w:val="none"/>
              </w:rPr>
              <w:t>③</w:t>
            </w:r>
            <w:r>
              <w:rPr>
                <w:rFonts w:ascii="Times New Roman" w:eastAsiaTheme="minorEastAsia"/>
                <w:snapToGrid w:val="0"/>
                <w:color w:val="auto"/>
                <w:kern w:val="21"/>
                <w:sz w:val="24"/>
                <w:szCs w:val="24"/>
                <w:highlight w:val="none"/>
              </w:rPr>
              <w:fldChar w:fldCharType="end"/>
            </w:r>
          </w:p>
        </w:tc>
        <w:tc>
          <w:tcPr>
            <w:tcW w:w="1600" w:type="dxa"/>
            <w:tcMar>
              <w:left w:w="28" w:type="dxa"/>
              <w:right w:w="28" w:type="dxa"/>
            </w:tcMar>
            <w:vAlign w:val="center"/>
          </w:tcPr>
          <w:p w14:paraId="4D460D5E">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本项目排放量（固体废物产生量）</w:t>
            </w:r>
            <w:r>
              <w:rPr>
                <w:rFonts w:ascii="Times New Roman" w:eastAsiaTheme="minorEastAsia"/>
                <w:snapToGrid w:val="0"/>
                <w:color w:val="auto"/>
                <w:kern w:val="21"/>
                <w:sz w:val="24"/>
                <w:szCs w:val="24"/>
                <w:highlight w:val="none"/>
              </w:rPr>
              <w:fldChar w:fldCharType="begin"/>
            </w:r>
            <w:r>
              <w:rPr>
                <w:rFonts w:ascii="Times New Roman" w:eastAsiaTheme="minorEastAsia"/>
                <w:snapToGrid w:val="0"/>
                <w:color w:val="auto"/>
                <w:kern w:val="21"/>
                <w:sz w:val="24"/>
                <w:szCs w:val="24"/>
                <w:highlight w:val="none"/>
              </w:rPr>
              <w:instrText xml:space="preserve"> = 4 \* GB3 \* MERGEFORMAT </w:instrText>
            </w:r>
            <w:r>
              <w:rPr>
                <w:rFonts w:ascii="Times New Roman" w:eastAsiaTheme="minorEastAsia"/>
                <w:snapToGrid w:val="0"/>
                <w:color w:val="auto"/>
                <w:kern w:val="21"/>
                <w:sz w:val="24"/>
                <w:szCs w:val="24"/>
                <w:highlight w:val="none"/>
              </w:rPr>
              <w:fldChar w:fldCharType="separate"/>
            </w:r>
            <w:r>
              <w:rPr>
                <w:rFonts w:asciiTheme="minorEastAsia" w:hAnsiTheme="minorEastAsia" w:eastAsiaTheme="minorEastAsia"/>
                <w:color w:val="auto"/>
                <w:kern w:val="2"/>
                <w:sz w:val="24"/>
                <w:szCs w:val="24"/>
                <w:highlight w:val="none"/>
              </w:rPr>
              <w:t>④</w:t>
            </w:r>
            <w:r>
              <w:rPr>
                <w:rFonts w:ascii="Times New Roman" w:eastAsiaTheme="minorEastAsia"/>
                <w:snapToGrid w:val="0"/>
                <w:color w:val="auto"/>
                <w:kern w:val="21"/>
                <w:sz w:val="24"/>
                <w:szCs w:val="24"/>
                <w:highlight w:val="none"/>
              </w:rPr>
              <w:fldChar w:fldCharType="end"/>
            </w:r>
          </w:p>
        </w:tc>
        <w:tc>
          <w:tcPr>
            <w:tcW w:w="1516" w:type="dxa"/>
            <w:tcMar>
              <w:left w:w="28" w:type="dxa"/>
              <w:right w:w="28" w:type="dxa"/>
            </w:tcMar>
            <w:vAlign w:val="center"/>
          </w:tcPr>
          <w:p w14:paraId="47D4CF7C">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以新带老削减量（新建项目不填）</w:t>
            </w:r>
            <w:r>
              <w:rPr>
                <w:rFonts w:ascii="Times New Roman" w:eastAsiaTheme="minorEastAsia"/>
                <w:snapToGrid w:val="0"/>
                <w:color w:val="auto"/>
                <w:kern w:val="21"/>
                <w:sz w:val="24"/>
                <w:szCs w:val="24"/>
                <w:highlight w:val="none"/>
              </w:rPr>
              <w:fldChar w:fldCharType="begin"/>
            </w:r>
            <w:r>
              <w:rPr>
                <w:rFonts w:ascii="Times New Roman" w:eastAsiaTheme="minorEastAsia"/>
                <w:snapToGrid w:val="0"/>
                <w:color w:val="auto"/>
                <w:kern w:val="21"/>
                <w:sz w:val="24"/>
                <w:szCs w:val="24"/>
                <w:highlight w:val="none"/>
              </w:rPr>
              <w:instrText xml:space="preserve"> = 5 \* GB3 \* MERGEFORMAT </w:instrText>
            </w:r>
            <w:r>
              <w:rPr>
                <w:rFonts w:ascii="Times New Roman" w:eastAsiaTheme="minorEastAsia"/>
                <w:snapToGrid w:val="0"/>
                <w:color w:val="auto"/>
                <w:kern w:val="21"/>
                <w:sz w:val="24"/>
                <w:szCs w:val="24"/>
                <w:highlight w:val="none"/>
              </w:rPr>
              <w:fldChar w:fldCharType="separate"/>
            </w:r>
            <w:r>
              <w:rPr>
                <w:rFonts w:asciiTheme="minorEastAsia" w:hAnsiTheme="minorEastAsia" w:eastAsiaTheme="minorEastAsia"/>
                <w:color w:val="auto"/>
                <w:kern w:val="2"/>
                <w:sz w:val="24"/>
                <w:szCs w:val="24"/>
                <w:highlight w:val="none"/>
              </w:rPr>
              <w:t>⑤</w:t>
            </w:r>
            <w:r>
              <w:rPr>
                <w:rFonts w:ascii="Times New Roman" w:eastAsiaTheme="minorEastAsia"/>
                <w:snapToGrid w:val="0"/>
                <w:color w:val="auto"/>
                <w:kern w:val="21"/>
                <w:sz w:val="24"/>
                <w:szCs w:val="24"/>
                <w:highlight w:val="none"/>
              </w:rPr>
              <w:fldChar w:fldCharType="end"/>
            </w:r>
          </w:p>
        </w:tc>
        <w:tc>
          <w:tcPr>
            <w:tcW w:w="1763" w:type="dxa"/>
            <w:tcMar>
              <w:left w:w="28" w:type="dxa"/>
              <w:right w:w="28" w:type="dxa"/>
            </w:tcMar>
            <w:vAlign w:val="center"/>
          </w:tcPr>
          <w:p w14:paraId="57686033">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本项目建成后全厂排放量（固体废物产生量）</w:t>
            </w:r>
            <w:r>
              <w:rPr>
                <w:rFonts w:ascii="Times New Roman" w:eastAsiaTheme="minorEastAsia"/>
                <w:snapToGrid w:val="0"/>
                <w:color w:val="auto"/>
                <w:kern w:val="21"/>
                <w:sz w:val="24"/>
                <w:szCs w:val="24"/>
                <w:highlight w:val="none"/>
              </w:rPr>
              <w:fldChar w:fldCharType="begin"/>
            </w:r>
            <w:r>
              <w:rPr>
                <w:rFonts w:ascii="Times New Roman" w:eastAsiaTheme="minorEastAsia"/>
                <w:snapToGrid w:val="0"/>
                <w:color w:val="auto"/>
                <w:kern w:val="21"/>
                <w:sz w:val="24"/>
                <w:szCs w:val="24"/>
                <w:highlight w:val="none"/>
              </w:rPr>
              <w:instrText xml:space="preserve"> = 6 \* GB3 \* MERGEFORMAT </w:instrText>
            </w:r>
            <w:r>
              <w:rPr>
                <w:rFonts w:ascii="Times New Roman" w:eastAsiaTheme="minorEastAsia"/>
                <w:snapToGrid w:val="0"/>
                <w:color w:val="auto"/>
                <w:kern w:val="21"/>
                <w:sz w:val="24"/>
                <w:szCs w:val="24"/>
                <w:highlight w:val="none"/>
              </w:rPr>
              <w:fldChar w:fldCharType="separate"/>
            </w:r>
            <w:r>
              <w:rPr>
                <w:rFonts w:asciiTheme="minorEastAsia" w:hAnsiTheme="minorEastAsia" w:eastAsiaTheme="minorEastAsia"/>
                <w:color w:val="auto"/>
                <w:kern w:val="2"/>
                <w:sz w:val="24"/>
                <w:szCs w:val="24"/>
                <w:highlight w:val="none"/>
              </w:rPr>
              <w:t>⑥</w:t>
            </w:r>
            <w:r>
              <w:rPr>
                <w:rFonts w:ascii="Times New Roman" w:eastAsiaTheme="minorEastAsia"/>
                <w:snapToGrid w:val="0"/>
                <w:color w:val="auto"/>
                <w:kern w:val="21"/>
                <w:sz w:val="24"/>
                <w:szCs w:val="24"/>
                <w:highlight w:val="none"/>
              </w:rPr>
              <w:fldChar w:fldCharType="end"/>
            </w:r>
          </w:p>
        </w:tc>
        <w:tc>
          <w:tcPr>
            <w:tcW w:w="1433" w:type="dxa"/>
            <w:tcMar>
              <w:left w:w="28" w:type="dxa"/>
              <w:right w:w="28" w:type="dxa"/>
            </w:tcMar>
            <w:vAlign w:val="center"/>
          </w:tcPr>
          <w:p w14:paraId="1C69D4BD">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变化量</w:t>
            </w:r>
          </w:p>
          <w:p w14:paraId="36F21B4E">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eastAsiaTheme="minorEastAsia"/>
                <w:snapToGrid w:val="0"/>
                <w:color w:val="auto"/>
                <w:kern w:val="21"/>
                <w:sz w:val="24"/>
                <w:szCs w:val="24"/>
                <w:highlight w:val="none"/>
              </w:rPr>
              <w:fldChar w:fldCharType="begin"/>
            </w:r>
            <w:r>
              <w:rPr>
                <w:rFonts w:ascii="Times New Roman" w:eastAsiaTheme="minorEastAsia"/>
                <w:snapToGrid w:val="0"/>
                <w:color w:val="auto"/>
                <w:kern w:val="21"/>
                <w:sz w:val="24"/>
                <w:szCs w:val="24"/>
                <w:highlight w:val="none"/>
              </w:rPr>
              <w:instrText xml:space="preserve"> = 7 \* GB3 \* MERGEFORMAT </w:instrText>
            </w:r>
            <w:r>
              <w:rPr>
                <w:rFonts w:ascii="Times New Roman" w:eastAsiaTheme="minorEastAsia"/>
                <w:snapToGrid w:val="0"/>
                <w:color w:val="auto"/>
                <w:kern w:val="21"/>
                <w:sz w:val="24"/>
                <w:szCs w:val="24"/>
                <w:highlight w:val="none"/>
              </w:rPr>
              <w:fldChar w:fldCharType="separate"/>
            </w:r>
            <w:r>
              <w:rPr>
                <w:rFonts w:asciiTheme="minorEastAsia" w:hAnsiTheme="minorEastAsia" w:eastAsiaTheme="minorEastAsia"/>
                <w:color w:val="auto"/>
                <w:kern w:val="2"/>
                <w:sz w:val="24"/>
                <w:szCs w:val="24"/>
                <w:highlight w:val="none"/>
              </w:rPr>
              <w:t>⑦</w:t>
            </w:r>
            <w:r>
              <w:rPr>
                <w:rFonts w:ascii="Times New Roman" w:eastAsiaTheme="minorEastAsia"/>
                <w:snapToGrid w:val="0"/>
                <w:color w:val="auto"/>
                <w:kern w:val="21"/>
                <w:sz w:val="24"/>
                <w:szCs w:val="24"/>
                <w:highlight w:val="none"/>
              </w:rPr>
              <w:fldChar w:fldCharType="end"/>
            </w:r>
          </w:p>
        </w:tc>
      </w:tr>
      <w:tr w14:paraId="66F918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21" w:type="dxa"/>
            <w:vMerge w:val="restart"/>
            <w:vAlign w:val="center"/>
          </w:tcPr>
          <w:p w14:paraId="14E97517">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废气</w:t>
            </w:r>
          </w:p>
        </w:tc>
        <w:tc>
          <w:tcPr>
            <w:tcW w:w="1984" w:type="dxa"/>
            <w:vAlign w:val="center"/>
          </w:tcPr>
          <w:p w14:paraId="38066B82">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126" w:leftChars="-60" w:right="-126" w:rightChars="-60"/>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非甲烷总烃</w:t>
            </w:r>
          </w:p>
        </w:tc>
        <w:tc>
          <w:tcPr>
            <w:tcW w:w="1701" w:type="dxa"/>
            <w:vAlign w:val="center"/>
          </w:tcPr>
          <w:p w14:paraId="2EB3A77B">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134" w:type="dxa"/>
            <w:vAlign w:val="center"/>
          </w:tcPr>
          <w:p w14:paraId="3F84BD34">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36" w:type="dxa"/>
            <w:vAlign w:val="center"/>
          </w:tcPr>
          <w:p w14:paraId="0ECACE57">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00" w:type="dxa"/>
            <w:vAlign w:val="center"/>
          </w:tcPr>
          <w:p w14:paraId="37F15D42">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hint="eastAsia" w:ascii="Times New Roman" w:eastAsiaTheme="minorEastAsia"/>
                <w:snapToGrid w:val="0"/>
                <w:color w:val="auto"/>
                <w:kern w:val="21"/>
                <w:sz w:val="24"/>
                <w:szCs w:val="24"/>
                <w:highlight w:val="none"/>
                <w:lang w:val="en-US" w:eastAsia="zh-CN"/>
              </w:rPr>
              <w:t>1.64</w:t>
            </w:r>
            <w:r>
              <w:rPr>
                <w:rFonts w:ascii="Times New Roman" w:eastAsiaTheme="minorEastAsia"/>
                <w:snapToGrid w:val="0"/>
                <w:color w:val="auto"/>
                <w:kern w:val="21"/>
                <w:sz w:val="24"/>
                <w:szCs w:val="24"/>
                <w:highlight w:val="none"/>
              </w:rPr>
              <w:t>t/a</w:t>
            </w:r>
          </w:p>
        </w:tc>
        <w:tc>
          <w:tcPr>
            <w:tcW w:w="1516" w:type="dxa"/>
            <w:vAlign w:val="center"/>
          </w:tcPr>
          <w:p w14:paraId="4308B496">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763" w:type="dxa"/>
            <w:vAlign w:val="center"/>
          </w:tcPr>
          <w:p w14:paraId="20831BC7">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hint="eastAsia" w:ascii="Times New Roman" w:eastAsiaTheme="minorEastAsia"/>
                <w:snapToGrid w:val="0"/>
                <w:color w:val="auto"/>
                <w:kern w:val="21"/>
                <w:sz w:val="24"/>
                <w:szCs w:val="24"/>
                <w:highlight w:val="none"/>
                <w:lang w:val="en-US" w:eastAsia="zh-CN"/>
              </w:rPr>
              <w:t>1.64t</w:t>
            </w:r>
            <w:r>
              <w:rPr>
                <w:rFonts w:ascii="Times New Roman" w:eastAsiaTheme="minorEastAsia"/>
                <w:snapToGrid w:val="0"/>
                <w:color w:val="auto"/>
                <w:kern w:val="21"/>
                <w:sz w:val="24"/>
                <w:szCs w:val="24"/>
                <w:highlight w:val="none"/>
              </w:rPr>
              <w:t>/a</w:t>
            </w:r>
          </w:p>
        </w:tc>
        <w:tc>
          <w:tcPr>
            <w:tcW w:w="1433" w:type="dxa"/>
            <w:vAlign w:val="center"/>
          </w:tcPr>
          <w:p w14:paraId="77EB5BE2">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hint="eastAsia" w:ascii="Times New Roman" w:eastAsiaTheme="minorEastAsia"/>
                <w:snapToGrid w:val="0"/>
                <w:color w:val="auto"/>
                <w:kern w:val="21"/>
                <w:sz w:val="24"/>
                <w:szCs w:val="24"/>
                <w:highlight w:val="none"/>
                <w:lang w:val="en-US" w:eastAsia="zh-CN"/>
              </w:rPr>
              <w:t>+1.64</w:t>
            </w:r>
            <w:r>
              <w:rPr>
                <w:rFonts w:ascii="Times New Roman" w:eastAsiaTheme="minorEastAsia"/>
                <w:snapToGrid w:val="0"/>
                <w:color w:val="auto"/>
                <w:kern w:val="21"/>
                <w:sz w:val="24"/>
                <w:szCs w:val="24"/>
                <w:highlight w:val="none"/>
              </w:rPr>
              <w:t>t/a</w:t>
            </w:r>
          </w:p>
        </w:tc>
      </w:tr>
      <w:tr w14:paraId="698F39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21" w:type="dxa"/>
            <w:vMerge w:val="continue"/>
            <w:vAlign w:val="center"/>
          </w:tcPr>
          <w:p w14:paraId="4735B8F1">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p>
        </w:tc>
        <w:tc>
          <w:tcPr>
            <w:tcW w:w="1984" w:type="dxa"/>
            <w:vAlign w:val="center"/>
          </w:tcPr>
          <w:p w14:paraId="2CB1880A">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126" w:leftChars="-60" w:right="-126" w:rightChars="-60"/>
              <w:textAlignment w:val="auto"/>
              <w:rPr>
                <w:rFonts w:hint="eastAsia" w:ascii="Times New Roman" w:hAnsiTheme="minorEastAsia" w:eastAsiaTheme="minorEastAsia"/>
                <w:snapToGrid w:val="0"/>
                <w:color w:val="auto"/>
                <w:kern w:val="21"/>
                <w:sz w:val="24"/>
                <w:szCs w:val="24"/>
                <w:highlight w:val="none"/>
                <w:lang w:val="en-US" w:eastAsia="zh-CN"/>
              </w:rPr>
            </w:pPr>
            <w:r>
              <w:rPr>
                <w:rFonts w:hint="eastAsia" w:ascii="Times New Roman" w:hAnsiTheme="minorEastAsia" w:eastAsiaTheme="minorEastAsia"/>
                <w:snapToGrid w:val="0"/>
                <w:color w:val="auto"/>
                <w:kern w:val="21"/>
                <w:sz w:val="24"/>
                <w:szCs w:val="24"/>
                <w:highlight w:val="none"/>
                <w:lang w:val="en-US" w:eastAsia="zh-CN"/>
              </w:rPr>
              <w:t>颗粒物</w:t>
            </w:r>
          </w:p>
        </w:tc>
        <w:tc>
          <w:tcPr>
            <w:tcW w:w="1701" w:type="dxa"/>
            <w:vAlign w:val="center"/>
          </w:tcPr>
          <w:p w14:paraId="0ECDB9A7">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134" w:type="dxa"/>
            <w:vAlign w:val="center"/>
          </w:tcPr>
          <w:p w14:paraId="4755F771">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36" w:type="dxa"/>
            <w:vAlign w:val="center"/>
          </w:tcPr>
          <w:p w14:paraId="3A75AF3F">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00" w:type="dxa"/>
            <w:vAlign w:val="center"/>
          </w:tcPr>
          <w:p w14:paraId="36FE327E">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hint="default" w:ascii="Times New Roman" w:eastAsiaTheme="minorEastAsia"/>
                <w:snapToGrid w:val="0"/>
                <w:color w:val="auto"/>
                <w:kern w:val="21"/>
                <w:sz w:val="24"/>
                <w:szCs w:val="24"/>
                <w:highlight w:val="none"/>
                <w:lang w:val="en-US" w:eastAsia="zh-CN"/>
              </w:rPr>
            </w:pPr>
            <w:r>
              <w:rPr>
                <w:rFonts w:hint="eastAsia" w:ascii="Times New Roman" w:eastAsiaTheme="minorEastAsia"/>
                <w:snapToGrid w:val="0"/>
                <w:color w:val="auto"/>
                <w:kern w:val="21"/>
                <w:sz w:val="24"/>
                <w:szCs w:val="24"/>
                <w:highlight w:val="none"/>
                <w:lang w:val="en-US" w:eastAsia="zh-CN"/>
              </w:rPr>
              <w:t>0.108</w:t>
            </w:r>
            <w:r>
              <w:rPr>
                <w:rFonts w:ascii="Times New Roman" w:eastAsiaTheme="minorEastAsia"/>
                <w:snapToGrid w:val="0"/>
                <w:color w:val="auto"/>
                <w:kern w:val="21"/>
                <w:sz w:val="24"/>
                <w:szCs w:val="24"/>
                <w:highlight w:val="none"/>
              </w:rPr>
              <w:t>t/a</w:t>
            </w:r>
          </w:p>
        </w:tc>
        <w:tc>
          <w:tcPr>
            <w:tcW w:w="1516" w:type="dxa"/>
            <w:vAlign w:val="center"/>
          </w:tcPr>
          <w:p w14:paraId="0DC6F64D">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763" w:type="dxa"/>
            <w:vAlign w:val="center"/>
          </w:tcPr>
          <w:p w14:paraId="0C1AA31C">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hint="eastAsia" w:ascii="Times New Roman" w:eastAsiaTheme="minorEastAsia"/>
                <w:snapToGrid w:val="0"/>
                <w:color w:val="auto"/>
                <w:kern w:val="21"/>
                <w:sz w:val="24"/>
                <w:szCs w:val="24"/>
                <w:highlight w:val="none"/>
                <w:lang w:val="en-US" w:eastAsia="zh-CN"/>
              </w:rPr>
            </w:pPr>
            <w:r>
              <w:rPr>
                <w:rFonts w:hint="eastAsia" w:ascii="Times New Roman" w:eastAsiaTheme="minorEastAsia"/>
                <w:snapToGrid w:val="0"/>
                <w:color w:val="auto"/>
                <w:kern w:val="21"/>
                <w:sz w:val="24"/>
                <w:szCs w:val="24"/>
                <w:highlight w:val="none"/>
                <w:lang w:val="en-US" w:eastAsia="zh-CN"/>
              </w:rPr>
              <w:t>0.108</w:t>
            </w:r>
            <w:r>
              <w:rPr>
                <w:rFonts w:ascii="Times New Roman" w:eastAsiaTheme="minorEastAsia"/>
                <w:snapToGrid w:val="0"/>
                <w:color w:val="auto"/>
                <w:kern w:val="21"/>
                <w:sz w:val="24"/>
                <w:szCs w:val="24"/>
                <w:highlight w:val="none"/>
              </w:rPr>
              <w:t>t/a</w:t>
            </w:r>
          </w:p>
        </w:tc>
        <w:tc>
          <w:tcPr>
            <w:tcW w:w="1433" w:type="dxa"/>
            <w:vAlign w:val="center"/>
          </w:tcPr>
          <w:p w14:paraId="1BAC3074">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hint="eastAsia" w:ascii="Times New Roman" w:eastAsiaTheme="minorEastAsia"/>
                <w:snapToGrid w:val="0"/>
                <w:color w:val="auto"/>
                <w:kern w:val="21"/>
                <w:sz w:val="24"/>
                <w:szCs w:val="24"/>
                <w:highlight w:val="none"/>
                <w:lang w:val="en-US" w:eastAsia="zh-CN"/>
              </w:rPr>
            </w:pPr>
            <w:r>
              <w:rPr>
                <w:rFonts w:hint="eastAsia" w:ascii="Times New Roman" w:eastAsiaTheme="minorEastAsia"/>
                <w:snapToGrid w:val="0"/>
                <w:color w:val="auto"/>
                <w:kern w:val="21"/>
                <w:sz w:val="24"/>
                <w:szCs w:val="24"/>
                <w:highlight w:val="none"/>
                <w:lang w:val="en-US" w:eastAsia="zh-CN"/>
              </w:rPr>
              <w:t>+0.108</w:t>
            </w:r>
            <w:r>
              <w:rPr>
                <w:rFonts w:ascii="Times New Roman" w:eastAsiaTheme="minorEastAsia"/>
                <w:snapToGrid w:val="0"/>
                <w:color w:val="auto"/>
                <w:kern w:val="21"/>
                <w:sz w:val="24"/>
                <w:szCs w:val="24"/>
                <w:highlight w:val="none"/>
              </w:rPr>
              <w:t>t/a</w:t>
            </w:r>
          </w:p>
        </w:tc>
      </w:tr>
      <w:tr w14:paraId="0972FC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21" w:type="dxa"/>
            <w:vMerge w:val="restart"/>
            <w:vAlign w:val="center"/>
          </w:tcPr>
          <w:p w14:paraId="55B81889">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废水（生活污水）</w:t>
            </w:r>
          </w:p>
        </w:tc>
        <w:tc>
          <w:tcPr>
            <w:tcW w:w="1984" w:type="dxa"/>
            <w:vAlign w:val="center"/>
          </w:tcPr>
          <w:p w14:paraId="06A5E617">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废水量</w:t>
            </w:r>
          </w:p>
        </w:tc>
        <w:tc>
          <w:tcPr>
            <w:tcW w:w="1701" w:type="dxa"/>
            <w:vAlign w:val="center"/>
          </w:tcPr>
          <w:p w14:paraId="71610D72">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134" w:type="dxa"/>
            <w:vAlign w:val="center"/>
          </w:tcPr>
          <w:p w14:paraId="02D1CDD5">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36" w:type="dxa"/>
            <w:vAlign w:val="center"/>
          </w:tcPr>
          <w:p w14:paraId="4F149893">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00" w:type="dxa"/>
            <w:vAlign w:val="center"/>
          </w:tcPr>
          <w:p w14:paraId="5A313EC0">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hint="eastAsia" w:ascii="Times New Roman" w:eastAsiaTheme="minorEastAsia"/>
                <w:snapToGrid w:val="0"/>
                <w:color w:val="auto"/>
                <w:kern w:val="21"/>
                <w:sz w:val="24"/>
                <w:szCs w:val="24"/>
                <w:highlight w:val="none"/>
                <w:lang w:val="en-US" w:eastAsia="zh-CN"/>
              </w:rPr>
              <w:t>600</w:t>
            </w:r>
            <w:r>
              <w:rPr>
                <w:rFonts w:ascii="Times New Roman" w:eastAsiaTheme="minorEastAsia"/>
                <w:snapToGrid w:val="0"/>
                <w:color w:val="auto"/>
                <w:kern w:val="21"/>
                <w:sz w:val="24"/>
                <w:szCs w:val="24"/>
                <w:highlight w:val="none"/>
              </w:rPr>
              <w:t>m</w:t>
            </w:r>
            <w:r>
              <w:rPr>
                <w:rFonts w:ascii="Times New Roman" w:eastAsiaTheme="minorEastAsia"/>
                <w:snapToGrid w:val="0"/>
                <w:color w:val="auto"/>
                <w:kern w:val="21"/>
                <w:sz w:val="24"/>
                <w:szCs w:val="24"/>
                <w:highlight w:val="none"/>
                <w:vertAlign w:val="superscript"/>
              </w:rPr>
              <w:t>3</w:t>
            </w:r>
            <w:r>
              <w:rPr>
                <w:rFonts w:ascii="Times New Roman" w:eastAsiaTheme="minorEastAsia"/>
                <w:snapToGrid w:val="0"/>
                <w:color w:val="auto"/>
                <w:kern w:val="21"/>
                <w:sz w:val="24"/>
                <w:szCs w:val="24"/>
                <w:highlight w:val="none"/>
              </w:rPr>
              <w:t>/a</w:t>
            </w:r>
          </w:p>
        </w:tc>
        <w:tc>
          <w:tcPr>
            <w:tcW w:w="1516" w:type="dxa"/>
            <w:vAlign w:val="center"/>
          </w:tcPr>
          <w:p w14:paraId="47FD77B1">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763" w:type="dxa"/>
            <w:vAlign w:val="center"/>
          </w:tcPr>
          <w:p w14:paraId="39BC18B6">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hint="eastAsia" w:ascii="Times New Roman" w:eastAsiaTheme="minorEastAsia"/>
                <w:snapToGrid w:val="0"/>
                <w:color w:val="auto"/>
                <w:kern w:val="21"/>
                <w:sz w:val="24"/>
                <w:szCs w:val="24"/>
                <w:highlight w:val="none"/>
                <w:lang w:val="en-US" w:eastAsia="zh-CN"/>
              </w:rPr>
              <w:t>600</w:t>
            </w:r>
            <w:r>
              <w:rPr>
                <w:rFonts w:ascii="Times New Roman" w:eastAsiaTheme="minorEastAsia"/>
                <w:snapToGrid w:val="0"/>
                <w:color w:val="auto"/>
                <w:kern w:val="21"/>
                <w:sz w:val="24"/>
                <w:szCs w:val="24"/>
                <w:highlight w:val="none"/>
              </w:rPr>
              <w:t>m</w:t>
            </w:r>
            <w:r>
              <w:rPr>
                <w:rFonts w:ascii="Times New Roman" w:eastAsiaTheme="minorEastAsia"/>
                <w:snapToGrid w:val="0"/>
                <w:color w:val="auto"/>
                <w:kern w:val="21"/>
                <w:sz w:val="24"/>
                <w:szCs w:val="24"/>
                <w:highlight w:val="none"/>
                <w:vertAlign w:val="superscript"/>
              </w:rPr>
              <w:t>3</w:t>
            </w:r>
            <w:r>
              <w:rPr>
                <w:rFonts w:ascii="Times New Roman" w:eastAsiaTheme="minorEastAsia"/>
                <w:snapToGrid w:val="0"/>
                <w:color w:val="auto"/>
                <w:kern w:val="21"/>
                <w:sz w:val="24"/>
                <w:szCs w:val="24"/>
                <w:highlight w:val="none"/>
              </w:rPr>
              <w:t>/a</w:t>
            </w:r>
          </w:p>
        </w:tc>
        <w:tc>
          <w:tcPr>
            <w:tcW w:w="1433" w:type="dxa"/>
            <w:vAlign w:val="center"/>
          </w:tcPr>
          <w:p w14:paraId="5CEDE124">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r>
              <w:rPr>
                <w:rFonts w:ascii="Times New Roman" w:eastAsiaTheme="minorEastAsia"/>
                <w:snapToGrid w:val="0"/>
                <w:color w:val="auto"/>
                <w:kern w:val="21"/>
                <w:sz w:val="24"/>
                <w:szCs w:val="24"/>
                <w:highlight w:val="none"/>
              </w:rPr>
              <w:t>+</w:t>
            </w:r>
            <w:r>
              <w:rPr>
                <w:rFonts w:hint="eastAsia" w:ascii="Times New Roman" w:eastAsiaTheme="minorEastAsia"/>
                <w:snapToGrid w:val="0"/>
                <w:color w:val="auto"/>
                <w:kern w:val="21"/>
                <w:sz w:val="24"/>
                <w:szCs w:val="24"/>
                <w:highlight w:val="none"/>
                <w:lang w:val="en-US" w:eastAsia="zh-CN"/>
              </w:rPr>
              <w:t>600</w:t>
            </w:r>
            <w:r>
              <w:rPr>
                <w:rFonts w:ascii="Times New Roman" w:eastAsiaTheme="minorEastAsia"/>
                <w:snapToGrid w:val="0"/>
                <w:color w:val="auto"/>
                <w:kern w:val="21"/>
                <w:sz w:val="24"/>
                <w:szCs w:val="24"/>
                <w:highlight w:val="none"/>
              </w:rPr>
              <w:t>m</w:t>
            </w:r>
            <w:r>
              <w:rPr>
                <w:rFonts w:ascii="Times New Roman" w:eastAsiaTheme="minorEastAsia"/>
                <w:snapToGrid w:val="0"/>
                <w:color w:val="auto"/>
                <w:kern w:val="21"/>
                <w:sz w:val="24"/>
                <w:szCs w:val="24"/>
                <w:highlight w:val="none"/>
                <w:vertAlign w:val="superscript"/>
              </w:rPr>
              <w:t>3</w:t>
            </w:r>
            <w:r>
              <w:rPr>
                <w:rFonts w:ascii="Times New Roman" w:eastAsiaTheme="minorEastAsia"/>
                <w:snapToGrid w:val="0"/>
                <w:color w:val="auto"/>
                <w:kern w:val="21"/>
                <w:sz w:val="24"/>
                <w:szCs w:val="24"/>
                <w:highlight w:val="none"/>
              </w:rPr>
              <w:t>/a</w:t>
            </w:r>
          </w:p>
        </w:tc>
      </w:tr>
      <w:tr w14:paraId="33E33C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21" w:type="dxa"/>
            <w:vMerge w:val="continue"/>
            <w:vAlign w:val="center"/>
          </w:tcPr>
          <w:p w14:paraId="485C35DF">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p>
        </w:tc>
        <w:tc>
          <w:tcPr>
            <w:tcW w:w="1984" w:type="dxa"/>
            <w:vAlign w:val="center"/>
          </w:tcPr>
          <w:p w14:paraId="5399135E">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r>
              <w:rPr>
                <w:rFonts w:ascii="Times New Roman" w:eastAsiaTheme="minorEastAsia"/>
                <w:snapToGrid w:val="0"/>
                <w:color w:val="auto"/>
                <w:kern w:val="21"/>
                <w:sz w:val="24"/>
                <w:szCs w:val="24"/>
                <w:highlight w:val="none"/>
              </w:rPr>
              <w:t>COD</w:t>
            </w:r>
            <w:r>
              <w:rPr>
                <w:rFonts w:ascii="Times New Roman" w:eastAsiaTheme="minorEastAsia"/>
                <w:snapToGrid w:val="0"/>
                <w:color w:val="auto"/>
                <w:kern w:val="21"/>
                <w:sz w:val="24"/>
                <w:szCs w:val="24"/>
                <w:highlight w:val="none"/>
                <w:vertAlign w:val="subscript"/>
              </w:rPr>
              <w:t>cr</w:t>
            </w:r>
          </w:p>
        </w:tc>
        <w:tc>
          <w:tcPr>
            <w:tcW w:w="1701" w:type="dxa"/>
            <w:vAlign w:val="center"/>
          </w:tcPr>
          <w:p w14:paraId="71D630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eastAsiaTheme="minorEastAsia"/>
                <w:color w:val="auto"/>
                <w:kern w:val="0"/>
                <w:sz w:val="24"/>
                <w:highlight w:val="none"/>
              </w:rPr>
            </w:pPr>
          </w:p>
        </w:tc>
        <w:tc>
          <w:tcPr>
            <w:tcW w:w="1134" w:type="dxa"/>
            <w:vAlign w:val="center"/>
          </w:tcPr>
          <w:p w14:paraId="196D82F7">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36" w:type="dxa"/>
            <w:vAlign w:val="center"/>
          </w:tcPr>
          <w:p w14:paraId="56AC23E0">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00" w:type="dxa"/>
            <w:vAlign w:val="center"/>
          </w:tcPr>
          <w:p w14:paraId="730A5D79">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eastAsiaTheme="minorEastAsia"/>
                <w:snapToGrid w:val="0"/>
                <w:color w:val="auto"/>
                <w:kern w:val="21"/>
                <w:sz w:val="24"/>
                <w:szCs w:val="24"/>
                <w:highlight w:val="none"/>
              </w:rPr>
              <w:t>0.</w:t>
            </w:r>
            <w:r>
              <w:rPr>
                <w:rFonts w:hint="eastAsia" w:ascii="Times New Roman" w:eastAsiaTheme="minorEastAsia"/>
                <w:snapToGrid w:val="0"/>
                <w:color w:val="auto"/>
                <w:kern w:val="21"/>
                <w:sz w:val="24"/>
                <w:szCs w:val="24"/>
                <w:highlight w:val="none"/>
                <w:lang w:val="en-US" w:eastAsia="zh-CN"/>
              </w:rPr>
              <w:t>24</w:t>
            </w:r>
            <w:r>
              <w:rPr>
                <w:rFonts w:ascii="Times New Roman" w:eastAsiaTheme="minorEastAsia"/>
                <w:snapToGrid w:val="0"/>
                <w:color w:val="auto"/>
                <w:kern w:val="21"/>
                <w:sz w:val="24"/>
                <w:szCs w:val="24"/>
                <w:highlight w:val="none"/>
              </w:rPr>
              <w:t>t/a</w:t>
            </w:r>
          </w:p>
        </w:tc>
        <w:tc>
          <w:tcPr>
            <w:tcW w:w="1516" w:type="dxa"/>
            <w:vAlign w:val="center"/>
          </w:tcPr>
          <w:p w14:paraId="00D8CDB2">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763" w:type="dxa"/>
            <w:vAlign w:val="center"/>
          </w:tcPr>
          <w:p w14:paraId="1754A0A2">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eastAsiaTheme="minorEastAsia"/>
                <w:snapToGrid w:val="0"/>
                <w:color w:val="auto"/>
                <w:kern w:val="21"/>
                <w:sz w:val="24"/>
                <w:szCs w:val="24"/>
                <w:highlight w:val="none"/>
              </w:rPr>
              <w:t>0.</w:t>
            </w:r>
            <w:r>
              <w:rPr>
                <w:rFonts w:hint="eastAsia" w:ascii="Times New Roman" w:eastAsiaTheme="minorEastAsia"/>
                <w:snapToGrid w:val="0"/>
                <w:color w:val="auto"/>
                <w:kern w:val="21"/>
                <w:sz w:val="24"/>
                <w:szCs w:val="24"/>
                <w:highlight w:val="none"/>
                <w:lang w:val="en-US" w:eastAsia="zh-CN"/>
              </w:rPr>
              <w:t>24</w:t>
            </w:r>
            <w:r>
              <w:rPr>
                <w:rFonts w:ascii="Times New Roman" w:eastAsiaTheme="minorEastAsia"/>
                <w:snapToGrid w:val="0"/>
                <w:color w:val="auto"/>
                <w:kern w:val="21"/>
                <w:sz w:val="24"/>
                <w:szCs w:val="24"/>
                <w:highlight w:val="none"/>
              </w:rPr>
              <w:t>t/a</w:t>
            </w:r>
          </w:p>
        </w:tc>
        <w:tc>
          <w:tcPr>
            <w:tcW w:w="1433" w:type="dxa"/>
            <w:vAlign w:val="center"/>
          </w:tcPr>
          <w:p w14:paraId="4FC765A6">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hint="eastAsia" w:ascii="Times New Roman" w:eastAsiaTheme="minorEastAsia"/>
                <w:snapToGrid w:val="0"/>
                <w:color w:val="auto"/>
                <w:kern w:val="21"/>
                <w:sz w:val="24"/>
                <w:szCs w:val="24"/>
                <w:highlight w:val="none"/>
                <w:lang w:val="en-US" w:eastAsia="zh-CN"/>
              </w:rPr>
              <w:t>+</w:t>
            </w:r>
            <w:r>
              <w:rPr>
                <w:rFonts w:ascii="Times New Roman" w:eastAsiaTheme="minorEastAsia"/>
                <w:snapToGrid w:val="0"/>
                <w:color w:val="auto"/>
                <w:kern w:val="21"/>
                <w:sz w:val="24"/>
                <w:szCs w:val="24"/>
                <w:highlight w:val="none"/>
              </w:rPr>
              <w:t>0.</w:t>
            </w:r>
            <w:r>
              <w:rPr>
                <w:rFonts w:hint="eastAsia" w:ascii="Times New Roman" w:eastAsiaTheme="minorEastAsia"/>
                <w:snapToGrid w:val="0"/>
                <w:color w:val="auto"/>
                <w:kern w:val="21"/>
                <w:sz w:val="24"/>
                <w:szCs w:val="24"/>
                <w:highlight w:val="none"/>
                <w:lang w:val="en-US" w:eastAsia="zh-CN"/>
              </w:rPr>
              <w:t>24</w:t>
            </w:r>
            <w:r>
              <w:rPr>
                <w:rFonts w:ascii="Times New Roman" w:eastAsiaTheme="minorEastAsia"/>
                <w:snapToGrid w:val="0"/>
                <w:color w:val="auto"/>
                <w:kern w:val="21"/>
                <w:sz w:val="24"/>
                <w:szCs w:val="24"/>
                <w:highlight w:val="none"/>
              </w:rPr>
              <w:t>t/a</w:t>
            </w:r>
          </w:p>
        </w:tc>
      </w:tr>
      <w:tr w14:paraId="29E00B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21" w:type="dxa"/>
            <w:vMerge w:val="continue"/>
            <w:vAlign w:val="center"/>
          </w:tcPr>
          <w:p w14:paraId="2C914095">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p>
        </w:tc>
        <w:tc>
          <w:tcPr>
            <w:tcW w:w="1984" w:type="dxa"/>
            <w:vAlign w:val="center"/>
          </w:tcPr>
          <w:p w14:paraId="0353614D">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r>
              <w:rPr>
                <w:rFonts w:ascii="Times New Roman" w:eastAsiaTheme="minorEastAsia"/>
                <w:snapToGrid w:val="0"/>
                <w:color w:val="auto"/>
                <w:kern w:val="21"/>
                <w:sz w:val="24"/>
                <w:szCs w:val="24"/>
                <w:highlight w:val="none"/>
              </w:rPr>
              <w:t>BOD</w:t>
            </w:r>
            <w:r>
              <w:rPr>
                <w:rFonts w:ascii="Times New Roman" w:eastAsiaTheme="minorEastAsia"/>
                <w:snapToGrid w:val="0"/>
                <w:color w:val="auto"/>
                <w:kern w:val="21"/>
                <w:sz w:val="24"/>
                <w:szCs w:val="24"/>
                <w:highlight w:val="none"/>
                <w:vertAlign w:val="subscript"/>
              </w:rPr>
              <w:t>5</w:t>
            </w:r>
          </w:p>
        </w:tc>
        <w:tc>
          <w:tcPr>
            <w:tcW w:w="1701" w:type="dxa"/>
            <w:vAlign w:val="center"/>
          </w:tcPr>
          <w:p w14:paraId="45F6A7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eastAsiaTheme="minorEastAsia"/>
                <w:color w:val="auto"/>
                <w:kern w:val="0"/>
                <w:sz w:val="24"/>
                <w:highlight w:val="none"/>
              </w:rPr>
            </w:pPr>
          </w:p>
        </w:tc>
        <w:tc>
          <w:tcPr>
            <w:tcW w:w="1134" w:type="dxa"/>
            <w:vAlign w:val="center"/>
          </w:tcPr>
          <w:p w14:paraId="0DEA5D54">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36" w:type="dxa"/>
            <w:vAlign w:val="center"/>
          </w:tcPr>
          <w:p w14:paraId="471406F2">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00" w:type="dxa"/>
            <w:vAlign w:val="center"/>
          </w:tcPr>
          <w:p w14:paraId="2F6F1E2E">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eastAsiaTheme="minorEastAsia"/>
                <w:snapToGrid w:val="0"/>
                <w:color w:val="auto"/>
                <w:kern w:val="21"/>
                <w:sz w:val="24"/>
                <w:szCs w:val="24"/>
                <w:highlight w:val="none"/>
              </w:rPr>
              <w:t>0.</w:t>
            </w:r>
            <w:r>
              <w:rPr>
                <w:rFonts w:hint="eastAsia" w:ascii="Times New Roman" w:eastAsiaTheme="minorEastAsia"/>
                <w:snapToGrid w:val="0"/>
                <w:color w:val="auto"/>
                <w:kern w:val="21"/>
                <w:sz w:val="24"/>
                <w:szCs w:val="24"/>
                <w:highlight w:val="none"/>
                <w:lang w:val="en-US" w:eastAsia="zh-CN"/>
              </w:rPr>
              <w:t>12</w:t>
            </w:r>
            <w:r>
              <w:rPr>
                <w:rFonts w:ascii="Times New Roman" w:eastAsiaTheme="minorEastAsia"/>
                <w:snapToGrid w:val="0"/>
                <w:color w:val="auto"/>
                <w:kern w:val="21"/>
                <w:sz w:val="24"/>
                <w:szCs w:val="24"/>
                <w:highlight w:val="none"/>
              </w:rPr>
              <w:t>t/a</w:t>
            </w:r>
          </w:p>
        </w:tc>
        <w:tc>
          <w:tcPr>
            <w:tcW w:w="1516" w:type="dxa"/>
            <w:vAlign w:val="center"/>
          </w:tcPr>
          <w:p w14:paraId="5802006A">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763" w:type="dxa"/>
            <w:vAlign w:val="center"/>
          </w:tcPr>
          <w:p w14:paraId="17F1FFB5">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eastAsiaTheme="minorEastAsia"/>
                <w:snapToGrid w:val="0"/>
                <w:color w:val="auto"/>
                <w:kern w:val="21"/>
                <w:sz w:val="24"/>
                <w:szCs w:val="24"/>
                <w:highlight w:val="none"/>
              </w:rPr>
              <w:t>0.</w:t>
            </w:r>
            <w:r>
              <w:rPr>
                <w:rFonts w:hint="eastAsia" w:ascii="Times New Roman" w:eastAsiaTheme="minorEastAsia"/>
                <w:snapToGrid w:val="0"/>
                <w:color w:val="auto"/>
                <w:kern w:val="21"/>
                <w:sz w:val="24"/>
                <w:szCs w:val="24"/>
                <w:highlight w:val="none"/>
                <w:lang w:val="en-US" w:eastAsia="zh-CN"/>
              </w:rPr>
              <w:t>12</w:t>
            </w:r>
            <w:r>
              <w:rPr>
                <w:rFonts w:ascii="Times New Roman" w:eastAsiaTheme="minorEastAsia"/>
                <w:snapToGrid w:val="0"/>
                <w:color w:val="auto"/>
                <w:kern w:val="21"/>
                <w:sz w:val="24"/>
                <w:szCs w:val="24"/>
                <w:highlight w:val="none"/>
              </w:rPr>
              <w:t>t/a</w:t>
            </w:r>
          </w:p>
        </w:tc>
        <w:tc>
          <w:tcPr>
            <w:tcW w:w="1433" w:type="dxa"/>
            <w:vAlign w:val="center"/>
          </w:tcPr>
          <w:p w14:paraId="475375EC">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hint="eastAsia" w:ascii="Times New Roman" w:eastAsiaTheme="minorEastAsia"/>
                <w:snapToGrid w:val="0"/>
                <w:color w:val="auto"/>
                <w:kern w:val="21"/>
                <w:sz w:val="24"/>
                <w:szCs w:val="24"/>
                <w:highlight w:val="none"/>
                <w:lang w:val="en-US" w:eastAsia="zh-CN"/>
              </w:rPr>
              <w:t>+</w:t>
            </w:r>
            <w:r>
              <w:rPr>
                <w:rFonts w:ascii="Times New Roman" w:eastAsiaTheme="minorEastAsia"/>
                <w:snapToGrid w:val="0"/>
                <w:color w:val="auto"/>
                <w:kern w:val="21"/>
                <w:sz w:val="24"/>
                <w:szCs w:val="24"/>
                <w:highlight w:val="none"/>
              </w:rPr>
              <w:t>0.</w:t>
            </w:r>
            <w:r>
              <w:rPr>
                <w:rFonts w:hint="eastAsia" w:ascii="Times New Roman" w:eastAsiaTheme="minorEastAsia"/>
                <w:snapToGrid w:val="0"/>
                <w:color w:val="auto"/>
                <w:kern w:val="21"/>
                <w:sz w:val="24"/>
                <w:szCs w:val="24"/>
                <w:highlight w:val="none"/>
                <w:lang w:val="en-US" w:eastAsia="zh-CN"/>
              </w:rPr>
              <w:t>12</w:t>
            </w:r>
            <w:r>
              <w:rPr>
                <w:rFonts w:ascii="Times New Roman" w:eastAsiaTheme="minorEastAsia"/>
                <w:snapToGrid w:val="0"/>
                <w:color w:val="auto"/>
                <w:kern w:val="21"/>
                <w:sz w:val="24"/>
                <w:szCs w:val="24"/>
                <w:highlight w:val="none"/>
              </w:rPr>
              <w:t>t/a</w:t>
            </w:r>
          </w:p>
        </w:tc>
      </w:tr>
      <w:tr w14:paraId="4D02EF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21" w:type="dxa"/>
            <w:vMerge w:val="continue"/>
            <w:vAlign w:val="center"/>
          </w:tcPr>
          <w:p w14:paraId="43584489">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p>
        </w:tc>
        <w:tc>
          <w:tcPr>
            <w:tcW w:w="1984" w:type="dxa"/>
            <w:vAlign w:val="center"/>
          </w:tcPr>
          <w:p w14:paraId="723E10DF">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r>
              <w:rPr>
                <w:rFonts w:ascii="Times New Roman" w:eastAsiaTheme="minorEastAsia"/>
                <w:snapToGrid w:val="0"/>
                <w:color w:val="auto"/>
                <w:kern w:val="21"/>
                <w:sz w:val="24"/>
                <w:szCs w:val="24"/>
                <w:highlight w:val="none"/>
              </w:rPr>
              <w:t>SS</w:t>
            </w:r>
          </w:p>
        </w:tc>
        <w:tc>
          <w:tcPr>
            <w:tcW w:w="1701" w:type="dxa"/>
            <w:vAlign w:val="center"/>
          </w:tcPr>
          <w:p w14:paraId="2B5323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eastAsiaTheme="minorEastAsia"/>
                <w:color w:val="auto"/>
                <w:kern w:val="0"/>
                <w:sz w:val="24"/>
                <w:highlight w:val="none"/>
              </w:rPr>
            </w:pPr>
          </w:p>
        </w:tc>
        <w:tc>
          <w:tcPr>
            <w:tcW w:w="1134" w:type="dxa"/>
            <w:vAlign w:val="center"/>
          </w:tcPr>
          <w:p w14:paraId="238294D7">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36" w:type="dxa"/>
            <w:vAlign w:val="center"/>
          </w:tcPr>
          <w:p w14:paraId="6063F7CC">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00" w:type="dxa"/>
            <w:vAlign w:val="center"/>
          </w:tcPr>
          <w:p w14:paraId="65DBBA0F">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eastAsiaTheme="minorEastAsia"/>
                <w:color w:val="auto"/>
                <w:sz w:val="24"/>
                <w:szCs w:val="24"/>
                <w:highlight w:val="none"/>
              </w:rPr>
              <w:t>0.</w:t>
            </w:r>
            <w:r>
              <w:rPr>
                <w:rFonts w:hint="eastAsia" w:ascii="Times New Roman" w:eastAsiaTheme="minorEastAsia"/>
                <w:color w:val="auto"/>
                <w:sz w:val="24"/>
                <w:szCs w:val="24"/>
                <w:highlight w:val="none"/>
                <w:lang w:val="en-US" w:eastAsia="zh-CN"/>
              </w:rPr>
              <w:t>132</w:t>
            </w:r>
            <w:r>
              <w:rPr>
                <w:rFonts w:ascii="Times New Roman" w:eastAsiaTheme="minorEastAsia"/>
                <w:snapToGrid w:val="0"/>
                <w:color w:val="auto"/>
                <w:kern w:val="21"/>
                <w:sz w:val="24"/>
                <w:szCs w:val="24"/>
                <w:highlight w:val="none"/>
              </w:rPr>
              <w:t>t/a</w:t>
            </w:r>
          </w:p>
        </w:tc>
        <w:tc>
          <w:tcPr>
            <w:tcW w:w="1516" w:type="dxa"/>
            <w:vAlign w:val="center"/>
          </w:tcPr>
          <w:p w14:paraId="55AA5532">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763" w:type="dxa"/>
            <w:vAlign w:val="center"/>
          </w:tcPr>
          <w:p w14:paraId="357E6CFC">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eastAsiaTheme="minorEastAsia"/>
                <w:color w:val="auto"/>
                <w:sz w:val="24"/>
                <w:szCs w:val="24"/>
                <w:highlight w:val="none"/>
              </w:rPr>
              <w:t>0.</w:t>
            </w:r>
            <w:r>
              <w:rPr>
                <w:rFonts w:hint="eastAsia" w:ascii="Times New Roman" w:eastAsiaTheme="minorEastAsia"/>
                <w:color w:val="auto"/>
                <w:sz w:val="24"/>
                <w:szCs w:val="24"/>
                <w:highlight w:val="none"/>
                <w:lang w:val="en-US" w:eastAsia="zh-CN"/>
              </w:rPr>
              <w:t>132</w:t>
            </w:r>
            <w:r>
              <w:rPr>
                <w:rFonts w:ascii="Times New Roman" w:eastAsiaTheme="minorEastAsia"/>
                <w:snapToGrid w:val="0"/>
                <w:color w:val="auto"/>
                <w:kern w:val="21"/>
                <w:sz w:val="24"/>
                <w:szCs w:val="24"/>
                <w:highlight w:val="none"/>
              </w:rPr>
              <w:t>t/a</w:t>
            </w:r>
          </w:p>
        </w:tc>
        <w:tc>
          <w:tcPr>
            <w:tcW w:w="1433" w:type="dxa"/>
            <w:vAlign w:val="center"/>
          </w:tcPr>
          <w:p w14:paraId="3448BC48">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hint="eastAsia" w:ascii="Times New Roman" w:eastAsiaTheme="minorEastAsia"/>
                <w:color w:val="auto"/>
                <w:sz w:val="24"/>
                <w:szCs w:val="24"/>
                <w:highlight w:val="none"/>
                <w:lang w:val="en-US" w:eastAsia="zh-CN"/>
              </w:rPr>
              <w:t>+</w:t>
            </w:r>
            <w:r>
              <w:rPr>
                <w:rFonts w:ascii="Times New Roman" w:eastAsiaTheme="minorEastAsia"/>
                <w:color w:val="auto"/>
                <w:sz w:val="24"/>
                <w:szCs w:val="24"/>
                <w:highlight w:val="none"/>
              </w:rPr>
              <w:t>0.</w:t>
            </w:r>
            <w:r>
              <w:rPr>
                <w:rFonts w:hint="eastAsia" w:ascii="Times New Roman" w:eastAsiaTheme="minorEastAsia"/>
                <w:color w:val="auto"/>
                <w:sz w:val="24"/>
                <w:szCs w:val="24"/>
                <w:highlight w:val="none"/>
                <w:lang w:val="en-US" w:eastAsia="zh-CN"/>
              </w:rPr>
              <w:t>132</w:t>
            </w:r>
            <w:r>
              <w:rPr>
                <w:rFonts w:ascii="Times New Roman" w:eastAsiaTheme="minorEastAsia"/>
                <w:snapToGrid w:val="0"/>
                <w:color w:val="auto"/>
                <w:kern w:val="21"/>
                <w:sz w:val="24"/>
                <w:szCs w:val="24"/>
                <w:highlight w:val="none"/>
              </w:rPr>
              <w:t>t/a</w:t>
            </w:r>
          </w:p>
        </w:tc>
      </w:tr>
      <w:tr w14:paraId="618FBB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21" w:type="dxa"/>
            <w:vMerge w:val="continue"/>
            <w:vAlign w:val="center"/>
          </w:tcPr>
          <w:p w14:paraId="3119C705">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p>
        </w:tc>
        <w:tc>
          <w:tcPr>
            <w:tcW w:w="1984" w:type="dxa"/>
            <w:vAlign w:val="center"/>
          </w:tcPr>
          <w:p w14:paraId="6E27811D">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氨氮</w:t>
            </w:r>
          </w:p>
        </w:tc>
        <w:tc>
          <w:tcPr>
            <w:tcW w:w="1701" w:type="dxa"/>
            <w:vAlign w:val="center"/>
          </w:tcPr>
          <w:p w14:paraId="66FF14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eastAsiaTheme="minorEastAsia"/>
                <w:color w:val="auto"/>
                <w:kern w:val="0"/>
                <w:sz w:val="24"/>
                <w:highlight w:val="none"/>
              </w:rPr>
            </w:pPr>
          </w:p>
        </w:tc>
        <w:tc>
          <w:tcPr>
            <w:tcW w:w="1134" w:type="dxa"/>
            <w:vAlign w:val="center"/>
          </w:tcPr>
          <w:p w14:paraId="77539AAB">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36" w:type="dxa"/>
            <w:vAlign w:val="center"/>
          </w:tcPr>
          <w:p w14:paraId="67A01806">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00" w:type="dxa"/>
            <w:vAlign w:val="center"/>
          </w:tcPr>
          <w:p w14:paraId="03A778F4">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eastAsiaTheme="minorEastAsia"/>
                <w:color w:val="auto"/>
                <w:sz w:val="24"/>
                <w:szCs w:val="24"/>
                <w:highlight w:val="none"/>
              </w:rPr>
              <w:t>0.0</w:t>
            </w:r>
            <w:r>
              <w:rPr>
                <w:rFonts w:hint="eastAsia" w:ascii="Times New Roman" w:eastAsiaTheme="minorEastAsia"/>
                <w:color w:val="auto"/>
                <w:sz w:val="24"/>
                <w:szCs w:val="24"/>
                <w:highlight w:val="none"/>
                <w:lang w:val="en-US" w:eastAsia="zh-CN"/>
              </w:rPr>
              <w:t>21</w:t>
            </w:r>
            <w:r>
              <w:rPr>
                <w:rFonts w:ascii="Times New Roman" w:eastAsiaTheme="minorEastAsia"/>
                <w:snapToGrid w:val="0"/>
                <w:color w:val="auto"/>
                <w:kern w:val="21"/>
                <w:sz w:val="24"/>
                <w:szCs w:val="24"/>
                <w:highlight w:val="none"/>
              </w:rPr>
              <w:t>t/a</w:t>
            </w:r>
          </w:p>
        </w:tc>
        <w:tc>
          <w:tcPr>
            <w:tcW w:w="1516" w:type="dxa"/>
            <w:vAlign w:val="center"/>
          </w:tcPr>
          <w:p w14:paraId="6E72F073">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763" w:type="dxa"/>
            <w:vAlign w:val="center"/>
          </w:tcPr>
          <w:p w14:paraId="592F2930">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ascii="Times New Roman" w:eastAsiaTheme="minorEastAsia"/>
                <w:color w:val="auto"/>
                <w:sz w:val="24"/>
                <w:szCs w:val="24"/>
                <w:highlight w:val="none"/>
              </w:rPr>
              <w:t>0.0</w:t>
            </w:r>
            <w:r>
              <w:rPr>
                <w:rFonts w:hint="eastAsia" w:ascii="Times New Roman" w:eastAsiaTheme="minorEastAsia"/>
                <w:color w:val="auto"/>
                <w:sz w:val="24"/>
                <w:szCs w:val="24"/>
                <w:highlight w:val="none"/>
                <w:lang w:val="en-US" w:eastAsia="zh-CN"/>
              </w:rPr>
              <w:t>21</w:t>
            </w:r>
            <w:r>
              <w:rPr>
                <w:rFonts w:ascii="Times New Roman" w:eastAsiaTheme="minorEastAsia"/>
                <w:snapToGrid w:val="0"/>
                <w:color w:val="auto"/>
                <w:kern w:val="21"/>
                <w:sz w:val="24"/>
                <w:szCs w:val="24"/>
                <w:highlight w:val="none"/>
              </w:rPr>
              <w:t>t/a</w:t>
            </w:r>
          </w:p>
        </w:tc>
        <w:tc>
          <w:tcPr>
            <w:tcW w:w="1433" w:type="dxa"/>
            <w:vAlign w:val="center"/>
          </w:tcPr>
          <w:p w14:paraId="63C1189F">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r>
              <w:rPr>
                <w:rFonts w:hint="eastAsia" w:ascii="Times New Roman" w:eastAsiaTheme="minorEastAsia"/>
                <w:color w:val="auto"/>
                <w:sz w:val="24"/>
                <w:szCs w:val="24"/>
                <w:highlight w:val="none"/>
                <w:lang w:val="en-US" w:eastAsia="zh-CN"/>
              </w:rPr>
              <w:t>+</w:t>
            </w:r>
            <w:r>
              <w:rPr>
                <w:rFonts w:ascii="Times New Roman" w:eastAsiaTheme="minorEastAsia"/>
                <w:color w:val="auto"/>
                <w:sz w:val="24"/>
                <w:szCs w:val="24"/>
                <w:highlight w:val="none"/>
              </w:rPr>
              <w:t>0.0</w:t>
            </w:r>
            <w:r>
              <w:rPr>
                <w:rFonts w:hint="eastAsia" w:ascii="Times New Roman" w:eastAsiaTheme="minorEastAsia"/>
                <w:color w:val="auto"/>
                <w:sz w:val="24"/>
                <w:szCs w:val="24"/>
                <w:highlight w:val="none"/>
                <w:lang w:val="en-US" w:eastAsia="zh-CN"/>
              </w:rPr>
              <w:t>21</w:t>
            </w:r>
            <w:r>
              <w:rPr>
                <w:rFonts w:ascii="Times New Roman" w:eastAsiaTheme="minorEastAsia"/>
                <w:snapToGrid w:val="0"/>
                <w:color w:val="auto"/>
                <w:kern w:val="21"/>
                <w:sz w:val="24"/>
                <w:szCs w:val="24"/>
                <w:highlight w:val="none"/>
              </w:rPr>
              <w:t>t/a</w:t>
            </w:r>
          </w:p>
        </w:tc>
      </w:tr>
      <w:tr w14:paraId="5DAEC3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21" w:type="dxa"/>
            <w:vMerge w:val="restart"/>
            <w:vAlign w:val="center"/>
          </w:tcPr>
          <w:p w14:paraId="1DD58746">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一般工业固体废物</w:t>
            </w:r>
          </w:p>
        </w:tc>
        <w:tc>
          <w:tcPr>
            <w:tcW w:w="1984" w:type="dxa"/>
            <w:vAlign w:val="center"/>
          </w:tcPr>
          <w:p w14:paraId="5031CDA1">
            <w:pPr>
              <w:pStyle w:val="33"/>
              <w:keepNext w:val="0"/>
              <w:keepLines w:val="0"/>
              <w:pageBreakBefore w:val="0"/>
              <w:widowControl w:val="0"/>
              <w:kinsoku/>
              <w:wordWrap/>
              <w:overflowPunct/>
              <w:topLinePunct w:val="0"/>
              <w:autoSpaceDE/>
              <w:autoSpaceDN/>
              <w:bidi w:val="0"/>
              <w:adjustRightInd/>
              <w:snapToGrid/>
              <w:spacing w:after="0" w:line="240" w:lineRule="auto"/>
              <w:ind w:left="-105" w:leftChars="-50" w:right="-105" w:rightChars="-50" w:firstLine="0" w:firstLineChars="0"/>
              <w:jc w:val="center"/>
              <w:textAlignment w:val="auto"/>
              <w:rPr>
                <w:rFonts w:eastAsiaTheme="minorEastAsia"/>
                <w:snapToGrid w:val="0"/>
                <w:color w:val="auto"/>
                <w:kern w:val="21"/>
                <w:sz w:val="24"/>
                <w:highlight w:val="none"/>
              </w:rPr>
            </w:pPr>
            <w:r>
              <w:rPr>
                <w:rFonts w:hAnsiTheme="minorEastAsia" w:eastAsiaTheme="minorEastAsia"/>
                <w:bCs/>
                <w:color w:val="auto"/>
                <w:sz w:val="24"/>
                <w:highlight w:val="none"/>
              </w:rPr>
              <w:t>边角料及残次品</w:t>
            </w:r>
          </w:p>
        </w:tc>
        <w:tc>
          <w:tcPr>
            <w:tcW w:w="1701" w:type="dxa"/>
            <w:vAlign w:val="center"/>
          </w:tcPr>
          <w:p w14:paraId="2C288D20">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bCs/>
                <w:color w:val="auto"/>
                <w:sz w:val="24"/>
                <w:highlight w:val="none"/>
              </w:rPr>
            </w:pPr>
          </w:p>
        </w:tc>
        <w:tc>
          <w:tcPr>
            <w:tcW w:w="1134" w:type="dxa"/>
            <w:vAlign w:val="center"/>
          </w:tcPr>
          <w:p w14:paraId="0B1A5E86">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36" w:type="dxa"/>
            <w:vAlign w:val="center"/>
          </w:tcPr>
          <w:p w14:paraId="0E67D5A8">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00" w:type="dxa"/>
            <w:vAlign w:val="center"/>
          </w:tcPr>
          <w:p w14:paraId="4807A1F2">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hint="eastAsia" w:hAnsi="宋体"/>
                <w:bCs/>
                <w:color w:val="auto"/>
                <w:sz w:val="24"/>
                <w:highlight w:val="none"/>
                <w:lang w:val="en-US" w:eastAsia="zh-CN"/>
              </w:rPr>
              <w:t>17.866</w:t>
            </w:r>
            <w:r>
              <w:rPr>
                <w:rFonts w:eastAsiaTheme="minorEastAsia"/>
                <w:bCs/>
                <w:color w:val="auto"/>
                <w:sz w:val="24"/>
                <w:highlight w:val="none"/>
              </w:rPr>
              <w:t>t/a</w:t>
            </w:r>
          </w:p>
        </w:tc>
        <w:tc>
          <w:tcPr>
            <w:tcW w:w="1516" w:type="dxa"/>
            <w:vAlign w:val="center"/>
          </w:tcPr>
          <w:p w14:paraId="636BAEC5">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763" w:type="dxa"/>
            <w:vAlign w:val="center"/>
          </w:tcPr>
          <w:p w14:paraId="71CFB26A">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hint="eastAsia" w:hAnsi="宋体"/>
                <w:bCs/>
                <w:color w:val="auto"/>
                <w:sz w:val="24"/>
                <w:highlight w:val="none"/>
                <w:lang w:val="en-US" w:eastAsia="zh-CN"/>
              </w:rPr>
              <w:t>17.866</w:t>
            </w:r>
            <w:r>
              <w:rPr>
                <w:rFonts w:eastAsiaTheme="minorEastAsia"/>
                <w:bCs/>
                <w:color w:val="auto"/>
                <w:sz w:val="24"/>
                <w:highlight w:val="none"/>
              </w:rPr>
              <w:t>t/a</w:t>
            </w:r>
          </w:p>
        </w:tc>
        <w:tc>
          <w:tcPr>
            <w:tcW w:w="1433" w:type="dxa"/>
            <w:vAlign w:val="center"/>
          </w:tcPr>
          <w:p w14:paraId="28C07238">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hint="eastAsia" w:hAnsi="宋体"/>
                <w:bCs/>
                <w:color w:val="auto"/>
                <w:sz w:val="24"/>
                <w:highlight w:val="none"/>
                <w:lang w:val="en-US" w:eastAsia="zh-CN"/>
              </w:rPr>
              <w:t>+17.866</w:t>
            </w:r>
            <w:r>
              <w:rPr>
                <w:rFonts w:eastAsiaTheme="minorEastAsia"/>
                <w:bCs/>
                <w:color w:val="auto"/>
                <w:sz w:val="24"/>
                <w:highlight w:val="none"/>
              </w:rPr>
              <w:t>t/a</w:t>
            </w:r>
          </w:p>
        </w:tc>
      </w:tr>
      <w:tr w14:paraId="7D0AC4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21" w:type="dxa"/>
            <w:vMerge w:val="continue"/>
            <w:vAlign w:val="center"/>
          </w:tcPr>
          <w:p w14:paraId="000B558B">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p>
        </w:tc>
        <w:tc>
          <w:tcPr>
            <w:tcW w:w="1984" w:type="dxa"/>
            <w:vAlign w:val="center"/>
          </w:tcPr>
          <w:p w14:paraId="4FA632F4">
            <w:pPr>
              <w:pStyle w:val="33"/>
              <w:keepNext w:val="0"/>
              <w:keepLines w:val="0"/>
              <w:pageBreakBefore w:val="0"/>
              <w:widowControl w:val="0"/>
              <w:kinsoku/>
              <w:wordWrap/>
              <w:overflowPunct/>
              <w:topLinePunct w:val="0"/>
              <w:autoSpaceDE/>
              <w:autoSpaceDN/>
              <w:bidi w:val="0"/>
              <w:adjustRightInd/>
              <w:snapToGrid/>
              <w:spacing w:after="0" w:line="240" w:lineRule="auto"/>
              <w:ind w:left="-63" w:leftChars="-30" w:right="-63" w:rightChars="-30" w:firstLine="0" w:firstLineChars="0"/>
              <w:jc w:val="center"/>
              <w:textAlignment w:val="auto"/>
              <w:rPr>
                <w:rFonts w:eastAsiaTheme="minorEastAsia"/>
                <w:snapToGrid w:val="0"/>
                <w:color w:val="auto"/>
                <w:kern w:val="21"/>
                <w:sz w:val="24"/>
                <w:highlight w:val="none"/>
              </w:rPr>
            </w:pPr>
            <w:r>
              <w:rPr>
                <w:rFonts w:hAnsiTheme="minorEastAsia" w:eastAsiaTheme="minorEastAsia"/>
                <w:bCs/>
                <w:color w:val="auto"/>
                <w:sz w:val="24"/>
                <w:highlight w:val="none"/>
              </w:rPr>
              <w:t>原材料废包装</w:t>
            </w:r>
          </w:p>
        </w:tc>
        <w:tc>
          <w:tcPr>
            <w:tcW w:w="1701" w:type="dxa"/>
            <w:vAlign w:val="center"/>
          </w:tcPr>
          <w:p w14:paraId="338906B1">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bCs/>
                <w:color w:val="auto"/>
                <w:sz w:val="24"/>
                <w:highlight w:val="none"/>
              </w:rPr>
            </w:pPr>
          </w:p>
        </w:tc>
        <w:tc>
          <w:tcPr>
            <w:tcW w:w="1134" w:type="dxa"/>
            <w:vAlign w:val="center"/>
          </w:tcPr>
          <w:p w14:paraId="431C1F36">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36" w:type="dxa"/>
            <w:vAlign w:val="center"/>
          </w:tcPr>
          <w:p w14:paraId="0BF07FBA">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00" w:type="dxa"/>
            <w:vAlign w:val="center"/>
          </w:tcPr>
          <w:p w14:paraId="6BC9557D">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hint="eastAsia" w:eastAsiaTheme="minorEastAsia"/>
                <w:bCs/>
                <w:color w:val="auto"/>
                <w:sz w:val="24"/>
                <w:highlight w:val="none"/>
                <w:lang w:val="en-US" w:eastAsia="zh-CN"/>
              </w:rPr>
              <w:t>2.5</w:t>
            </w:r>
            <w:r>
              <w:rPr>
                <w:rFonts w:eastAsiaTheme="minorEastAsia"/>
                <w:bCs/>
                <w:color w:val="auto"/>
                <w:sz w:val="24"/>
                <w:highlight w:val="none"/>
              </w:rPr>
              <w:t>t/a</w:t>
            </w:r>
          </w:p>
        </w:tc>
        <w:tc>
          <w:tcPr>
            <w:tcW w:w="1516" w:type="dxa"/>
            <w:vAlign w:val="center"/>
          </w:tcPr>
          <w:p w14:paraId="16A90808">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763" w:type="dxa"/>
            <w:vAlign w:val="center"/>
          </w:tcPr>
          <w:p w14:paraId="6462044A">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hint="eastAsia" w:eastAsiaTheme="minorEastAsia"/>
                <w:bCs/>
                <w:color w:val="auto"/>
                <w:sz w:val="24"/>
                <w:highlight w:val="none"/>
                <w:lang w:val="en-US" w:eastAsia="zh-CN"/>
              </w:rPr>
              <w:t>2.5</w:t>
            </w:r>
            <w:r>
              <w:rPr>
                <w:rFonts w:eastAsiaTheme="minorEastAsia"/>
                <w:bCs/>
                <w:color w:val="auto"/>
                <w:sz w:val="24"/>
                <w:highlight w:val="none"/>
              </w:rPr>
              <w:t>t/a</w:t>
            </w:r>
          </w:p>
        </w:tc>
        <w:tc>
          <w:tcPr>
            <w:tcW w:w="1433" w:type="dxa"/>
            <w:vAlign w:val="center"/>
          </w:tcPr>
          <w:p w14:paraId="0CB67098">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hint="eastAsia" w:eastAsiaTheme="minorEastAsia"/>
                <w:bCs/>
                <w:color w:val="auto"/>
                <w:sz w:val="24"/>
                <w:highlight w:val="none"/>
                <w:lang w:val="en-US" w:eastAsia="zh-CN"/>
              </w:rPr>
              <w:t>+2.5</w:t>
            </w:r>
            <w:r>
              <w:rPr>
                <w:rFonts w:eastAsiaTheme="minorEastAsia"/>
                <w:bCs/>
                <w:color w:val="auto"/>
                <w:sz w:val="24"/>
                <w:highlight w:val="none"/>
              </w:rPr>
              <w:t>t/a</w:t>
            </w:r>
          </w:p>
        </w:tc>
      </w:tr>
      <w:tr w14:paraId="36DEAA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21" w:type="dxa"/>
            <w:vMerge w:val="continue"/>
            <w:vAlign w:val="center"/>
          </w:tcPr>
          <w:p w14:paraId="62E92087">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p>
        </w:tc>
        <w:tc>
          <w:tcPr>
            <w:tcW w:w="1984" w:type="dxa"/>
            <w:vAlign w:val="center"/>
          </w:tcPr>
          <w:p w14:paraId="1D200A66">
            <w:pPr>
              <w:pStyle w:val="33"/>
              <w:keepNext w:val="0"/>
              <w:keepLines w:val="0"/>
              <w:pageBreakBefore w:val="0"/>
              <w:widowControl w:val="0"/>
              <w:kinsoku/>
              <w:wordWrap/>
              <w:overflowPunct/>
              <w:topLinePunct w:val="0"/>
              <w:autoSpaceDE/>
              <w:autoSpaceDN/>
              <w:bidi w:val="0"/>
              <w:adjustRightInd/>
              <w:snapToGrid/>
              <w:spacing w:after="0" w:line="240" w:lineRule="auto"/>
              <w:ind w:left="-63" w:leftChars="-30" w:right="-63" w:rightChars="-30" w:firstLine="0" w:firstLineChars="0"/>
              <w:jc w:val="center"/>
              <w:textAlignment w:val="auto"/>
              <w:rPr>
                <w:rFonts w:hint="eastAsia" w:hAnsiTheme="minorEastAsia" w:eastAsiaTheme="minorEastAsia"/>
                <w:bCs/>
                <w:color w:val="auto"/>
                <w:sz w:val="24"/>
                <w:highlight w:val="none"/>
                <w:lang w:val="en-US" w:eastAsia="zh-CN"/>
              </w:rPr>
            </w:pPr>
            <w:r>
              <w:rPr>
                <w:rFonts w:hint="eastAsia" w:hAnsiTheme="minorEastAsia" w:eastAsiaTheme="minorEastAsia"/>
                <w:bCs/>
                <w:color w:val="auto"/>
                <w:sz w:val="24"/>
                <w:highlight w:val="none"/>
                <w:lang w:val="en-US" w:eastAsia="zh-CN"/>
              </w:rPr>
              <w:t>除尘灰</w:t>
            </w:r>
          </w:p>
        </w:tc>
        <w:tc>
          <w:tcPr>
            <w:tcW w:w="1701" w:type="dxa"/>
            <w:vAlign w:val="center"/>
          </w:tcPr>
          <w:p w14:paraId="42C0E67B">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bCs/>
                <w:color w:val="auto"/>
                <w:sz w:val="24"/>
                <w:highlight w:val="none"/>
              </w:rPr>
            </w:pPr>
          </w:p>
        </w:tc>
        <w:tc>
          <w:tcPr>
            <w:tcW w:w="1134" w:type="dxa"/>
            <w:vAlign w:val="center"/>
          </w:tcPr>
          <w:p w14:paraId="06D1A2D1">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36" w:type="dxa"/>
            <w:vAlign w:val="center"/>
          </w:tcPr>
          <w:p w14:paraId="17A37187">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00" w:type="dxa"/>
            <w:vAlign w:val="center"/>
          </w:tcPr>
          <w:p w14:paraId="5C97369F">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eastAsiaTheme="minorEastAsia"/>
                <w:bCs/>
                <w:color w:val="auto"/>
                <w:sz w:val="24"/>
                <w:highlight w:val="none"/>
                <w:lang w:val="en-US" w:eastAsia="zh-CN"/>
              </w:rPr>
            </w:pPr>
            <w:r>
              <w:rPr>
                <w:rFonts w:hint="eastAsia" w:eastAsiaTheme="minorEastAsia"/>
                <w:bCs/>
                <w:color w:val="auto"/>
                <w:sz w:val="24"/>
                <w:highlight w:val="none"/>
                <w:lang w:val="en-US" w:eastAsia="zh-CN"/>
              </w:rPr>
              <w:t>10.692t/a</w:t>
            </w:r>
          </w:p>
        </w:tc>
        <w:tc>
          <w:tcPr>
            <w:tcW w:w="1516" w:type="dxa"/>
            <w:vAlign w:val="center"/>
          </w:tcPr>
          <w:p w14:paraId="097BDF4A">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bCs/>
                <w:color w:val="auto"/>
                <w:sz w:val="24"/>
                <w:highlight w:val="none"/>
              </w:rPr>
            </w:pPr>
          </w:p>
        </w:tc>
        <w:tc>
          <w:tcPr>
            <w:tcW w:w="1763" w:type="dxa"/>
            <w:vAlign w:val="center"/>
          </w:tcPr>
          <w:p w14:paraId="690E3238">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eastAsiaTheme="minorEastAsia"/>
                <w:bCs/>
                <w:color w:val="auto"/>
                <w:sz w:val="24"/>
                <w:highlight w:val="none"/>
                <w:lang w:val="en-US" w:eastAsia="zh-CN"/>
              </w:rPr>
            </w:pPr>
            <w:r>
              <w:rPr>
                <w:rFonts w:hint="eastAsia" w:eastAsiaTheme="minorEastAsia"/>
                <w:bCs/>
                <w:color w:val="auto"/>
                <w:sz w:val="24"/>
                <w:highlight w:val="none"/>
                <w:lang w:val="en-US" w:eastAsia="zh-CN"/>
              </w:rPr>
              <w:t>10.692t/a</w:t>
            </w:r>
          </w:p>
        </w:tc>
        <w:tc>
          <w:tcPr>
            <w:tcW w:w="1433" w:type="dxa"/>
            <w:vAlign w:val="center"/>
          </w:tcPr>
          <w:p w14:paraId="7599257B">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eastAsiaTheme="minorEastAsia"/>
                <w:bCs/>
                <w:color w:val="auto"/>
                <w:sz w:val="24"/>
                <w:highlight w:val="none"/>
                <w:lang w:val="en-US" w:eastAsia="zh-CN"/>
              </w:rPr>
            </w:pPr>
            <w:r>
              <w:rPr>
                <w:rFonts w:hint="eastAsia" w:eastAsiaTheme="minorEastAsia"/>
                <w:bCs/>
                <w:color w:val="auto"/>
                <w:sz w:val="24"/>
                <w:highlight w:val="none"/>
                <w:lang w:val="en-US" w:eastAsia="zh-CN"/>
              </w:rPr>
              <w:t>+10.692t/a</w:t>
            </w:r>
          </w:p>
        </w:tc>
      </w:tr>
      <w:tr w14:paraId="073597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21" w:type="dxa"/>
            <w:vMerge w:val="continue"/>
            <w:vAlign w:val="center"/>
          </w:tcPr>
          <w:p w14:paraId="191BBCDB">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p>
        </w:tc>
        <w:tc>
          <w:tcPr>
            <w:tcW w:w="1984" w:type="dxa"/>
            <w:vAlign w:val="center"/>
          </w:tcPr>
          <w:p w14:paraId="62E952EE">
            <w:pPr>
              <w:pStyle w:val="33"/>
              <w:keepNext w:val="0"/>
              <w:keepLines w:val="0"/>
              <w:pageBreakBefore w:val="0"/>
              <w:widowControl w:val="0"/>
              <w:kinsoku/>
              <w:wordWrap/>
              <w:overflowPunct/>
              <w:topLinePunct w:val="0"/>
              <w:autoSpaceDE/>
              <w:autoSpaceDN/>
              <w:bidi w:val="0"/>
              <w:adjustRightInd/>
              <w:snapToGrid/>
              <w:spacing w:after="0" w:line="240" w:lineRule="auto"/>
              <w:ind w:left="-63" w:leftChars="-30" w:right="-63" w:rightChars="-30" w:firstLine="0" w:firstLineChars="0"/>
              <w:jc w:val="center"/>
              <w:textAlignment w:val="auto"/>
              <w:rPr>
                <w:rFonts w:eastAsiaTheme="minorEastAsia"/>
                <w:snapToGrid w:val="0"/>
                <w:color w:val="auto"/>
                <w:kern w:val="21"/>
                <w:sz w:val="24"/>
                <w:highlight w:val="none"/>
              </w:rPr>
            </w:pPr>
            <w:r>
              <w:rPr>
                <w:rFonts w:hAnsiTheme="minorEastAsia" w:eastAsiaTheme="minorEastAsia"/>
                <w:bCs/>
                <w:color w:val="auto"/>
                <w:sz w:val="24"/>
                <w:highlight w:val="none"/>
              </w:rPr>
              <w:t>生活垃圾</w:t>
            </w:r>
          </w:p>
        </w:tc>
        <w:tc>
          <w:tcPr>
            <w:tcW w:w="1701" w:type="dxa"/>
            <w:vAlign w:val="center"/>
          </w:tcPr>
          <w:p w14:paraId="040D1631">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bCs/>
                <w:color w:val="auto"/>
                <w:sz w:val="24"/>
                <w:highlight w:val="none"/>
              </w:rPr>
            </w:pPr>
          </w:p>
        </w:tc>
        <w:tc>
          <w:tcPr>
            <w:tcW w:w="1134" w:type="dxa"/>
            <w:vAlign w:val="center"/>
          </w:tcPr>
          <w:p w14:paraId="3F51A4AA">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36" w:type="dxa"/>
            <w:vAlign w:val="center"/>
          </w:tcPr>
          <w:p w14:paraId="46694787">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00" w:type="dxa"/>
            <w:vAlign w:val="center"/>
          </w:tcPr>
          <w:p w14:paraId="1BF56085">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hint="eastAsia" w:eastAsiaTheme="minorEastAsia"/>
                <w:bCs/>
                <w:color w:val="auto"/>
                <w:sz w:val="24"/>
                <w:highlight w:val="none"/>
                <w:lang w:val="en-US" w:eastAsia="zh-CN"/>
              </w:rPr>
              <w:t>3.75</w:t>
            </w:r>
            <w:r>
              <w:rPr>
                <w:rFonts w:eastAsiaTheme="minorEastAsia"/>
                <w:bCs/>
                <w:color w:val="auto"/>
                <w:sz w:val="24"/>
                <w:highlight w:val="none"/>
              </w:rPr>
              <w:t>t/a</w:t>
            </w:r>
          </w:p>
        </w:tc>
        <w:tc>
          <w:tcPr>
            <w:tcW w:w="1516" w:type="dxa"/>
            <w:vAlign w:val="center"/>
          </w:tcPr>
          <w:p w14:paraId="77406B63">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bCs/>
                <w:color w:val="auto"/>
                <w:sz w:val="24"/>
                <w:highlight w:val="none"/>
              </w:rPr>
            </w:pPr>
          </w:p>
        </w:tc>
        <w:tc>
          <w:tcPr>
            <w:tcW w:w="1763" w:type="dxa"/>
            <w:vAlign w:val="center"/>
          </w:tcPr>
          <w:p w14:paraId="216C9DA2">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hint="eastAsia" w:eastAsiaTheme="minorEastAsia"/>
                <w:bCs/>
                <w:color w:val="auto"/>
                <w:sz w:val="24"/>
                <w:highlight w:val="none"/>
                <w:lang w:val="en-US" w:eastAsia="zh-CN"/>
              </w:rPr>
              <w:t>3.75</w:t>
            </w:r>
            <w:r>
              <w:rPr>
                <w:rFonts w:eastAsiaTheme="minorEastAsia"/>
                <w:bCs/>
                <w:color w:val="auto"/>
                <w:sz w:val="24"/>
                <w:highlight w:val="none"/>
              </w:rPr>
              <w:t>t/a</w:t>
            </w:r>
          </w:p>
        </w:tc>
        <w:tc>
          <w:tcPr>
            <w:tcW w:w="1433" w:type="dxa"/>
            <w:vAlign w:val="center"/>
          </w:tcPr>
          <w:p w14:paraId="066C78AE">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hint="eastAsia" w:eastAsiaTheme="minorEastAsia"/>
                <w:bCs/>
                <w:color w:val="auto"/>
                <w:sz w:val="24"/>
                <w:highlight w:val="none"/>
                <w:lang w:val="en-US" w:eastAsia="zh-CN"/>
              </w:rPr>
              <w:t>+3.75</w:t>
            </w:r>
            <w:r>
              <w:rPr>
                <w:rFonts w:eastAsiaTheme="minorEastAsia"/>
                <w:bCs/>
                <w:color w:val="auto"/>
                <w:sz w:val="24"/>
                <w:highlight w:val="none"/>
              </w:rPr>
              <w:t>t/a</w:t>
            </w:r>
          </w:p>
        </w:tc>
      </w:tr>
      <w:tr w14:paraId="203E8E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21" w:type="dxa"/>
            <w:vMerge w:val="restart"/>
            <w:vAlign w:val="center"/>
          </w:tcPr>
          <w:p w14:paraId="7FF6897E">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hint="eastAsia" w:ascii="Times New Roman" w:hAnsiTheme="minorEastAsia"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危险</w:t>
            </w:r>
          </w:p>
          <w:p w14:paraId="29038A7E">
            <w:pPr>
              <w:pStyle w:val="53"/>
              <w:keepNext w:val="0"/>
              <w:keepLines w:val="0"/>
              <w:pageBreakBefore w:val="0"/>
              <w:widowControl w:val="0"/>
              <w:kinsoku/>
              <w:wordWrap/>
              <w:overflowPunct/>
              <w:topLinePunct w:val="0"/>
              <w:autoSpaceDE/>
              <w:autoSpaceDN/>
              <w:bidi w:val="0"/>
              <w:adjustRightInd/>
              <w:snapToGrid/>
              <w:spacing w:beforeLines="0" w:afterLines="0" w:line="240" w:lineRule="auto"/>
              <w:ind w:left="-63" w:leftChars="-30" w:right="-63" w:rightChars="-30"/>
              <w:textAlignment w:val="auto"/>
              <w:rPr>
                <w:rFonts w:ascii="Times New Roman" w:eastAsiaTheme="minorEastAsia"/>
                <w:snapToGrid w:val="0"/>
                <w:color w:val="auto"/>
                <w:kern w:val="21"/>
                <w:sz w:val="24"/>
                <w:szCs w:val="24"/>
                <w:highlight w:val="none"/>
              </w:rPr>
            </w:pPr>
            <w:r>
              <w:rPr>
                <w:rFonts w:ascii="Times New Roman" w:hAnsiTheme="minorEastAsia" w:eastAsiaTheme="minorEastAsia"/>
                <w:snapToGrid w:val="0"/>
                <w:color w:val="auto"/>
                <w:kern w:val="21"/>
                <w:sz w:val="24"/>
                <w:szCs w:val="24"/>
                <w:highlight w:val="none"/>
              </w:rPr>
              <w:t>废物</w:t>
            </w:r>
          </w:p>
        </w:tc>
        <w:tc>
          <w:tcPr>
            <w:tcW w:w="1984" w:type="dxa"/>
            <w:vAlign w:val="center"/>
          </w:tcPr>
          <w:p w14:paraId="1EE887CD">
            <w:pPr>
              <w:pStyle w:val="33"/>
              <w:keepNext w:val="0"/>
              <w:keepLines w:val="0"/>
              <w:pageBreakBefore w:val="0"/>
              <w:widowControl w:val="0"/>
              <w:kinsoku/>
              <w:wordWrap/>
              <w:overflowPunct/>
              <w:topLinePunct w:val="0"/>
              <w:autoSpaceDE/>
              <w:autoSpaceDN/>
              <w:bidi w:val="0"/>
              <w:adjustRightInd/>
              <w:snapToGrid/>
              <w:spacing w:after="0" w:line="240" w:lineRule="auto"/>
              <w:ind w:left="-63" w:leftChars="-30" w:right="-63" w:rightChars="-30" w:firstLine="0" w:firstLineChars="0"/>
              <w:jc w:val="center"/>
              <w:textAlignment w:val="auto"/>
              <w:rPr>
                <w:rFonts w:eastAsiaTheme="minorEastAsia"/>
                <w:snapToGrid w:val="0"/>
                <w:color w:val="auto"/>
                <w:kern w:val="21"/>
                <w:sz w:val="24"/>
                <w:highlight w:val="none"/>
              </w:rPr>
            </w:pPr>
            <w:r>
              <w:rPr>
                <w:rFonts w:hAnsiTheme="minorEastAsia" w:eastAsiaTheme="minorEastAsia"/>
                <w:bCs/>
                <w:color w:val="auto"/>
                <w:sz w:val="24"/>
                <w:highlight w:val="none"/>
              </w:rPr>
              <w:t>废活性炭</w:t>
            </w:r>
          </w:p>
        </w:tc>
        <w:tc>
          <w:tcPr>
            <w:tcW w:w="1701" w:type="dxa"/>
            <w:vAlign w:val="center"/>
          </w:tcPr>
          <w:p w14:paraId="09B112DB">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bCs/>
                <w:color w:val="auto"/>
                <w:sz w:val="24"/>
                <w:highlight w:val="none"/>
              </w:rPr>
            </w:pPr>
          </w:p>
        </w:tc>
        <w:tc>
          <w:tcPr>
            <w:tcW w:w="1134" w:type="dxa"/>
            <w:vAlign w:val="center"/>
          </w:tcPr>
          <w:p w14:paraId="57A4BE31">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36" w:type="dxa"/>
            <w:vAlign w:val="center"/>
          </w:tcPr>
          <w:p w14:paraId="222854AA">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00" w:type="dxa"/>
            <w:vAlign w:val="center"/>
          </w:tcPr>
          <w:p w14:paraId="3B416C3C">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hint="eastAsia" w:eastAsiaTheme="minorEastAsia"/>
                <w:bCs/>
                <w:color w:val="auto"/>
                <w:sz w:val="24"/>
                <w:highlight w:val="none"/>
                <w:lang w:val="en-US" w:eastAsia="zh-CN"/>
              </w:rPr>
              <w:t>1.53</w:t>
            </w:r>
            <w:r>
              <w:rPr>
                <w:rFonts w:eastAsiaTheme="minorEastAsia"/>
                <w:bCs/>
                <w:color w:val="auto"/>
                <w:sz w:val="24"/>
                <w:highlight w:val="none"/>
              </w:rPr>
              <w:t>t/</w:t>
            </w:r>
            <w:r>
              <w:rPr>
                <w:rFonts w:hint="eastAsia" w:eastAsiaTheme="minorEastAsia"/>
                <w:bCs/>
                <w:color w:val="auto"/>
                <w:sz w:val="24"/>
                <w:highlight w:val="none"/>
                <w:lang w:val="en-US" w:eastAsia="zh-CN"/>
              </w:rPr>
              <w:t>3</w:t>
            </w:r>
            <w:r>
              <w:rPr>
                <w:rFonts w:eastAsiaTheme="minorEastAsia"/>
                <w:bCs/>
                <w:color w:val="auto"/>
                <w:sz w:val="24"/>
                <w:highlight w:val="none"/>
              </w:rPr>
              <w:t>a</w:t>
            </w:r>
          </w:p>
        </w:tc>
        <w:tc>
          <w:tcPr>
            <w:tcW w:w="1516" w:type="dxa"/>
            <w:vAlign w:val="center"/>
          </w:tcPr>
          <w:p w14:paraId="4C925FD7">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763" w:type="dxa"/>
            <w:vAlign w:val="center"/>
          </w:tcPr>
          <w:p w14:paraId="2232E20A">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hint="eastAsia" w:eastAsiaTheme="minorEastAsia"/>
                <w:bCs/>
                <w:color w:val="auto"/>
                <w:sz w:val="24"/>
                <w:highlight w:val="none"/>
                <w:lang w:val="en-US" w:eastAsia="zh-CN"/>
              </w:rPr>
              <w:t>1.53</w:t>
            </w:r>
            <w:r>
              <w:rPr>
                <w:rFonts w:eastAsiaTheme="minorEastAsia"/>
                <w:bCs/>
                <w:color w:val="auto"/>
                <w:sz w:val="24"/>
                <w:highlight w:val="none"/>
              </w:rPr>
              <w:t>t/</w:t>
            </w:r>
            <w:r>
              <w:rPr>
                <w:rFonts w:hint="eastAsia" w:eastAsiaTheme="minorEastAsia"/>
                <w:bCs/>
                <w:color w:val="auto"/>
                <w:sz w:val="24"/>
                <w:highlight w:val="none"/>
                <w:lang w:val="en-US" w:eastAsia="zh-CN"/>
              </w:rPr>
              <w:t>3</w:t>
            </w:r>
            <w:r>
              <w:rPr>
                <w:rFonts w:eastAsiaTheme="minorEastAsia"/>
                <w:bCs/>
                <w:color w:val="auto"/>
                <w:sz w:val="24"/>
                <w:highlight w:val="none"/>
              </w:rPr>
              <w:t>a</w:t>
            </w:r>
          </w:p>
        </w:tc>
        <w:tc>
          <w:tcPr>
            <w:tcW w:w="1433" w:type="dxa"/>
            <w:vAlign w:val="center"/>
          </w:tcPr>
          <w:p w14:paraId="18596670">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hint="eastAsia" w:eastAsiaTheme="minorEastAsia"/>
                <w:bCs/>
                <w:color w:val="auto"/>
                <w:sz w:val="24"/>
                <w:highlight w:val="none"/>
                <w:lang w:val="en-US" w:eastAsia="zh-CN"/>
              </w:rPr>
              <w:t>+1.53</w:t>
            </w:r>
            <w:r>
              <w:rPr>
                <w:rFonts w:eastAsiaTheme="minorEastAsia"/>
                <w:bCs/>
                <w:color w:val="auto"/>
                <w:sz w:val="24"/>
                <w:highlight w:val="none"/>
              </w:rPr>
              <w:t>t/</w:t>
            </w:r>
            <w:r>
              <w:rPr>
                <w:rFonts w:hint="eastAsia" w:eastAsiaTheme="minorEastAsia"/>
                <w:bCs/>
                <w:color w:val="auto"/>
                <w:sz w:val="24"/>
                <w:highlight w:val="none"/>
                <w:lang w:val="en-US" w:eastAsia="zh-CN"/>
              </w:rPr>
              <w:t>3</w:t>
            </w:r>
            <w:r>
              <w:rPr>
                <w:rFonts w:eastAsiaTheme="minorEastAsia"/>
                <w:bCs/>
                <w:color w:val="auto"/>
                <w:sz w:val="24"/>
                <w:highlight w:val="none"/>
              </w:rPr>
              <w:t>a</w:t>
            </w:r>
          </w:p>
        </w:tc>
      </w:tr>
      <w:tr w14:paraId="18D0B9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21" w:type="dxa"/>
            <w:vMerge w:val="continue"/>
            <w:vAlign w:val="center"/>
          </w:tcPr>
          <w:p w14:paraId="2C616A9A">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984" w:type="dxa"/>
            <w:vAlign w:val="center"/>
          </w:tcPr>
          <w:p w14:paraId="31FABF3B">
            <w:pPr>
              <w:pStyle w:val="33"/>
              <w:keepNext w:val="0"/>
              <w:keepLines w:val="0"/>
              <w:pageBreakBefore w:val="0"/>
              <w:widowControl w:val="0"/>
              <w:kinsoku/>
              <w:wordWrap/>
              <w:overflowPunct/>
              <w:topLinePunct w:val="0"/>
              <w:autoSpaceDE/>
              <w:autoSpaceDN/>
              <w:bidi w:val="0"/>
              <w:adjustRightInd/>
              <w:snapToGrid/>
              <w:spacing w:after="0" w:line="240" w:lineRule="auto"/>
              <w:ind w:left="-63" w:leftChars="-30" w:right="-63" w:rightChars="-30" w:firstLine="0" w:firstLineChars="0"/>
              <w:jc w:val="center"/>
              <w:textAlignment w:val="auto"/>
              <w:rPr>
                <w:rFonts w:hint="eastAsia" w:eastAsiaTheme="minorEastAsia"/>
                <w:snapToGrid w:val="0"/>
                <w:color w:val="auto"/>
                <w:kern w:val="21"/>
                <w:sz w:val="24"/>
                <w:highlight w:val="none"/>
                <w:lang w:eastAsia="zh-CN"/>
              </w:rPr>
            </w:pPr>
            <w:r>
              <w:rPr>
                <w:rFonts w:hAnsiTheme="minorEastAsia" w:eastAsiaTheme="minorEastAsia"/>
                <w:bCs/>
                <w:color w:val="auto"/>
                <w:sz w:val="24"/>
                <w:highlight w:val="none"/>
              </w:rPr>
              <w:t>废</w:t>
            </w:r>
            <w:r>
              <w:rPr>
                <w:rFonts w:hint="eastAsia" w:eastAsiaTheme="minorEastAsia"/>
                <w:bCs/>
                <w:color w:val="auto"/>
                <w:sz w:val="24"/>
                <w:highlight w:val="none"/>
                <w:lang w:eastAsia="zh-CN"/>
              </w:rPr>
              <w:t>催化剂</w:t>
            </w:r>
          </w:p>
        </w:tc>
        <w:tc>
          <w:tcPr>
            <w:tcW w:w="1701" w:type="dxa"/>
            <w:vAlign w:val="center"/>
          </w:tcPr>
          <w:p w14:paraId="0F76EE1C">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color w:val="auto"/>
                <w:kern w:val="21"/>
                <w:sz w:val="24"/>
                <w:highlight w:val="none"/>
              </w:rPr>
            </w:pPr>
          </w:p>
        </w:tc>
        <w:tc>
          <w:tcPr>
            <w:tcW w:w="1134" w:type="dxa"/>
            <w:vAlign w:val="center"/>
          </w:tcPr>
          <w:p w14:paraId="15999313">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36" w:type="dxa"/>
            <w:vAlign w:val="center"/>
          </w:tcPr>
          <w:p w14:paraId="6FC1C2C5">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00" w:type="dxa"/>
            <w:vAlign w:val="center"/>
          </w:tcPr>
          <w:p w14:paraId="54BF35A3">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eastAsiaTheme="minorEastAsia"/>
                <w:bCs/>
                <w:color w:val="auto"/>
                <w:sz w:val="24"/>
                <w:highlight w:val="none"/>
              </w:rPr>
              <w:t>0.0</w:t>
            </w:r>
            <w:r>
              <w:rPr>
                <w:rFonts w:hint="eastAsia" w:eastAsiaTheme="minorEastAsia"/>
                <w:bCs/>
                <w:color w:val="auto"/>
                <w:sz w:val="24"/>
                <w:highlight w:val="none"/>
                <w:lang w:val="en-US" w:eastAsia="zh-CN"/>
              </w:rPr>
              <w:t>3</w:t>
            </w:r>
            <w:r>
              <w:rPr>
                <w:rFonts w:eastAsiaTheme="minorEastAsia"/>
                <w:bCs/>
                <w:color w:val="auto"/>
                <w:sz w:val="24"/>
                <w:highlight w:val="none"/>
              </w:rPr>
              <w:t>t/</w:t>
            </w:r>
            <w:r>
              <w:rPr>
                <w:rFonts w:hint="eastAsia" w:eastAsiaTheme="minorEastAsia"/>
                <w:bCs/>
                <w:color w:val="auto"/>
                <w:sz w:val="24"/>
                <w:highlight w:val="none"/>
                <w:lang w:val="en-US" w:eastAsia="zh-CN"/>
              </w:rPr>
              <w:t>3</w:t>
            </w:r>
            <w:r>
              <w:rPr>
                <w:rFonts w:eastAsiaTheme="minorEastAsia"/>
                <w:bCs/>
                <w:color w:val="auto"/>
                <w:sz w:val="24"/>
                <w:highlight w:val="none"/>
              </w:rPr>
              <w:t>a</w:t>
            </w:r>
          </w:p>
        </w:tc>
        <w:tc>
          <w:tcPr>
            <w:tcW w:w="1516" w:type="dxa"/>
            <w:vAlign w:val="center"/>
          </w:tcPr>
          <w:p w14:paraId="29B8B3B5">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763" w:type="dxa"/>
            <w:vAlign w:val="center"/>
          </w:tcPr>
          <w:p w14:paraId="51E2F09B">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eastAsiaTheme="minorEastAsia"/>
                <w:bCs/>
                <w:color w:val="auto"/>
                <w:sz w:val="24"/>
                <w:highlight w:val="none"/>
              </w:rPr>
              <w:t>0.0</w:t>
            </w:r>
            <w:r>
              <w:rPr>
                <w:rFonts w:hint="eastAsia" w:eastAsiaTheme="minorEastAsia"/>
                <w:bCs/>
                <w:color w:val="auto"/>
                <w:sz w:val="24"/>
                <w:highlight w:val="none"/>
                <w:lang w:val="en-US" w:eastAsia="zh-CN"/>
              </w:rPr>
              <w:t>3</w:t>
            </w:r>
            <w:r>
              <w:rPr>
                <w:rFonts w:eastAsiaTheme="minorEastAsia"/>
                <w:bCs/>
                <w:color w:val="auto"/>
                <w:sz w:val="24"/>
                <w:highlight w:val="none"/>
              </w:rPr>
              <w:t>t/</w:t>
            </w:r>
            <w:r>
              <w:rPr>
                <w:rFonts w:hint="eastAsia" w:eastAsiaTheme="minorEastAsia"/>
                <w:bCs/>
                <w:color w:val="auto"/>
                <w:sz w:val="24"/>
                <w:highlight w:val="none"/>
                <w:lang w:val="en-US" w:eastAsia="zh-CN"/>
              </w:rPr>
              <w:t>3</w:t>
            </w:r>
            <w:r>
              <w:rPr>
                <w:rFonts w:eastAsiaTheme="minorEastAsia"/>
                <w:bCs/>
                <w:color w:val="auto"/>
                <w:sz w:val="24"/>
                <w:highlight w:val="none"/>
              </w:rPr>
              <w:t>a</w:t>
            </w:r>
          </w:p>
        </w:tc>
        <w:tc>
          <w:tcPr>
            <w:tcW w:w="1433" w:type="dxa"/>
            <w:vAlign w:val="center"/>
          </w:tcPr>
          <w:p w14:paraId="74703631">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hint="eastAsia" w:eastAsiaTheme="minorEastAsia"/>
                <w:bCs/>
                <w:color w:val="auto"/>
                <w:sz w:val="24"/>
                <w:highlight w:val="none"/>
                <w:lang w:val="en-US" w:eastAsia="zh-CN"/>
              </w:rPr>
              <w:t>+</w:t>
            </w:r>
            <w:r>
              <w:rPr>
                <w:rFonts w:eastAsiaTheme="minorEastAsia"/>
                <w:bCs/>
                <w:color w:val="auto"/>
                <w:sz w:val="24"/>
                <w:highlight w:val="none"/>
              </w:rPr>
              <w:t>0.0</w:t>
            </w:r>
            <w:r>
              <w:rPr>
                <w:rFonts w:hint="eastAsia" w:eastAsiaTheme="minorEastAsia"/>
                <w:bCs/>
                <w:color w:val="auto"/>
                <w:sz w:val="24"/>
                <w:highlight w:val="none"/>
                <w:lang w:val="en-US" w:eastAsia="zh-CN"/>
              </w:rPr>
              <w:t>3</w:t>
            </w:r>
            <w:r>
              <w:rPr>
                <w:rFonts w:eastAsiaTheme="minorEastAsia"/>
                <w:bCs/>
                <w:color w:val="auto"/>
                <w:sz w:val="24"/>
                <w:highlight w:val="none"/>
              </w:rPr>
              <w:t>t/</w:t>
            </w:r>
            <w:r>
              <w:rPr>
                <w:rFonts w:hint="eastAsia" w:eastAsiaTheme="minorEastAsia"/>
                <w:bCs/>
                <w:color w:val="auto"/>
                <w:sz w:val="24"/>
                <w:highlight w:val="none"/>
                <w:lang w:val="en-US" w:eastAsia="zh-CN"/>
              </w:rPr>
              <w:t>3</w:t>
            </w:r>
            <w:r>
              <w:rPr>
                <w:rFonts w:eastAsiaTheme="minorEastAsia"/>
                <w:bCs/>
                <w:color w:val="auto"/>
                <w:sz w:val="24"/>
                <w:highlight w:val="none"/>
              </w:rPr>
              <w:t>a</w:t>
            </w:r>
          </w:p>
        </w:tc>
      </w:tr>
      <w:tr w14:paraId="086DBC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21" w:type="dxa"/>
            <w:vMerge w:val="continue"/>
            <w:vAlign w:val="center"/>
          </w:tcPr>
          <w:p w14:paraId="794C3655">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984" w:type="dxa"/>
            <w:vAlign w:val="center"/>
          </w:tcPr>
          <w:p w14:paraId="7A668EE6">
            <w:pPr>
              <w:pStyle w:val="33"/>
              <w:keepNext w:val="0"/>
              <w:keepLines w:val="0"/>
              <w:pageBreakBefore w:val="0"/>
              <w:widowControl w:val="0"/>
              <w:kinsoku/>
              <w:wordWrap/>
              <w:overflowPunct/>
              <w:topLinePunct w:val="0"/>
              <w:autoSpaceDE/>
              <w:autoSpaceDN/>
              <w:bidi w:val="0"/>
              <w:adjustRightInd/>
              <w:snapToGrid/>
              <w:spacing w:after="0" w:line="240" w:lineRule="auto"/>
              <w:ind w:left="-63" w:leftChars="-30" w:right="-63" w:rightChars="-30" w:firstLine="0" w:firstLineChars="0"/>
              <w:jc w:val="center"/>
              <w:textAlignment w:val="auto"/>
              <w:rPr>
                <w:rFonts w:eastAsiaTheme="minorEastAsia"/>
                <w:snapToGrid w:val="0"/>
                <w:color w:val="auto"/>
                <w:kern w:val="21"/>
                <w:sz w:val="24"/>
                <w:highlight w:val="none"/>
              </w:rPr>
            </w:pPr>
            <w:r>
              <w:rPr>
                <w:rFonts w:hAnsiTheme="minorEastAsia" w:eastAsiaTheme="minorEastAsia"/>
                <w:bCs/>
                <w:color w:val="auto"/>
                <w:sz w:val="24"/>
                <w:highlight w:val="none"/>
              </w:rPr>
              <w:t>废机油</w:t>
            </w:r>
          </w:p>
        </w:tc>
        <w:tc>
          <w:tcPr>
            <w:tcW w:w="1701" w:type="dxa"/>
            <w:vAlign w:val="center"/>
          </w:tcPr>
          <w:p w14:paraId="5A3F8177">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color w:val="auto"/>
                <w:kern w:val="21"/>
                <w:sz w:val="24"/>
                <w:highlight w:val="none"/>
              </w:rPr>
            </w:pPr>
          </w:p>
        </w:tc>
        <w:tc>
          <w:tcPr>
            <w:tcW w:w="1134" w:type="dxa"/>
            <w:vAlign w:val="center"/>
          </w:tcPr>
          <w:p w14:paraId="0C450961">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36" w:type="dxa"/>
            <w:vAlign w:val="center"/>
          </w:tcPr>
          <w:p w14:paraId="352EEAF1">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600" w:type="dxa"/>
            <w:vAlign w:val="center"/>
          </w:tcPr>
          <w:p w14:paraId="7DA9DE04">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eastAsiaTheme="minorEastAsia"/>
                <w:bCs/>
                <w:color w:val="auto"/>
                <w:sz w:val="24"/>
                <w:highlight w:val="none"/>
              </w:rPr>
              <w:t>0.1t/a</w:t>
            </w:r>
          </w:p>
        </w:tc>
        <w:tc>
          <w:tcPr>
            <w:tcW w:w="1516" w:type="dxa"/>
            <w:vAlign w:val="center"/>
          </w:tcPr>
          <w:p w14:paraId="01777E4E">
            <w:pPr>
              <w:pStyle w:val="53"/>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ascii="Times New Roman" w:eastAsiaTheme="minorEastAsia"/>
                <w:snapToGrid w:val="0"/>
                <w:color w:val="auto"/>
                <w:kern w:val="21"/>
                <w:sz w:val="24"/>
                <w:szCs w:val="24"/>
                <w:highlight w:val="none"/>
              </w:rPr>
            </w:pPr>
          </w:p>
        </w:tc>
        <w:tc>
          <w:tcPr>
            <w:tcW w:w="1763" w:type="dxa"/>
            <w:vAlign w:val="center"/>
          </w:tcPr>
          <w:p w14:paraId="21784CD8">
            <w:pPr>
              <w:pStyle w:val="3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eastAsiaTheme="minorEastAsia"/>
                <w:snapToGrid w:val="0"/>
                <w:color w:val="auto"/>
                <w:kern w:val="21"/>
                <w:sz w:val="24"/>
                <w:highlight w:val="none"/>
              </w:rPr>
            </w:pPr>
            <w:r>
              <w:rPr>
                <w:rFonts w:eastAsiaTheme="minorEastAsia"/>
                <w:bCs/>
                <w:color w:val="auto"/>
                <w:sz w:val="24"/>
                <w:highlight w:val="none"/>
              </w:rPr>
              <w:t>0.1t/a</w:t>
            </w:r>
          </w:p>
        </w:tc>
        <w:tc>
          <w:tcPr>
            <w:tcW w:w="1433" w:type="dxa"/>
            <w:vAlign w:val="center"/>
          </w:tcPr>
          <w:p w14:paraId="177C0876">
            <w:pPr>
              <w:pStyle w:val="33"/>
              <w:keepNext w:val="0"/>
              <w:keepLines w:val="0"/>
              <w:pageBreakBefore w:val="0"/>
              <w:widowControl w:val="0"/>
              <w:kinsoku/>
              <w:wordWrap/>
              <w:overflowPunct/>
              <w:topLinePunct w:val="0"/>
              <w:autoSpaceDE/>
              <w:autoSpaceDN/>
              <w:bidi w:val="0"/>
              <w:adjustRightInd/>
              <w:snapToGrid/>
              <w:spacing w:after="0" w:line="240" w:lineRule="auto"/>
              <w:ind w:left="-63" w:leftChars="-30" w:right="-63" w:rightChars="-30" w:firstLine="0" w:firstLineChars="0"/>
              <w:jc w:val="center"/>
              <w:textAlignment w:val="auto"/>
              <w:rPr>
                <w:rFonts w:eastAsiaTheme="minorEastAsia"/>
                <w:snapToGrid w:val="0"/>
                <w:color w:val="auto"/>
                <w:kern w:val="21"/>
                <w:sz w:val="24"/>
                <w:highlight w:val="none"/>
              </w:rPr>
            </w:pPr>
            <w:r>
              <w:rPr>
                <w:rFonts w:eastAsiaTheme="minorEastAsia"/>
                <w:snapToGrid w:val="0"/>
                <w:color w:val="auto"/>
                <w:kern w:val="21"/>
                <w:sz w:val="24"/>
                <w:highlight w:val="none"/>
              </w:rPr>
              <w:t>+</w:t>
            </w:r>
            <w:r>
              <w:rPr>
                <w:rFonts w:eastAsiaTheme="minorEastAsia"/>
                <w:bCs/>
                <w:color w:val="auto"/>
                <w:sz w:val="24"/>
                <w:highlight w:val="none"/>
              </w:rPr>
              <w:t>0.1t/a</w:t>
            </w:r>
          </w:p>
        </w:tc>
      </w:tr>
    </w:tbl>
    <w:p w14:paraId="636AE809">
      <w:pPr>
        <w:pStyle w:val="53"/>
        <w:spacing w:beforeLines="80" w:after="24"/>
        <w:jc w:val="left"/>
        <w:rPr>
          <w:rFonts w:hAnsi="宋体"/>
          <w:snapToGrid w:val="0"/>
          <w:color w:val="auto"/>
          <w:spacing w:val="-6"/>
          <w:kern w:val="21"/>
          <w:szCs w:val="21"/>
          <w:highlight w:val="none"/>
        </w:rPr>
      </w:pPr>
      <w:r>
        <w:rPr>
          <w:rFonts w:hAnsi="宋体"/>
          <w:snapToGrid w:val="0"/>
          <w:color w:val="auto"/>
          <w:kern w:val="21"/>
          <w:szCs w:val="21"/>
          <w:highlight w:val="none"/>
        </w:rPr>
        <w:t>注：</w:t>
      </w:r>
      <w:r>
        <w:rPr>
          <w:rFonts w:hAnsi="宋体"/>
          <w:snapToGrid w:val="0"/>
          <w:color w:val="auto"/>
          <w:spacing w:val="-16"/>
          <w:kern w:val="21"/>
          <w:szCs w:val="21"/>
          <w:highlight w:val="none"/>
        </w:rPr>
        <w:fldChar w:fldCharType="begin"/>
      </w:r>
      <w:r>
        <w:rPr>
          <w:rFonts w:hAnsi="宋体"/>
          <w:snapToGrid w:val="0"/>
          <w:color w:val="auto"/>
          <w:spacing w:val="-16"/>
          <w:kern w:val="21"/>
          <w:szCs w:val="21"/>
          <w:highlight w:val="none"/>
        </w:rPr>
        <w:instrText xml:space="preserve"> = 6 \* GB3 \* MERGEFORMAT </w:instrText>
      </w:r>
      <w:r>
        <w:rPr>
          <w:rFonts w:hAnsi="宋体"/>
          <w:snapToGrid w:val="0"/>
          <w:color w:val="auto"/>
          <w:spacing w:val="-16"/>
          <w:kern w:val="21"/>
          <w:szCs w:val="21"/>
          <w:highlight w:val="none"/>
        </w:rPr>
        <w:fldChar w:fldCharType="separate"/>
      </w:r>
      <w:r>
        <w:rPr>
          <w:rFonts w:hint="eastAsia" w:hAnsi="宋体"/>
          <w:color w:val="auto"/>
          <w:szCs w:val="21"/>
          <w:highlight w:val="none"/>
        </w:rPr>
        <w:t>⑥</w:t>
      </w:r>
      <w:r>
        <w:rPr>
          <w:rFonts w:hAnsi="宋体"/>
          <w:snapToGrid w:val="0"/>
          <w:color w:val="auto"/>
          <w:spacing w:val="-16"/>
          <w:kern w:val="21"/>
          <w:szCs w:val="21"/>
          <w:highlight w:val="none"/>
        </w:rPr>
        <w:fldChar w:fldCharType="end"/>
      </w:r>
      <w:r>
        <w:rPr>
          <w:rFonts w:hAnsi="宋体"/>
          <w:snapToGrid w:val="0"/>
          <w:color w:val="auto"/>
          <w:spacing w:val="-1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1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①</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3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③</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4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④</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16"/>
          <w:kern w:val="21"/>
          <w:szCs w:val="21"/>
          <w:highlight w:val="none"/>
        </w:rPr>
        <w:fldChar w:fldCharType="begin"/>
      </w:r>
      <w:r>
        <w:rPr>
          <w:rFonts w:hAnsi="宋体"/>
          <w:snapToGrid w:val="0"/>
          <w:color w:val="auto"/>
          <w:spacing w:val="-16"/>
          <w:kern w:val="21"/>
          <w:szCs w:val="21"/>
          <w:highlight w:val="none"/>
        </w:rPr>
        <w:instrText xml:space="preserve"> = 5 \* GB3 \* MERGEFORMAT </w:instrText>
      </w:r>
      <w:r>
        <w:rPr>
          <w:rFonts w:hAnsi="宋体"/>
          <w:snapToGrid w:val="0"/>
          <w:color w:val="auto"/>
          <w:spacing w:val="-16"/>
          <w:kern w:val="21"/>
          <w:szCs w:val="21"/>
          <w:highlight w:val="none"/>
        </w:rPr>
        <w:fldChar w:fldCharType="separate"/>
      </w:r>
      <w:r>
        <w:rPr>
          <w:rFonts w:hint="eastAsia" w:hAnsi="宋体"/>
          <w:color w:val="auto"/>
          <w:szCs w:val="21"/>
          <w:highlight w:val="none"/>
        </w:rPr>
        <w:t>⑤</w:t>
      </w:r>
      <w:r>
        <w:rPr>
          <w:rFonts w:hAnsi="宋体"/>
          <w:snapToGrid w:val="0"/>
          <w:color w:val="auto"/>
          <w:spacing w:val="-16"/>
          <w:kern w:val="21"/>
          <w:szCs w:val="21"/>
          <w:highlight w:val="none"/>
        </w:rPr>
        <w:fldChar w:fldCharType="end"/>
      </w:r>
      <w:r>
        <w:rPr>
          <w:rFonts w:hAnsi="宋体"/>
          <w:snapToGrid w:val="0"/>
          <w:color w:val="auto"/>
          <w:spacing w:val="-1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7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⑦</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16"/>
          <w:kern w:val="21"/>
          <w:szCs w:val="21"/>
          <w:highlight w:val="none"/>
        </w:rPr>
        <w:fldChar w:fldCharType="begin"/>
      </w:r>
      <w:r>
        <w:rPr>
          <w:rFonts w:hAnsi="宋体"/>
          <w:snapToGrid w:val="0"/>
          <w:color w:val="auto"/>
          <w:spacing w:val="-16"/>
          <w:kern w:val="21"/>
          <w:szCs w:val="21"/>
          <w:highlight w:val="none"/>
        </w:rPr>
        <w:instrText xml:space="preserve"> = 6 \* GB3 \* MERGEFORMAT </w:instrText>
      </w:r>
      <w:r>
        <w:rPr>
          <w:rFonts w:hAnsi="宋体"/>
          <w:snapToGrid w:val="0"/>
          <w:color w:val="auto"/>
          <w:spacing w:val="-16"/>
          <w:kern w:val="21"/>
          <w:szCs w:val="21"/>
          <w:highlight w:val="none"/>
        </w:rPr>
        <w:fldChar w:fldCharType="separate"/>
      </w:r>
      <w:r>
        <w:rPr>
          <w:rFonts w:hint="eastAsia" w:hAnsi="宋体"/>
          <w:color w:val="auto"/>
          <w:szCs w:val="21"/>
          <w:highlight w:val="none"/>
        </w:rPr>
        <w:t>⑥</w:t>
      </w:r>
      <w:r>
        <w:rPr>
          <w:rFonts w:hAnsi="宋体"/>
          <w:snapToGrid w:val="0"/>
          <w:color w:val="auto"/>
          <w:spacing w:val="-16"/>
          <w:kern w:val="21"/>
          <w:szCs w:val="21"/>
          <w:highlight w:val="none"/>
        </w:rPr>
        <w:fldChar w:fldCharType="end"/>
      </w:r>
      <w:r>
        <w:rPr>
          <w:rFonts w:hAnsi="宋体"/>
          <w:snapToGrid w:val="0"/>
          <w:color w:val="auto"/>
          <w:spacing w:val="-1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1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①</w:t>
      </w:r>
      <w:r>
        <w:rPr>
          <w:rFonts w:hAnsi="宋体"/>
          <w:snapToGrid w:val="0"/>
          <w:color w:val="auto"/>
          <w:spacing w:val="-6"/>
          <w:kern w:val="21"/>
          <w:szCs w:val="21"/>
          <w:highlight w:val="none"/>
        </w:rPr>
        <w:fldChar w:fldCharType="end"/>
      </w:r>
    </w:p>
    <w:sectPr>
      <w:footerReference r:id="rId5" w:type="default"/>
      <w:pgSz w:w="16838" w:h="11906" w:orient="landscape"/>
      <w:pgMar w:top="1531" w:right="1701" w:bottom="1531" w:left="1701"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EDF8E26-C64A-4B56-ABB5-3340CCAEC9F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CD1E3719-5599-43AF-BA83-E13DDC104DC7}"/>
  </w:font>
  <w:font w:name="FangSong_GB2312">
    <w:altName w:val="仿宋"/>
    <w:panose1 w:val="02010609060101010101"/>
    <w:charset w:val="00"/>
    <w:family w:val="roman"/>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新宋体-18030">
    <w:altName w:val="微软雅黑"/>
    <w:panose1 w:val="00000000000000000000"/>
    <w:charset w:val="00"/>
    <w:family w:val="auto"/>
    <w:pitch w:val="default"/>
    <w:sig w:usb0="00000000" w:usb1="00000000" w:usb2="00000000" w:usb3="00000000" w:csb0="00040001"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swiss"/>
    <w:pitch w:val="default"/>
    <w:sig w:usb0="FFFFFFFF" w:usb1="E9FFFFFF" w:usb2="0000003F" w:usb3="00000000" w:csb0="603F01FF" w:csb1="FFFF0000"/>
  </w:font>
  <w:font w:name="华文中宋">
    <w:panose1 w:val="02010600040101010101"/>
    <w:charset w:val="86"/>
    <w:family w:val="roman"/>
    <w:pitch w:val="default"/>
    <w:sig w:usb0="00000287" w:usb1="080F0000" w:usb2="00000000" w:usb3="00000000" w:csb0="0004009F" w:csb1="DFD70000"/>
  </w:font>
  <w:font w:name="Impact">
    <w:panose1 w:val="020B0806030902050204"/>
    <w:charset w:val="00"/>
    <w:family w:val="swiss"/>
    <w:pitch w:val="default"/>
    <w:sig w:usb0="00000287" w:usb1="00000000" w:usb2="00000000" w:usb3="00000000" w:csb0="2000009F" w:csb1="DFD70000"/>
  </w:font>
  <w:font w:name="楷体_GB2312">
    <w:altName w:val="楷体"/>
    <w:panose1 w:val="00000000000000000000"/>
    <w:charset w:val="86"/>
    <w:family w:val="modern"/>
    <w:pitch w:val="default"/>
    <w:sig w:usb0="00000000" w:usb1="00000000" w:usb2="00000010" w:usb3="00000000" w:csb0="00040000" w:csb1="00000000"/>
    <w:embedRegular r:id="rId3" w:fontKey="{9DFC5555-79B7-406E-92F8-CA4804EA9A93}"/>
  </w:font>
  <w:font w:name="TimesNewRomanPSMT">
    <w:altName w:val="Times New Roman"/>
    <w:panose1 w:val="00000000000000000000"/>
    <w:charset w:val="00"/>
    <w:family w:val="roman"/>
    <w:pitch w:val="default"/>
    <w:sig w:usb0="00000000" w:usb1="00000000" w:usb2="00000000" w:usb3="00000000" w:csb0="00040001" w:csb1="00000000"/>
  </w:font>
  <w:font w:name="MingLiU">
    <w:panose1 w:val="02020509000000000000"/>
    <w:charset w:val="88"/>
    <w:family w:val="modern"/>
    <w:pitch w:val="default"/>
    <w:sig w:usb0="A00002FF" w:usb1="28CFFCFA" w:usb2="00000016" w:usb3="00000000" w:csb0="00100001" w:csb1="00000000"/>
  </w:font>
  <w:font w:name="Georgia">
    <w:panose1 w:val="02040502050405020303"/>
    <w:charset w:val="00"/>
    <w:family w:val="roman"/>
    <w:pitch w:val="default"/>
    <w:sig w:usb0="00000287" w:usb1="00000000" w:usb2="00000000" w:usb3="00000000" w:csb0="2000009F" w:csb1="00000000"/>
  </w:font>
  <w:font w:name="华文仿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embedRegular r:id="rId4" w:fontKey="{859E940E-3A75-4C56-8AE4-C07E8EF6F0E4}"/>
  </w:font>
  <w:font w:name="仿宋">
    <w:panose1 w:val="02010609060101010101"/>
    <w:charset w:val="86"/>
    <w:family w:val="auto"/>
    <w:pitch w:val="default"/>
    <w:sig w:usb0="800002BF" w:usb1="38CF7CFA" w:usb2="00000016" w:usb3="00000000" w:csb0="00040001" w:csb1="00000000"/>
    <w:embedRegular r:id="rId5" w:fontKey="{415C11CB-F6FB-4F82-A00F-191B22318576}"/>
  </w:font>
  <w:font w:name="方正姚体">
    <w:panose1 w:val="02010601030101010101"/>
    <w:charset w:val="86"/>
    <w:family w:val="auto"/>
    <w:pitch w:val="default"/>
    <w:sig w:usb0="00000003" w:usb1="080E0000" w:usb2="00000000" w:usb3="00000000" w:csb0="00040000" w:csb1="00000000"/>
    <w:embedRegular r:id="rId6" w:fontKey="{EBCC0B8A-D4CC-4A55-9D9D-8E061F51A5F4}"/>
  </w:font>
  <w:font w:name="方正小标宋_GBK">
    <w:panose1 w:val="02000000000000000000"/>
    <w:charset w:val="86"/>
    <w:family w:val="script"/>
    <w:pitch w:val="default"/>
    <w:sig w:usb0="A00002BF" w:usb1="38CF7CFA" w:usb2="00082016" w:usb3="00000000" w:csb0="00040001" w:csb1="00000000"/>
    <w:embedRegular r:id="rId7" w:fontKey="{45A31F83-5CC6-4041-90EA-5FA101C9DAB1}"/>
  </w:font>
  <w:font w:name="楷体">
    <w:panose1 w:val="02010609060101010101"/>
    <w:charset w:val="86"/>
    <w:family w:val="auto"/>
    <w:pitch w:val="default"/>
    <w:sig w:usb0="800002BF" w:usb1="38CF7CFA" w:usb2="00000016" w:usb3="00000000" w:csb0="00040001" w:csb1="00000000"/>
    <w:embedRegular r:id="rId8" w:fontKey="{195C201C-50DF-4AB1-924B-0089C25A538C}"/>
  </w:font>
  <w:font w:name="MS Mincho">
    <w:panose1 w:val="02020609040205080304"/>
    <w:charset w:val="80"/>
    <w:family w:val="modern"/>
    <w:pitch w:val="default"/>
    <w:sig w:usb0="E00002FF" w:usb1="6AC7FDFB" w:usb2="00000012" w:usb3="00000000" w:csb0="4002009F" w:csb1="DFD70000"/>
    <w:embedRegular r:id="rId9" w:fontKey="{19763789-32D4-4F0D-8596-014BF69F2DFB}"/>
  </w:font>
  <w:font w:name="Wingdings 2">
    <w:panose1 w:val="05020102010507070707"/>
    <w:charset w:val="02"/>
    <w:family w:val="roman"/>
    <w:pitch w:val="default"/>
    <w:sig w:usb0="00000000" w:usb1="00000000" w:usb2="00000000" w:usb3="00000000" w:csb0="80000000" w:csb1="00000000"/>
    <w:embedRegular r:id="rId10" w:fontKey="{23277B78-AC15-4D61-970A-94C0378DF01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A34CE">
    <w:pPr>
      <w:pStyle w:val="2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59107">
    <w:pPr>
      <w:pStyle w:val="21"/>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62413B">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1162413B">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803A6">
    <w:pPr>
      <w:pStyle w:val="21"/>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82743D">
                          <w:pPr>
                            <w:pStyle w:val="21"/>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3182743D">
                    <w:pPr>
                      <w:pStyle w:val="21"/>
                    </w:pPr>
                    <w:r>
                      <w:fldChar w:fldCharType="begin"/>
                    </w:r>
                    <w:r>
                      <w:instrText xml:space="preserve"> PAGE  \* MERGEFORMAT </w:instrText>
                    </w:r>
                    <w:r>
                      <w:fldChar w:fldCharType="separate"/>
                    </w:r>
                    <w:r>
                      <w:t>65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6F6031"/>
    <w:multiLevelType w:val="singleLevel"/>
    <w:tmpl w:val="C36F6031"/>
    <w:lvl w:ilvl="0" w:tentative="0">
      <w:start w:val="1"/>
      <w:numFmt w:val="decimal"/>
      <w:lvlText w:val="%1."/>
      <w:lvlJc w:val="left"/>
      <w:pPr>
        <w:tabs>
          <w:tab w:val="left" w:pos="312"/>
        </w:tabs>
      </w:pPr>
    </w:lvl>
  </w:abstractNum>
  <w:abstractNum w:abstractNumId="1">
    <w:nsid w:val="2587BC65"/>
    <w:multiLevelType w:val="singleLevel"/>
    <w:tmpl w:val="2587BC65"/>
    <w:lvl w:ilvl="0" w:tentative="0">
      <w:start w:val="1"/>
      <w:numFmt w:val="decimal"/>
      <w:suff w:val="nothing"/>
      <w:lvlText w:val="（%1）"/>
      <w:lvlJc w:val="left"/>
    </w:lvl>
  </w:abstractNum>
  <w:abstractNum w:abstractNumId="2">
    <w:nsid w:val="4A0323CB"/>
    <w:multiLevelType w:val="singleLevel"/>
    <w:tmpl w:val="4A0323CB"/>
    <w:lvl w:ilvl="0" w:tentative="0">
      <w:start w:val="2"/>
      <w:numFmt w:val="decimal"/>
      <w:suff w:val="nothing"/>
      <w:lvlText w:val="%1）"/>
      <w:lvlJc w:val="left"/>
    </w:lvl>
  </w:abstractNum>
  <w:abstractNum w:abstractNumId="3">
    <w:nsid w:val="5E31ED8B"/>
    <w:multiLevelType w:val="singleLevel"/>
    <w:tmpl w:val="5E31ED8B"/>
    <w:lvl w:ilvl="0" w:tentative="0">
      <w:start w:val="7"/>
      <w:numFmt w:val="chineseCounting"/>
      <w:suff w:val="nothing"/>
      <w:lvlText w:val="（%1）"/>
      <w:lvlJc w:val="left"/>
      <w:rPr>
        <w:rFonts w:hint="eastAsia"/>
      </w:rPr>
    </w:lvl>
  </w:abstractNum>
  <w:abstractNum w:abstractNumId="4">
    <w:nsid w:val="619D4E7C"/>
    <w:multiLevelType w:val="singleLevel"/>
    <w:tmpl w:val="619D4E7C"/>
    <w:lvl w:ilvl="0" w:tentative="0">
      <w:start w:val="2"/>
      <w:numFmt w:val="decimal"/>
      <w:suff w:val="nothing"/>
      <w:lvlText w:val="（%1）"/>
      <w:lvlJc w:val="left"/>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hideSpellingErrors/>
  <w:attachedTemplate r:id="rId1"/>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1M2FjYjYwNGY2NzliY2E1ZjZkOGM2ZDQzNjBmZTEifQ=="/>
  </w:docVars>
  <w:rsids>
    <w:rsidRoot w:val="00A14947"/>
    <w:rsid w:val="00000209"/>
    <w:rsid w:val="000018F4"/>
    <w:rsid w:val="00003A85"/>
    <w:rsid w:val="00003B46"/>
    <w:rsid w:val="00004841"/>
    <w:rsid w:val="00005DE4"/>
    <w:rsid w:val="000060B3"/>
    <w:rsid w:val="00007B1F"/>
    <w:rsid w:val="00010650"/>
    <w:rsid w:val="0001242D"/>
    <w:rsid w:val="00012896"/>
    <w:rsid w:val="00015610"/>
    <w:rsid w:val="0001613F"/>
    <w:rsid w:val="0001635E"/>
    <w:rsid w:val="00016452"/>
    <w:rsid w:val="0002397C"/>
    <w:rsid w:val="00023FAF"/>
    <w:rsid w:val="0002433D"/>
    <w:rsid w:val="0002636A"/>
    <w:rsid w:val="000271C1"/>
    <w:rsid w:val="00030EBA"/>
    <w:rsid w:val="00032AC2"/>
    <w:rsid w:val="00033064"/>
    <w:rsid w:val="0003439B"/>
    <w:rsid w:val="000354B9"/>
    <w:rsid w:val="000370C2"/>
    <w:rsid w:val="00037CE3"/>
    <w:rsid w:val="00040881"/>
    <w:rsid w:val="00040D13"/>
    <w:rsid w:val="0004247B"/>
    <w:rsid w:val="0004364B"/>
    <w:rsid w:val="00044162"/>
    <w:rsid w:val="000455F5"/>
    <w:rsid w:val="0004782D"/>
    <w:rsid w:val="00050855"/>
    <w:rsid w:val="00051E3E"/>
    <w:rsid w:val="00051F6E"/>
    <w:rsid w:val="000533EF"/>
    <w:rsid w:val="00054CFD"/>
    <w:rsid w:val="000551D6"/>
    <w:rsid w:val="000556EC"/>
    <w:rsid w:val="00056439"/>
    <w:rsid w:val="00056C94"/>
    <w:rsid w:val="000600EE"/>
    <w:rsid w:val="000614B5"/>
    <w:rsid w:val="000616C6"/>
    <w:rsid w:val="000616EC"/>
    <w:rsid w:val="00061B1F"/>
    <w:rsid w:val="00061CCB"/>
    <w:rsid w:val="00061D5D"/>
    <w:rsid w:val="000668E9"/>
    <w:rsid w:val="00067969"/>
    <w:rsid w:val="00067BBF"/>
    <w:rsid w:val="000733C4"/>
    <w:rsid w:val="00073D7B"/>
    <w:rsid w:val="00073F63"/>
    <w:rsid w:val="00073FDB"/>
    <w:rsid w:val="00074783"/>
    <w:rsid w:val="00074A47"/>
    <w:rsid w:val="00077547"/>
    <w:rsid w:val="00077AF7"/>
    <w:rsid w:val="00077B07"/>
    <w:rsid w:val="0008070B"/>
    <w:rsid w:val="000810AC"/>
    <w:rsid w:val="00081683"/>
    <w:rsid w:val="00081A02"/>
    <w:rsid w:val="00082231"/>
    <w:rsid w:val="000825C6"/>
    <w:rsid w:val="0008437F"/>
    <w:rsid w:val="000846D6"/>
    <w:rsid w:val="00085870"/>
    <w:rsid w:val="000858DD"/>
    <w:rsid w:val="0008731D"/>
    <w:rsid w:val="00090337"/>
    <w:rsid w:val="00090FDE"/>
    <w:rsid w:val="00091046"/>
    <w:rsid w:val="00091904"/>
    <w:rsid w:val="000920AA"/>
    <w:rsid w:val="00092175"/>
    <w:rsid w:val="00092D38"/>
    <w:rsid w:val="0009377B"/>
    <w:rsid w:val="00093A70"/>
    <w:rsid w:val="000942B7"/>
    <w:rsid w:val="00094BE6"/>
    <w:rsid w:val="00094C67"/>
    <w:rsid w:val="00095030"/>
    <w:rsid w:val="0009629F"/>
    <w:rsid w:val="000966DC"/>
    <w:rsid w:val="000A0199"/>
    <w:rsid w:val="000A0E47"/>
    <w:rsid w:val="000A17D1"/>
    <w:rsid w:val="000A20C9"/>
    <w:rsid w:val="000A2B19"/>
    <w:rsid w:val="000A3ECD"/>
    <w:rsid w:val="000A4DA2"/>
    <w:rsid w:val="000A65D7"/>
    <w:rsid w:val="000A740F"/>
    <w:rsid w:val="000A7700"/>
    <w:rsid w:val="000A7C89"/>
    <w:rsid w:val="000B058F"/>
    <w:rsid w:val="000B1E93"/>
    <w:rsid w:val="000B2091"/>
    <w:rsid w:val="000B32B2"/>
    <w:rsid w:val="000B388A"/>
    <w:rsid w:val="000B4467"/>
    <w:rsid w:val="000B4DB9"/>
    <w:rsid w:val="000B5822"/>
    <w:rsid w:val="000B65B8"/>
    <w:rsid w:val="000B7EBF"/>
    <w:rsid w:val="000C09AC"/>
    <w:rsid w:val="000C0C1D"/>
    <w:rsid w:val="000C1F65"/>
    <w:rsid w:val="000C29C3"/>
    <w:rsid w:val="000C4C42"/>
    <w:rsid w:val="000C6848"/>
    <w:rsid w:val="000C767F"/>
    <w:rsid w:val="000C7B52"/>
    <w:rsid w:val="000D14A6"/>
    <w:rsid w:val="000D14AE"/>
    <w:rsid w:val="000D1ED2"/>
    <w:rsid w:val="000D2610"/>
    <w:rsid w:val="000D2F9C"/>
    <w:rsid w:val="000D3AF7"/>
    <w:rsid w:val="000D3B2C"/>
    <w:rsid w:val="000D5039"/>
    <w:rsid w:val="000D5573"/>
    <w:rsid w:val="000D570F"/>
    <w:rsid w:val="000D5A44"/>
    <w:rsid w:val="000E209C"/>
    <w:rsid w:val="000E2C5C"/>
    <w:rsid w:val="000E3ED2"/>
    <w:rsid w:val="000E624A"/>
    <w:rsid w:val="000E7A02"/>
    <w:rsid w:val="000F13E1"/>
    <w:rsid w:val="000F39BF"/>
    <w:rsid w:val="000F4702"/>
    <w:rsid w:val="000F5130"/>
    <w:rsid w:val="000F5A68"/>
    <w:rsid w:val="000F5CC2"/>
    <w:rsid w:val="000F5D56"/>
    <w:rsid w:val="000F63AD"/>
    <w:rsid w:val="000F6A5A"/>
    <w:rsid w:val="000F7050"/>
    <w:rsid w:val="000F777C"/>
    <w:rsid w:val="00100F76"/>
    <w:rsid w:val="00102026"/>
    <w:rsid w:val="001046BB"/>
    <w:rsid w:val="001056C1"/>
    <w:rsid w:val="00106434"/>
    <w:rsid w:val="00111261"/>
    <w:rsid w:val="001120AE"/>
    <w:rsid w:val="001142B8"/>
    <w:rsid w:val="001164A0"/>
    <w:rsid w:val="00116AAF"/>
    <w:rsid w:val="00117670"/>
    <w:rsid w:val="00122EA2"/>
    <w:rsid w:val="00123626"/>
    <w:rsid w:val="00124BCE"/>
    <w:rsid w:val="001251B5"/>
    <w:rsid w:val="00125671"/>
    <w:rsid w:val="00125858"/>
    <w:rsid w:val="00125926"/>
    <w:rsid w:val="00125BC5"/>
    <w:rsid w:val="00125EE4"/>
    <w:rsid w:val="0012666B"/>
    <w:rsid w:val="00131F42"/>
    <w:rsid w:val="00132491"/>
    <w:rsid w:val="00132C57"/>
    <w:rsid w:val="00132C90"/>
    <w:rsid w:val="00133D31"/>
    <w:rsid w:val="00134895"/>
    <w:rsid w:val="00134C4D"/>
    <w:rsid w:val="001357F1"/>
    <w:rsid w:val="001363E0"/>
    <w:rsid w:val="00140B09"/>
    <w:rsid w:val="00140E39"/>
    <w:rsid w:val="00140FA8"/>
    <w:rsid w:val="0014117B"/>
    <w:rsid w:val="00141786"/>
    <w:rsid w:val="00142FEB"/>
    <w:rsid w:val="001432A4"/>
    <w:rsid w:val="00143A2D"/>
    <w:rsid w:val="00144794"/>
    <w:rsid w:val="00145A41"/>
    <w:rsid w:val="0014601B"/>
    <w:rsid w:val="00146207"/>
    <w:rsid w:val="001472F1"/>
    <w:rsid w:val="00147D50"/>
    <w:rsid w:val="00150B52"/>
    <w:rsid w:val="001514E5"/>
    <w:rsid w:val="00151675"/>
    <w:rsid w:val="00152DC6"/>
    <w:rsid w:val="00154ECF"/>
    <w:rsid w:val="00155B16"/>
    <w:rsid w:val="00155DED"/>
    <w:rsid w:val="00156330"/>
    <w:rsid w:val="001564F8"/>
    <w:rsid w:val="00157435"/>
    <w:rsid w:val="001602F4"/>
    <w:rsid w:val="00160AD7"/>
    <w:rsid w:val="0016279D"/>
    <w:rsid w:val="00165667"/>
    <w:rsid w:val="001657C5"/>
    <w:rsid w:val="001661C0"/>
    <w:rsid w:val="0016690F"/>
    <w:rsid w:val="00170D8E"/>
    <w:rsid w:val="00171B0B"/>
    <w:rsid w:val="00172565"/>
    <w:rsid w:val="00173545"/>
    <w:rsid w:val="00173D63"/>
    <w:rsid w:val="001740EA"/>
    <w:rsid w:val="00174F6C"/>
    <w:rsid w:val="0017504D"/>
    <w:rsid w:val="00175FB8"/>
    <w:rsid w:val="0017671A"/>
    <w:rsid w:val="00176C8E"/>
    <w:rsid w:val="00177422"/>
    <w:rsid w:val="001807DF"/>
    <w:rsid w:val="00181531"/>
    <w:rsid w:val="0018154F"/>
    <w:rsid w:val="00182C32"/>
    <w:rsid w:val="0018370A"/>
    <w:rsid w:val="0018392E"/>
    <w:rsid w:val="00184590"/>
    <w:rsid w:val="001848C7"/>
    <w:rsid w:val="00184D62"/>
    <w:rsid w:val="0018583F"/>
    <w:rsid w:val="00185EDB"/>
    <w:rsid w:val="00186C1F"/>
    <w:rsid w:val="001870D1"/>
    <w:rsid w:val="0018781E"/>
    <w:rsid w:val="00187ECB"/>
    <w:rsid w:val="00191566"/>
    <w:rsid w:val="00191596"/>
    <w:rsid w:val="0019195D"/>
    <w:rsid w:val="0019262D"/>
    <w:rsid w:val="001931EB"/>
    <w:rsid w:val="00193736"/>
    <w:rsid w:val="00194688"/>
    <w:rsid w:val="0019772F"/>
    <w:rsid w:val="001A00C8"/>
    <w:rsid w:val="001A0B59"/>
    <w:rsid w:val="001A1206"/>
    <w:rsid w:val="001A13FF"/>
    <w:rsid w:val="001A1B35"/>
    <w:rsid w:val="001A290E"/>
    <w:rsid w:val="001A4376"/>
    <w:rsid w:val="001A48A2"/>
    <w:rsid w:val="001A5AD7"/>
    <w:rsid w:val="001A6F61"/>
    <w:rsid w:val="001A70C2"/>
    <w:rsid w:val="001A7FDF"/>
    <w:rsid w:val="001B0B18"/>
    <w:rsid w:val="001B0D9B"/>
    <w:rsid w:val="001B32A5"/>
    <w:rsid w:val="001B36BC"/>
    <w:rsid w:val="001B52C0"/>
    <w:rsid w:val="001B6F93"/>
    <w:rsid w:val="001B72B8"/>
    <w:rsid w:val="001C1C66"/>
    <w:rsid w:val="001C2953"/>
    <w:rsid w:val="001C3433"/>
    <w:rsid w:val="001C4F4C"/>
    <w:rsid w:val="001C59CF"/>
    <w:rsid w:val="001C69B3"/>
    <w:rsid w:val="001C7178"/>
    <w:rsid w:val="001C7522"/>
    <w:rsid w:val="001C7BB7"/>
    <w:rsid w:val="001D0D1F"/>
    <w:rsid w:val="001D0FB6"/>
    <w:rsid w:val="001D3F05"/>
    <w:rsid w:val="001D53FC"/>
    <w:rsid w:val="001D5595"/>
    <w:rsid w:val="001D5B18"/>
    <w:rsid w:val="001D7874"/>
    <w:rsid w:val="001D7F22"/>
    <w:rsid w:val="001E0474"/>
    <w:rsid w:val="001E2862"/>
    <w:rsid w:val="001E2E95"/>
    <w:rsid w:val="001E5D25"/>
    <w:rsid w:val="001E79EE"/>
    <w:rsid w:val="001E7FD6"/>
    <w:rsid w:val="001F05F6"/>
    <w:rsid w:val="001F0F17"/>
    <w:rsid w:val="001F175C"/>
    <w:rsid w:val="001F3347"/>
    <w:rsid w:val="001F4680"/>
    <w:rsid w:val="001F4E05"/>
    <w:rsid w:val="001F69E4"/>
    <w:rsid w:val="001F7C30"/>
    <w:rsid w:val="00202788"/>
    <w:rsid w:val="00203414"/>
    <w:rsid w:val="00204CDA"/>
    <w:rsid w:val="002059F2"/>
    <w:rsid w:val="0020699D"/>
    <w:rsid w:val="00207F58"/>
    <w:rsid w:val="002119E9"/>
    <w:rsid w:val="002125B4"/>
    <w:rsid w:val="002155B8"/>
    <w:rsid w:val="00217FEA"/>
    <w:rsid w:val="00222874"/>
    <w:rsid w:val="00222E8F"/>
    <w:rsid w:val="00223615"/>
    <w:rsid w:val="00223A9E"/>
    <w:rsid w:val="00223ACF"/>
    <w:rsid w:val="00224839"/>
    <w:rsid w:val="002249B2"/>
    <w:rsid w:val="00224A03"/>
    <w:rsid w:val="002252D9"/>
    <w:rsid w:val="00226574"/>
    <w:rsid w:val="00226C62"/>
    <w:rsid w:val="00226E93"/>
    <w:rsid w:val="002271DB"/>
    <w:rsid w:val="002278EC"/>
    <w:rsid w:val="0023280E"/>
    <w:rsid w:val="002328AE"/>
    <w:rsid w:val="002329DA"/>
    <w:rsid w:val="00233868"/>
    <w:rsid w:val="002340DA"/>
    <w:rsid w:val="002345EF"/>
    <w:rsid w:val="002353E7"/>
    <w:rsid w:val="00235BF1"/>
    <w:rsid w:val="00236404"/>
    <w:rsid w:val="0023744E"/>
    <w:rsid w:val="002377D1"/>
    <w:rsid w:val="00240515"/>
    <w:rsid w:val="00240CC5"/>
    <w:rsid w:val="0024122C"/>
    <w:rsid w:val="00242E0B"/>
    <w:rsid w:val="00242E24"/>
    <w:rsid w:val="00243D6B"/>
    <w:rsid w:val="00244456"/>
    <w:rsid w:val="00247071"/>
    <w:rsid w:val="002506BC"/>
    <w:rsid w:val="00250E6B"/>
    <w:rsid w:val="00251CDF"/>
    <w:rsid w:val="00252BAD"/>
    <w:rsid w:val="00252BC2"/>
    <w:rsid w:val="00253504"/>
    <w:rsid w:val="00254345"/>
    <w:rsid w:val="00254FE3"/>
    <w:rsid w:val="00255190"/>
    <w:rsid w:val="00255753"/>
    <w:rsid w:val="00260558"/>
    <w:rsid w:val="00262062"/>
    <w:rsid w:val="00262D85"/>
    <w:rsid w:val="0026411C"/>
    <w:rsid w:val="00264557"/>
    <w:rsid w:val="00274E7F"/>
    <w:rsid w:val="002750D3"/>
    <w:rsid w:val="002755F3"/>
    <w:rsid w:val="00277042"/>
    <w:rsid w:val="002805AB"/>
    <w:rsid w:val="00280D5B"/>
    <w:rsid w:val="002815B6"/>
    <w:rsid w:val="0028309B"/>
    <w:rsid w:val="00284204"/>
    <w:rsid w:val="002852F9"/>
    <w:rsid w:val="00287427"/>
    <w:rsid w:val="0029010A"/>
    <w:rsid w:val="0029013D"/>
    <w:rsid w:val="0029159F"/>
    <w:rsid w:val="00291773"/>
    <w:rsid w:val="002927F7"/>
    <w:rsid w:val="0029335E"/>
    <w:rsid w:val="002943E0"/>
    <w:rsid w:val="00294CA9"/>
    <w:rsid w:val="002952BE"/>
    <w:rsid w:val="0029628F"/>
    <w:rsid w:val="002A168C"/>
    <w:rsid w:val="002A3DC7"/>
    <w:rsid w:val="002A4DD2"/>
    <w:rsid w:val="002A7D86"/>
    <w:rsid w:val="002B017F"/>
    <w:rsid w:val="002B02F2"/>
    <w:rsid w:val="002B1132"/>
    <w:rsid w:val="002B3678"/>
    <w:rsid w:val="002B49E2"/>
    <w:rsid w:val="002B5260"/>
    <w:rsid w:val="002B53A0"/>
    <w:rsid w:val="002B6119"/>
    <w:rsid w:val="002B62AB"/>
    <w:rsid w:val="002B643D"/>
    <w:rsid w:val="002B66A5"/>
    <w:rsid w:val="002B7478"/>
    <w:rsid w:val="002B7B00"/>
    <w:rsid w:val="002B7C44"/>
    <w:rsid w:val="002C0584"/>
    <w:rsid w:val="002C09F4"/>
    <w:rsid w:val="002C2853"/>
    <w:rsid w:val="002C2B17"/>
    <w:rsid w:val="002C39C6"/>
    <w:rsid w:val="002C6467"/>
    <w:rsid w:val="002C6671"/>
    <w:rsid w:val="002C6D2D"/>
    <w:rsid w:val="002D220D"/>
    <w:rsid w:val="002D35FE"/>
    <w:rsid w:val="002D3DD0"/>
    <w:rsid w:val="002D41B3"/>
    <w:rsid w:val="002D4495"/>
    <w:rsid w:val="002D45A0"/>
    <w:rsid w:val="002D5550"/>
    <w:rsid w:val="002E0915"/>
    <w:rsid w:val="002E106D"/>
    <w:rsid w:val="002E128E"/>
    <w:rsid w:val="002E1939"/>
    <w:rsid w:val="002E1F3A"/>
    <w:rsid w:val="002E298A"/>
    <w:rsid w:val="002E2AD5"/>
    <w:rsid w:val="002E30E0"/>
    <w:rsid w:val="002E610C"/>
    <w:rsid w:val="002E73DE"/>
    <w:rsid w:val="002E7A87"/>
    <w:rsid w:val="002F0393"/>
    <w:rsid w:val="002F119A"/>
    <w:rsid w:val="002F1308"/>
    <w:rsid w:val="002F24D6"/>
    <w:rsid w:val="002F388A"/>
    <w:rsid w:val="002F3C2E"/>
    <w:rsid w:val="002F501B"/>
    <w:rsid w:val="002F5104"/>
    <w:rsid w:val="002F52C5"/>
    <w:rsid w:val="002F5742"/>
    <w:rsid w:val="002F6734"/>
    <w:rsid w:val="002F67FD"/>
    <w:rsid w:val="002F7614"/>
    <w:rsid w:val="003004BA"/>
    <w:rsid w:val="00300E18"/>
    <w:rsid w:val="00301077"/>
    <w:rsid w:val="00301978"/>
    <w:rsid w:val="00302792"/>
    <w:rsid w:val="00302A9B"/>
    <w:rsid w:val="00302E16"/>
    <w:rsid w:val="0030332C"/>
    <w:rsid w:val="0030485D"/>
    <w:rsid w:val="003051C2"/>
    <w:rsid w:val="00306CFA"/>
    <w:rsid w:val="00310E31"/>
    <w:rsid w:val="003121AC"/>
    <w:rsid w:val="0031222B"/>
    <w:rsid w:val="00312296"/>
    <w:rsid w:val="00314CD6"/>
    <w:rsid w:val="00314E31"/>
    <w:rsid w:val="00314F0E"/>
    <w:rsid w:val="00315764"/>
    <w:rsid w:val="00316328"/>
    <w:rsid w:val="00316678"/>
    <w:rsid w:val="00316BFF"/>
    <w:rsid w:val="00317B87"/>
    <w:rsid w:val="00320579"/>
    <w:rsid w:val="00321882"/>
    <w:rsid w:val="00321D8E"/>
    <w:rsid w:val="00322A19"/>
    <w:rsid w:val="00322D84"/>
    <w:rsid w:val="00322EC4"/>
    <w:rsid w:val="00322F51"/>
    <w:rsid w:val="00323496"/>
    <w:rsid w:val="003245F4"/>
    <w:rsid w:val="003248A6"/>
    <w:rsid w:val="00324D53"/>
    <w:rsid w:val="00325165"/>
    <w:rsid w:val="0032537E"/>
    <w:rsid w:val="00325928"/>
    <w:rsid w:val="00326444"/>
    <w:rsid w:val="003276FE"/>
    <w:rsid w:val="00330FD4"/>
    <w:rsid w:val="00331267"/>
    <w:rsid w:val="00332863"/>
    <w:rsid w:val="00333CE4"/>
    <w:rsid w:val="00335460"/>
    <w:rsid w:val="0033557D"/>
    <w:rsid w:val="0033684D"/>
    <w:rsid w:val="00337B42"/>
    <w:rsid w:val="003403CD"/>
    <w:rsid w:val="00340A92"/>
    <w:rsid w:val="00340BDA"/>
    <w:rsid w:val="00341529"/>
    <w:rsid w:val="00341B42"/>
    <w:rsid w:val="00341E1C"/>
    <w:rsid w:val="00342561"/>
    <w:rsid w:val="00342998"/>
    <w:rsid w:val="00342B37"/>
    <w:rsid w:val="0034348F"/>
    <w:rsid w:val="0034354F"/>
    <w:rsid w:val="00343AB1"/>
    <w:rsid w:val="00345945"/>
    <w:rsid w:val="00346119"/>
    <w:rsid w:val="00347705"/>
    <w:rsid w:val="003507F4"/>
    <w:rsid w:val="00352163"/>
    <w:rsid w:val="00355BBB"/>
    <w:rsid w:val="0035622C"/>
    <w:rsid w:val="00356653"/>
    <w:rsid w:val="003571D3"/>
    <w:rsid w:val="0035743F"/>
    <w:rsid w:val="00357785"/>
    <w:rsid w:val="00357BE2"/>
    <w:rsid w:val="003609E8"/>
    <w:rsid w:val="0036170C"/>
    <w:rsid w:val="003618AB"/>
    <w:rsid w:val="00361BFC"/>
    <w:rsid w:val="00361FBF"/>
    <w:rsid w:val="003638BD"/>
    <w:rsid w:val="00363D99"/>
    <w:rsid w:val="00364187"/>
    <w:rsid w:val="00364D91"/>
    <w:rsid w:val="0036637F"/>
    <w:rsid w:val="00366643"/>
    <w:rsid w:val="00366C21"/>
    <w:rsid w:val="00366E0F"/>
    <w:rsid w:val="00371D25"/>
    <w:rsid w:val="00372845"/>
    <w:rsid w:val="00372F9B"/>
    <w:rsid w:val="003741C7"/>
    <w:rsid w:val="0037596D"/>
    <w:rsid w:val="003763FC"/>
    <w:rsid w:val="003775F9"/>
    <w:rsid w:val="00381260"/>
    <w:rsid w:val="00381657"/>
    <w:rsid w:val="00381A72"/>
    <w:rsid w:val="00382D02"/>
    <w:rsid w:val="003840F8"/>
    <w:rsid w:val="00384676"/>
    <w:rsid w:val="00385164"/>
    <w:rsid w:val="00385F2D"/>
    <w:rsid w:val="00387B51"/>
    <w:rsid w:val="00387C9D"/>
    <w:rsid w:val="00390857"/>
    <w:rsid w:val="00390E9A"/>
    <w:rsid w:val="00392016"/>
    <w:rsid w:val="00396127"/>
    <w:rsid w:val="003A0EA7"/>
    <w:rsid w:val="003A3645"/>
    <w:rsid w:val="003A4BF3"/>
    <w:rsid w:val="003A59CF"/>
    <w:rsid w:val="003A78A9"/>
    <w:rsid w:val="003A7AC0"/>
    <w:rsid w:val="003B2787"/>
    <w:rsid w:val="003B31B6"/>
    <w:rsid w:val="003B420D"/>
    <w:rsid w:val="003B6BCF"/>
    <w:rsid w:val="003B6CA8"/>
    <w:rsid w:val="003C2D09"/>
    <w:rsid w:val="003C3CEA"/>
    <w:rsid w:val="003C645B"/>
    <w:rsid w:val="003C6C16"/>
    <w:rsid w:val="003D07FC"/>
    <w:rsid w:val="003D17C9"/>
    <w:rsid w:val="003D2B77"/>
    <w:rsid w:val="003D2EA7"/>
    <w:rsid w:val="003D4170"/>
    <w:rsid w:val="003D5420"/>
    <w:rsid w:val="003D589C"/>
    <w:rsid w:val="003D596A"/>
    <w:rsid w:val="003D5ECB"/>
    <w:rsid w:val="003D75E9"/>
    <w:rsid w:val="003D794D"/>
    <w:rsid w:val="003E019B"/>
    <w:rsid w:val="003E0430"/>
    <w:rsid w:val="003E046F"/>
    <w:rsid w:val="003E17AF"/>
    <w:rsid w:val="003E21E9"/>
    <w:rsid w:val="003E2488"/>
    <w:rsid w:val="003E2588"/>
    <w:rsid w:val="003E3058"/>
    <w:rsid w:val="003E3383"/>
    <w:rsid w:val="003E354E"/>
    <w:rsid w:val="003E36B1"/>
    <w:rsid w:val="003E3A2D"/>
    <w:rsid w:val="003E471C"/>
    <w:rsid w:val="003E4EF5"/>
    <w:rsid w:val="003E76A9"/>
    <w:rsid w:val="003F0190"/>
    <w:rsid w:val="003F0368"/>
    <w:rsid w:val="003F0809"/>
    <w:rsid w:val="003F0EDB"/>
    <w:rsid w:val="003F1231"/>
    <w:rsid w:val="003F1961"/>
    <w:rsid w:val="003F1E4F"/>
    <w:rsid w:val="003F3AAF"/>
    <w:rsid w:val="003F408A"/>
    <w:rsid w:val="003F4F2A"/>
    <w:rsid w:val="003F6163"/>
    <w:rsid w:val="003F6298"/>
    <w:rsid w:val="003F69A3"/>
    <w:rsid w:val="003F6A8C"/>
    <w:rsid w:val="003F755C"/>
    <w:rsid w:val="004024FB"/>
    <w:rsid w:val="0040361C"/>
    <w:rsid w:val="004042BA"/>
    <w:rsid w:val="00406F01"/>
    <w:rsid w:val="00407E84"/>
    <w:rsid w:val="00410B29"/>
    <w:rsid w:val="00411633"/>
    <w:rsid w:val="0041177C"/>
    <w:rsid w:val="00411B0C"/>
    <w:rsid w:val="004124CF"/>
    <w:rsid w:val="00412887"/>
    <w:rsid w:val="004128FE"/>
    <w:rsid w:val="00412ACB"/>
    <w:rsid w:val="00412FE2"/>
    <w:rsid w:val="004131B2"/>
    <w:rsid w:val="00413874"/>
    <w:rsid w:val="00414196"/>
    <w:rsid w:val="0041476C"/>
    <w:rsid w:val="00415785"/>
    <w:rsid w:val="00416637"/>
    <w:rsid w:val="00416D50"/>
    <w:rsid w:val="00416FD5"/>
    <w:rsid w:val="00417772"/>
    <w:rsid w:val="00417D40"/>
    <w:rsid w:val="00420E6A"/>
    <w:rsid w:val="004220C4"/>
    <w:rsid w:val="00422878"/>
    <w:rsid w:val="00423AD2"/>
    <w:rsid w:val="00423C41"/>
    <w:rsid w:val="00425A9E"/>
    <w:rsid w:val="00425B9A"/>
    <w:rsid w:val="00426D6B"/>
    <w:rsid w:val="00427200"/>
    <w:rsid w:val="00431E6C"/>
    <w:rsid w:val="0043282A"/>
    <w:rsid w:val="00432E35"/>
    <w:rsid w:val="004339D1"/>
    <w:rsid w:val="00433CE7"/>
    <w:rsid w:val="00435694"/>
    <w:rsid w:val="00435C93"/>
    <w:rsid w:val="00436A35"/>
    <w:rsid w:val="00443417"/>
    <w:rsid w:val="004436B6"/>
    <w:rsid w:val="0044436A"/>
    <w:rsid w:val="00444F0A"/>
    <w:rsid w:val="00446B60"/>
    <w:rsid w:val="00450136"/>
    <w:rsid w:val="00451181"/>
    <w:rsid w:val="0045213A"/>
    <w:rsid w:val="00452738"/>
    <w:rsid w:val="00454919"/>
    <w:rsid w:val="0045511B"/>
    <w:rsid w:val="00456091"/>
    <w:rsid w:val="00457536"/>
    <w:rsid w:val="00461B9E"/>
    <w:rsid w:val="0046405C"/>
    <w:rsid w:val="00466321"/>
    <w:rsid w:val="0046672B"/>
    <w:rsid w:val="004674D0"/>
    <w:rsid w:val="00467B47"/>
    <w:rsid w:val="00470ECC"/>
    <w:rsid w:val="004715C5"/>
    <w:rsid w:val="00471B5C"/>
    <w:rsid w:val="00471F38"/>
    <w:rsid w:val="00473DDB"/>
    <w:rsid w:val="00473FE6"/>
    <w:rsid w:val="00475906"/>
    <w:rsid w:val="004808E5"/>
    <w:rsid w:val="00482F62"/>
    <w:rsid w:val="00484B9B"/>
    <w:rsid w:val="00484B9C"/>
    <w:rsid w:val="00484BDB"/>
    <w:rsid w:val="0048505C"/>
    <w:rsid w:val="004855F6"/>
    <w:rsid w:val="0048608A"/>
    <w:rsid w:val="0048661E"/>
    <w:rsid w:val="00492E61"/>
    <w:rsid w:val="00493E21"/>
    <w:rsid w:val="004943E4"/>
    <w:rsid w:val="004944F6"/>
    <w:rsid w:val="00494670"/>
    <w:rsid w:val="00495F58"/>
    <w:rsid w:val="004A0B6D"/>
    <w:rsid w:val="004A1F08"/>
    <w:rsid w:val="004A212C"/>
    <w:rsid w:val="004A320B"/>
    <w:rsid w:val="004A32FA"/>
    <w:rsid w:val="004A3823"/>
    <w:rsid w:val="004A4223"/>
    <w:rsid w:val="004A430D"/>
    <w:rsid w:val="004A488B"/>
    <w:rsid w:val="004A5F4E"/>
    <w:rsid w:val="004A7C7A"/>
    <w:rsid w:val="004B0332"/>
    <w:rsid w:val="004B1B90"/>
    <w:rsid w:val="004B7D17"/>
    <w:rsid w:val="004B7D84"/>
    <w:rsid w:val="004B7F84"/>
    <w:rsid w:val="004C026F"/>
    <w:rsid w:val="004C1602"/>
    <w:rsid w:val="004C1E08"/>
    <w:rsid w:val="004C202A"/>
    <w:rsid w:val="004C23FD"/>
    <w:rsid w:val="004C2F1E"/>
    <w:rsid w:val="004C4542"/>
    <w:rsid w:val="004C5D8F"/>
    <w:rsid w:val="004D0FC7"/>
    <w:rsid w:val="004D1399"/>
    <w:rsid w:val="004D34A7"/>
    <w:rsid w:val="004D3D1A"/>
    <w:rsid w:val="004D6BAB"/>
    <w:rsid w:val="004D7199"/>
    <w:rsid w:val="004D7F13"/>
    <w:rsid w:val="004E0786"/>
    <w:rsid w:val="004E17ED"/>
    <w:rsid w:val="004E299F"/>
    <w:rsid w:val="004E38BD"/>
    <w:rsid w:val="004E39A5"/>
    <w:rsid w:val="004E3C21"/>
    <w:rsid w:val="004E417A"/>
    <w:rsid w:val="004E6194"/>
    <w:rsid w:val="004E6946"/>
    <w:rsid w:val="004E6EEA"/>
    <w:rsid w:val="004F0032"/>
    <w:rsid w:val="004F01BD"/>
    <w:rsid w:val="004F1AD8"/>
    <w:rsid w:val="004F45B4"/>
    <w:rsid w:val="004F5680"/>
    <w:rsid w:val="004F599C"/>
    <w:rsid w:val="004F5E40"/>
    <w:rsid w:val="004F6F48"/>
    <w:rsid w:val="004F73F0"/>
    <w:rsid w:val="005002E3"/>
    <w:rsid w:val="00500833"/>
    <w:rsid w:val="005028AB"/>
    <w:rsid w:val="005028AC"/>
    <w:rsid w:val="005039CB"/>
    <w:rsid w:val="00504381"/>
    <w:rsid w:val="0050453F"/>
    <w:rsid w:val="0050558F"/>
    <w:rsid w:val="00505E13"/>
    <w:rsid w:val="00506286"/>
    <w:rsid w:val="00506ED9"/>
    <w:rsid w:val="00510813"/>
    <w:rsid w:val="005110BF"/>
    <w:rsid w:val="00511990"/>
    <w:rsid w:val="00511DE0"/>
    <w:rsid w:val="005129D6"/>
    <w:rsid w:val="0051438E"/>
    <w:rsid w:val="005144B3"/>
    <w:rsid w:val="005145D3"/>
    <w:rsid w:val="00514870"/>
    <w:rsid w:val="00514B9B"/>
    <w:rsid w:val="00515C2D"/>
    <w:rsid w:val="00517F02"/>
    <w:rsid w:val="005205B9"/>
    <w:rsid w:val="005208CB"/>
    <w:rsid w:val="00523829"/>
    <w:rsid w:val="00523887"/>
    <w:rsid w:val="00524291"/>
    <w:rsid w:val="00524303"/>
    <w:rsid w:val="005258A2"/>
    <w:rsid w:val="00526B57"/>
    <w:rsid w:val="00526D13"/>
    <w:rsid w:val="00530632"/>
    <w:rsid w:val="00535D08"/>
    <w:rsid w:val="00536271"/>
    <w:rsid w:val="005363FE"/>
    <w:rsid w:val="00536593"/>
    <w:rsid w:val="0053745B"/>
    <w:rsid w:val="005401AE"/>
    <w:rsid w:val="005405D2"/>
    <w:rsid w:val="00542E07"/>
    <w:rsid w:val="005445B0"/>
    <w:rsid w:val="00544D24"/>
    <w:rsid w:val="00545424"/>
    <w:rsid w:val="0054700A"/>
    <w:rsid w:val="005476EE"/>
    <w:rsid w:val="00550A1C"/>
    <w:rsid w:val="00550CF6"/>
    <w:rsid w:val="00551648"/>
    <w:rsid w:val="00551981"/>
    <w:rsid w:val="00553790"/>
    <w:rsid w:val="00554A7B"/>
    <w:rsid w:val="0055572C"/>
    <w:rsid w:val="0055615D"/>
    <w:rsid w:val="00556B00"/>
    <w:rsid w:val="00556E8A"/>
    <w:rsid w:val="00557853"/>
    <w:rsid w:val="0056106A"/>
    <w:rsid w:val="005617F6"/>
    <w:rsid w:val="00562046"/>
    <w:rsid w:val="00562688"/>
    <w:rsid w:val="005648F6"/>
    <w:rsid w:val="00565E33"/>
    <w:rsid w:val="00566C66"/>
    <w:rsid w:val="00571234"/>
    <w:rsid w:val="005720AE"/>
    <w:rsid w:val="00572DBD"/>
    <w:rsid w:val="005750B3"/>
    <w:rsid w:val="00575279"/>
    <w:rsid w:val="0058073C"/>
    <w:rsid w:val="00581EBB"/>
    <w:rsid w:val="00581F3B"/>
    <w:rsid w:val="005829FF"/>
    <w:rsid w:val="005835D3"/>
    <w:rsid w:val="0058437A"/>
    <w:rsid w:val="00584D16"/>
    <w:rsid w:val="0058563A"/>
    <w:rsid w:val="00585B8C"/>
    <w:rsid w:val="005929FE"/>
    <w:rsid w:val="00592D17"/>
    <w:rsid w:val="005940B5"/>
    <w:rsid w:val="00594D77"/>
    <w:rsid w:val="005962A3"/>
    <w:rsid w:val="005969E4"/>
    <w:rsid w:val="005A06B7"/>
    <w:rsid w:val="005A0928"/>
    <w:rsid w:val="005A0FF7"/>
    <w:rsid w:val="005A1759"/>
    <w:rsid w:val="005A27D6"/>
    <w:rsid w:val="005A2DDD"/>
    <w:rsid w:val="005A2E65"/>
    <w:rsid w:val="005A3953"/>
    <w:rsid w:val="005A68A7"/>
    <w:rsid w:val="005B08D1"/>
    <w:rsid w:val="005B137C"/>
    <w:rsid w:val="005B28B0"/>
    <w:rsid w:val="005B3339"/>
    <w:rsid w:val="005B46B1"/>
    <w:rsid w:val="005B5CA2"/>
    <w:rsid w:val="005B5D80"/>
    <w:rsid w:val="005C0214"/>
    <w:rsid w:val="005C0919"/>
    <w:rsid w:val="005C0AD3"/>
    <w:rsid w:val="005C1127"/>
    <w:rsid w:val="005C150A"/>
    <w:rsid w:val="005C2299"/>
    <w:rsid w:val="005C3347"/>
    <w:rsid w:val="005C3511"/>
    <w:rsid w:val="005C4077"/>
    <w:rsid w:val="005C427C"/>
    <w:rsid w:val="005C50FF"/>
    <w:rsid w:val="005C58A1"/>
    <w:rsid w:val="005C593F"/>
    <w:rsid w:val="005C6A44"/>
    <w:rsid w:val="005C6E01"/>
    <w:rsid w:val="005C755C"/>
    <w:rsid w:val="005C7AE5"/>
    <w:rsid w:val="005D082D"/>
    <w:rsid w:val="005D3482"/>
    <w:rsid w:val="005D36AB"/>
    <w:rsid w:val="005D4F44"/>
    <w:rsid w:val="005D51E7"/>
    <w:rsid w:val="005D6305"/>
    <w:rsid w:val="005D78B7"/>
    <w:rsid w:val="005E0590"/>
    <w:rsid w:val="005E2753"/>
    <w:rsid w:val="005E2DE6"/>
    <w:rsid w:val="005E50B6"/>
    <w:rsid w:val="005F24DA"/>
    <w:rsid w:val="005F2C61"/>
    <w:rsid w:val="005F3144"/>
    <w:rsid w:val="005F4312"/>
    <w:rsid w:val="005F4B63"/>
    <w:rsid w:val="005F56F3"/>
    <w:rsid w:val="005F5C2A"/>
    <w:rsid w:val="005F617B"/>
    <w:rsid w:val="005F703A"/>
    <w:rsid w:val="005F7539"/>
    <w:rsid w:val="005F7EB8"/>
    <w:rsid w:val="006002B8"/>
    <w:rsid w:val="00600783"/>
    <w:rsid w:val="00600F8E"/>
    <w:rsid w:val="00601E4B"/>
    <w:rsid w:val="00601FFD"/>
    <w:rsid w:val="00605255"/>
    <w:rsid w:val="00606EE9"/>
    <w:rsid w:val="00607D36"/>
    <w:rsid w:val="00610648"/>
    <w:rsid w:val="0061146E"/>
    <w:rsid w:val="0061273A"/>
    <w:rsid w:val="006142C9"/>
    <w:rsid w:val="00617CC3"/>
    <w:rsid w:val="006209FF"/>
    <w:rsid w:val="0062174D"/>
    <w:rsid w:val="00621FA7"/>
    <w:rsid w:val="006227F7"/>
    <w:rsid w:val="00623760"/>
    <w:rsid w:val="0062441F"/>
    <w:rsid w:val="006253F2"/>
    <w:rsid w:val="00625423"/>
    <w:rsid w:val="00627B99"/>
    <w:rsid w:val="00630AF7"/>
    <w:rsid w:val="00633390"/>
    <w:rsid w:val="006377A6"/>
    <w:rsid w:val="00637A3D"/>
    <w:rsid w:val="006405FD"/>
    <w:rsid w:val="00640D75"/>
    <w:rsid w:val="006411EF"/>
    <w:rsid w:val="00641BA7"/>
    <w:rsid w:val="00641FB0"/>
    <w:rsid w:val="00644317"/>
    <w:rsid w:val="006453F6"/>
    <w:rsid w:val="00646BDD"/>
    <w:rsid w:val="006476BF"/>
    <w:rsid w:val="006515A8"/>
    <w:rsid w:val="00651635"/>
    <w:rsid w:val="0065275E"/>
    <w:rsid w:val="0065338C"/>
    <w:rsid w:val="00654739"/>
    <w:rsid w:val="00654F2D"/>
    <w:rsid w:val="006561C2"/>
    <w:rsid w:val="006571A3"/>
    <w:rsid w:val="00662668"/>
    <w:rsid w:val="00663886"/>
    <w:rsid w:val="00665403"/>
    <w:rsid w:val="006660CE"/>
    <w:rsid w:val="0066633C"/>
    <w:rsid w:val="00666644"/>
    <w:rsid w:val="00666FF8"/>
    <w:rsid w:val="006674A0"/>
    <w:rsid w:val="00667F58"/>
    <w:rsid w:val="00671798"/>
    <w:rsid w:val="00671901"/>
    <w:rsid w:val="00673E76"/>
    <w:rsid w:val="006748B8"/>
    <w:rsid w:val="00674C13"/>
    <w:rsid w:val="00675639"/>
    <w:rsid w:val="006762A3"/>
    <w:rsid w:val="00676351"/>
    <w:rsid w:val="006775C3"/>
    <w:rsid w:val="00677649"/>
    <w:rsid w:val="0067796F"/>
    <w:rsid w:val="00677D31"/>
    <w:rsid w:val="006805EE"/>
    <w:rsid w:val="0068107D"/>
    <w:rsid w:val="00681232"/>
    <w:rsid w:val="00684720"/>
    <w:rsid w:val="00685800"/>
    <w:rsid w:val="00685E3F"/>
    <w:rsid w:val="00690739"/>
    <w:rsid w:val="0069122A"/>
    <w:rsid w:val="0069290A"/>
    <w:rsid w:val="00694DCE"/>
    <w:rsid w:val="00694F41"/>
    <w:rsid w:val="00695FAA"/>
    <w:rsid w:val="00696ABC"/>
    <w:rsid w:val="00696F75"/>
    <w:rsid w:val="0069775A"/>
    <w:rsid w:val="00697813"/>
    <w:rsid w:val="006A0513"/>
    <w:rsid w:val="006A3D2E"/>
    <w:rsid w:val="006A3EE8"/>
    <w:rsid w:val="006A3FBA"/>
    <w:rsid w:val="006A5861"/>
    <w:rsid w:val="006A652C"/>
    <w:rsid w:val="006A6FE6"/>
    <w:rsid w:val="006A72BF"/>
    <w:rsid w:val="006A75A9"/>
    <w:rsid w:val="006B03F2"/>
    <w:rsid w:val="006B0573"/>
    <w:rsid w:val="006B1973"/>
    <w:rsid w:val="006B1B5C"/>
    <w:rsid w:val="006B29D9"/>
    <w:rsid w:val="006B37DC"/>
    <w:rsid w:val="006B4F68"/>
    <w:rsid w:val="006B55BC"/>
    <w:rsid w:val="006B7E5E"/>
    <w:rsid w:val="006C0592"/>
    <w:rsid w:val="006C0FB3"/>
    <w:rsid w:val="006C172F"/>
    <w:rsid w:val="006C1744"/>
    <w:rsid w:val="006C1752"/>
    <w:rsid w:val="006C272E"/>
    <w:rsid w:val="006C27F1"/>
    <w:rsid w:val="006C3FD6"/>
    <w:rsid w:val="006C5470"/>
    <w:rsid w:val="006C5479"/>
    <w:rsid w:val="006C5782"/>
    <w:rsid w:val="006C6938"/>
    <w:rsid w:val="006C7410"/>
    <w:rsid w:val="006C7690"/>
    <w:rsid w:val="006D0C68"/>
    <w:rsid w:val="006D13B5"/>
    <w:rsid w:val="006D2382"/>
    <w:rsid w:val="006D262E"/>
    <w:rsid w:val="006D2CA3"/>
    <w:rsid w:val="006D3D45"/>
    <w:rsid w:val="006D3FDA"/>
    <w:rsid w:val="006D45E5"/>
    <w:rsid w:val="006D52BE"/>
    <w:rsid w:val="006D6538"/>
    <w:rsid w:val="006D70B3"/>
    <w:rsid w:val="006E0B71"/>
    <w:rsid w:val="006E12FF"/>
    <w:rsid w:val="006E1E89"/>
    <w:rsid w:val="006E4845"/>
    <w:rsid w:val="006E5028"/>
    <w:rsid w:val="006E5BBA"/>
    <w:rsid w:val="006E607E"/>
    <w:rsid w:val="006F04F6"/>
    <w:rsid w:val="006F17F7"/>
    <w:rsid w:val="006F60AE"/>
    <w:rsid w:val="006F77E4"/>
    <w:rsid w:val="0070161F"/>
    <w:rsid w:val="00702249"/>
    <w:rsid w:val="00703A83"/>
    <w:rsid w:val="00704689"/>
    <w:rsid w:val="00704E7F"/>
    <w:rsid w:val="00705F03"/>
    <w:rsid w:val="0070642A"/>
    <w:rsid w:val="00706534"/>
    <w:rsid w:val="0070694D"/>
    <w:rsid w:val="00706C5D"/>
    <w:rsid w:val="0070777A"/>
    <w:rsid w:val="00707E38"/>
    <w:rsid w:val="00707E8F"/>
    <w:rsid w:val="00711463"/>
    <w:rsid w:val="00711545"/>
    <w:rsid w:val="00711E47"/>
    <w:rsid w:val="00713673"/>
    <w:rsid w:val="00714FA9"/>
    <w:rsid w:val="007168C7"/>
    <w:rsid w:val="00717712"/>
    <w:rsid w:val="00720470"/>
    <w:rsid w:val="00720FE4"/>
    <w:rsid w:val="00721B46"/>
    <w:rsid w:val="00723161"/>
    <w:rsid w:val="00724DB9"/>
    <w:rsid w:val="00725375"/>
    <w:rsid w:val="00725600"/>
    <w:rsid w:val="007257DC"/>
    <w:rsid w:val="00727874"/>
    <w:rsid w:val="00727EAE"/>
    <w:rsid w:val="007301F7"/>
    <w:rsid w:val="00730717"/>
    <w:rsid w:val="00730732"/>
    <w:rsid w:val="00730BF2"/>
    <w:rsid w:val="0073132C"/>
    <w:rsid w:val="00731607"/>
    <w:rsid w:val="00732922"/>
    <w:rsid w:val="007331E8"/>
    <w:rsid w:val="00733D62"/>
    <w:rsid w:val="007347E2"/>
    <w:rsid w:val="00734ED1"/>
    <w:rsid w:val="00735D2F"/>
    <w:rsid w:val="007366CE"/>
    <w:rsid w:val="00737F21"/>
    <w:rsid w:val="007400F8"/>
    <w:rsid w:val="00740662"/>
    <w:rsid w:val="0074150B"/>
    <w:rsid w:val="0074292C"/>
    <w:rsid w:val="00743D4D"/>
    <w:rsid w:val="00744633"/>
    <w:rsid w:val="00744BE9"/>
    <w:rsid w:val="00744E9F"/>
    <w:rsid w:val="00745F20"/>
    <w:rsid w:val="00746398"/>
    <w:rsid w:val="00746D6F"/>
    <w:rsid w:val="0075116A"/>
    <w:rsid w:val="0075162E"/>
    <w:rsid w:val="007518BC"/>
    <w:rsid w:val="00752B2A"/>
    <w:rsid w:val="00754034"/>
    <w:rsid w:val="007543C8"/>
    <w:rsid w:val="007544B4"/>
    <w:rsid w:val="00754BE5"/>
    <w:rsid w:val="00756556"/>
    <w:rsid w:val="00756694"/>
    <w:rsid w:val="00757EA6"/>
    <w:rsid w:val="007605F9"/>
    <w:rsid w:val="007618C4"/>
    <w:rsid w:val="007621DE"/>
    <w:rsid w:val="00762A5D"/>
    <w:rsid w:val="00762ED7"/>
    <w:rsid w:val="00763426"/>
    <w:rsid w:val="00765347"/>
    <w:rsid w:val="00766DE5"/>
    <w:rsid w:val="00767617"/>
    <w:rsid w:val="00767744"/>
    <w:rsid w:val="00767980"/>
    <w:rsid w:val="00770127"/>
    <w:rsid w:val="00770B19"/>
    <w:rsid w:val="0077198D"/>
    <w:rsid w:val="00772F48"/>
    <w:rsid w:val="00773CFF"/>
    <w:rsid w:val="007740C2"/>
    <w:rsid w:val="0077463F"/>
    <w:rsid w:val="00774B41"/>
    <w:rsid w:val="007750EB"/>
    <w:rsid w:val="00775162"/>
    <w:rsid w:val="00780895"/>
    <w:rsid w:val="00781318"/>
    <w:rsid w:val="00781F4A"/>
    <w:rsid w:val="00782846"/>
    <w:rsid w:val="00782FF6"/>
    <w:rsid w:val="007836EA"/>
    <w:rsid w:val="00783927"/>
    <w:rsid w:val="007847A9"/>
    <w:rsid w:val="00784931"/>
    <w:rsid w:val="00784CDA"/>
    <w:rsid w:val="00785FD9"/>
    <w:rsid w:val="00786334"/>
    <w:rsid w:val="00786A80"/>
    <w:rsid w:val="00787DC5"/>
    <w:rsid w:val="00787DF6"/>
    <w:rsid w:val="00787E56"/>
    <w:rsid w:val="00787E9B"/>
    <w:rsid w:val="007906C4"/>
    <w:rsid w:val="00790B11"/>
    <w:rsid w:val="00790C26"/>
    <w:rsid w:val="00792778"/>
    <w:rsid w:val="007938F9"/>
    <w:rsid w:val="007940EA"/>
    <w:rsid w:val="0079441F"/>
    <w:rsid w:val="007967E8"/>
    <w:rsid w:val="00796EE5"/>
    <w:rsid w:val="007A18F1"/>
    <w:rsid w:val="007A1997"/>
    <w:rsid w:val="007A2170"/>
    <w:rsid w:val="007A22BF"/>
    <w:rsid w:val="007A3323"/>
    <w:rsid w:val="007A3637"/>
    <w:rsid w:val="007A41DB"/>
    <w:rsid w:val="007A4284"/>
    <w:rsid w:val="007A4FFA"/>
    <w:rsid w:val="007A75DA"/>
    <w:rsid w:val="007A7C6B"/>
    <w:rsid w:val="007B2360"/>
    <w:rsid w:val="007B2B86"/>
    <w:rsid w:val="007B3689"/>
    <w:rsid w:val="007B54B8"/>
    <w:rsid w:val="007B72B8"/>
    <w:rsid w:val="007B7633"/>
    <w:rsid w:val="007B7A58"/>
    <w:rsid w:val="007C21B5"/>
    <w:rsid w:val="007C239A"/>
    <w:rsid w:val="007C3830"/>
    <w:rsid w:val="007C49E8"/>
    <w:rsid w:val="007C530B"/>
    <w:rsid w:val="007C5D3A"/>
    <w:rsid w:val="007C63D2"/>
    <w:rsid w:val="007C65EF"/>
    <w:rsid w:val="007C70C1"/>
    <w:rsid w:val="007C7737"/>
    <w:rsid w:val="007D2C55"/>
    <w:rsid w:val="007D2FA5"/>
    <w:rsid w:val="007D45E1"/>
    <w:rsid w:val="007D49A4"/>
    <w:rsid w:val="007D6807"/>
    <w:rsid w:val="007D722E"/>
    <w:rsid w:val="007E025A"/>
    <w:rsid w:val="007E1422"/>
    <w:rsid w:val="007E1C78"/>
    <w:rsid w:val="007E2A34"/>
    <w:rsid w:val="007E2E0A"/>
    <w:rsid w:val="007E319D"/>
    <w:rsid w:val="007E3720"/>
    <w:rsid w:val="007E44A3"/>
    <w:rsid w:val="007E4BA7"/>
    <w:rsid w:val="007E4BD2"/>
    <w:rsid w:val="007F112D"/>
    <w:rsid w:val="007F185A"/>
    <w:rsid w:val="007F25D1"/>
    <w:rsid w:val="007F52A5"/>
    <w:rsid w:val="007F5E31"/>
    <w:rsid w:val="007F60E6"/>
    <w:rsid w:val="007F7F45"/>
    <w:rsid w:val="00800827"/>
    <w:rsid w:val="00801393"/>
    <w:rsid w:val="00802177"/>
    <w:rsid w:val="00802563"/>
    <w:rsid w:val="00802C89"/>
    <w:rsid w:val="00802EAB"/>
    <w:rsid w:val="00802F88"/>
    <w:rsid w:val="0080386D"/>
    <w:rsid w:val="0080504F"/>
    <w:rsid w:val="0080505A"/>
    <w:rsid w:val="008057FF"/>
    <w:rsid w:val="00807413"/>
    <w:rsid w:val="0081198D"/>
    <w:rsid w:val="00811F89"/>
    <w:rsid w:val="0081293E"/>
    <w:rsid w:val="00812D8F"/>
    <w:rsid w:val="00814BF0"/>
    <w:rsid w:val="0081503C"/>
    <w:rsid w:val="00815465"/>
    <w:rsid w:val="008159F4"/>
    <w:rsid w:val="00816F45"/>
    <w:rsid w:val="00817987"/>
    <w:rsid w:val="00817ACF"/>
    <w:rsid w:val="00817E9A"/>
    <w:rsid w:val="00821B27"/>
    <w:rsid w:val="00821D68"/>
    <w:rsid w:val="00822922"/>
    <w:rsid w:val="00822D47"/>
    <w:rsid w:val="00824803"/>
    <w:rsid w:val="008261CB"/>
    <w:rsid w:val="00826AE2"/>
    <w:rsid w:val="0082744F"/>
    <w:rsid w:val="008278BE"/>
    <w:rsid w:val="008306BD"/>
    <w:rsid w:val="00831A80"/>
    <w:rsid w:val="008335F0"/>
    <w:rsid w:val="00833743"/>
    <w:rsid w:val="00833A22"/>
    <w:rsid w:val="008340A4"/>
    <w:rsid w:val="00837FE8"/>
    <w:rsid w:val="008410E8"/>
    <w:rsid w:val="00842596"/>
    <w:rsid w:val="00843F8D"/>
    <w:rsid w:val="008444B1"/>
    <w:rsid w:val="00844E24"/>
    <w:rsid w:val="0084634F"/>
    <w:rsid w:val="00847E40"/>
    <w:rsid w:val="00847F36"/>
    <w:rsid w:val="0085137B"/>
    <w:rsid w:val="008525ED"/>
    <w:rsid w:val="00853D63"/>
    <w:rsid w:val="008541E5"/>
    <w:rsid w:val="00857962"/>
    <w:rsid w:val="00860978"/>
    <w:rsid w:val="008639DA"/>
    <w:rsid w:val="00864A32"/>
    <w:rsid w:val="00864DC4"/>
    <w:rsid w:val="00864DF8"/>
    <w:rsid w:val="00864E82"/>
    <w:rsid w:val="00866A6F"/>
    <w:rsid w:val="008678FD"/>
    <w:rsid w:val="008702E8"/>
    <w:rsid w:val="00870920"/>
    <w:rsid w:val="0087135F"/>
    <w:rsid w:val="008725A2"/>
    <w:rsid w:val="00872D94"/>
    <w:rsid w:val="00873D29"/>
    <w:rsid w:val="00875C90"/>
    <w:rsid w:val="0087636B"/>
    <w:rsid w:val="00876703"/>
    <w:rsid w:val="0087754B"/>
    <w:rsid w:val="00877880"/>
    <w:rsid w:val="00880364"/>
    <w:rsid w:val="00880381"/>
    <w:rsid w:val="00880CD6"/>
    <w:rsid w:val="00882157"/>
    <w:rsid w:val="0088366D"/>
    <w:rsid w:val="00883C56"/>
    <w:rsid w:val="00884156"/>
    <w:rsid w:val="008851D7"/>
    <w:rsid w:val="00885444"/>
    <w:rsid w:val="008855CE"/>
    <w:rsid w:val="008858C9"/>
    <w:rsid w:val="00890811"/>
    <w:rsid w:val="00891394"/>
    <w:rsid w:val="00891592"/>
    <w:rsid w:val="008915DE"/>
    <w:rsid w:val="00891E9E"/>
    <w:rsid w:val="00894FB5"/>
    <w:rsid w:val="00894FE4"/>
    <w:rsid w:val="008957B5"/>
    <w:rsid w:val="0089614A"/>
    <w:rsid w:val="00896EB4"/>
    <w:rsid w:val="0089769D"/>
    <w:rsid w:val="008A13E8"/>
    <w:rsid w:val="008A174D"/>
    <w:rsid w:val="008A1789"/>
    <w:rsid w:val="008A1F30"/>
    <w:rsid w:val="008A2251"/>
    <w:rsid w:val="008A2C9C"/>
    <w:rsid w:val="008A2F68"/>
    <w:rsid w:val="008A712B"/>
    <w:rsid w:val="008B036D"/>
    <w:rsid w:val="008B04D3"/>
    <w:rsid w:val="008B0E25"/>
    <w:rsid w:val="008B3C00"/>
    <w:rsid w:val="008B3F8B"/>
    <w:rsid w:val="008B4499"/>
    <w:rsid w:val="008B4F5D"/>
    <w:rsid w:val="008B4FA6"/>
    <w:rsid w:val="008B51CA"/>
    <w:rsid w:val="008B5282"/>
    <w:rsid w:val="008B574E"/>
    <w:rsid w:val="008B7C17"/>
    <w:rsid w:val="008C1DC7"/>
    <w:rsid w:val="008C1E9D"/>
    <w:rsid w:val="008C20AF"/>
    <w:rsid w:val="008C22B6"/>
    <w:rsid w:val="008C264D"/>
    <w:rsid w:val="008C27A8"/>
    <w:rsid w:val="008C2D01"/>
    <w:rsid w:val="008C3444"/>
    <w:rsid w:val="008C40E6"/>
    <w:rsid w:val="008C4BFF"/>
    <w:rsid w:val="008C6BEA"/>
    <w:rsid w:val="008C6EB0"/>
    <w:rsid w:val="008C78F7"/>
    <w:rsid w:val="008D0507"/>
    <w:rsid w:val="008D0F7A"/>
    <w:rsid w:val="008D2ED4"/>
    <w:rsid w:val="008D3454"/>
    <w:rsid w:val="008D4F3D"/>
    <w:rsid w:val="008D68E4"/>
    <w:rsid w:val="008D71BF"/>
    <w:rsid w:val="008D7591"/>
    <w:rsid w:val="008D7DA7"/>
    <w:rsid w:val="008E0410"/>
    <w:rsid w:val="008E0506"/>
    <w:rsid w:val="008E0CFF"/>
    <w:rsid w:val="008E0EB2"/>
    <w:rsid w:val="008E2F33"/>
    <w:rsid w:val="008E393E"/>
    <w:rsid w:val="008E3E12"/>
    <w:rsid w:val="008E5D6B"/>
    <w:rsid w:val="008E76F0"/>
    <w:rsid w:val="008F096A"/>
    <w:rsid w:val="008F15FE"/>
    <w:rsid w:val="008F22BD"/>
    <w:rsid w:val="008F24EC"/>
    <w:rsid w:val="008F29AF"/>
    <w:rsid w:val="008F2B7F"/>
    <w:rsid w:val="008F2D29"/>
    <w:rsid w:val="008F416B"/>
    <w:rsid w:val="008F5187"/>
    <w:rsid w:val="008F53C0"/>
    <w:rsid w:val="008F60D8"/>
    <w:rsid w:val="008F7007"/>
    <w:rsid w:val="008F7418"/>
    <w:rsid w:val="008F7E12"/>
    <w:rsid w:val="00900035"/>
    <w:rsid w:val="00902727"/>
    <w:rsid w:val="00902A82"/>
    <w:rsid w:val="0090312B"/>
    <w:rsid w:val="009054C2"/>
    <w:rsid w:val="009058EF"/>
    <w:rsid w:val="009059F3"/>
    <w:rsid w:val="009063A4"/>
    <w:rsid w:val="009065E0"/>
    <w:rsid w:val="00907854"/>
    <w:rsid w:val="0091115C"/>
    <w:rsid w:val="00913323"/>
    <w:rsid w:val="00914799"/>
    <w:rsid w:val="0091653F"/>
    <w:rsid w:val="00916B7B"/>
    <w:rsid w:val="0091736D"/>
    <w:rsid w:val="009203E1"/>
    <w:rsid w:val="00921EE3"/>
    <w:rsid w:val="009235E4"/>
    <w:rsid w:val="00925EDC"/>
    <w:rsid w:val="00926916"/>
    <w:rsid w:val="00926D0A"/>
    <w:rsid w:val="00926E6C"/>
    <w:rsid w:val="0093037A"/>
    <w:rsid w:val="009315F5"/>
    <w:rsid w:val="00931648"/>
    <w:rsid w:val="00932935"/>
    <w:rsid w:val="00932D41"/>
    <w:rsid w:val="00932DDC"/>
    <w:rsid w:val="00935015"/>
    <w:rsid w:val="00935CFF"/>
    <w:rsid w:val="00935DB1"/>
    <w:rsid w:val="00936DBB"/>
    <w:rsid w:val="00940F2C"/>
    <w:rsid w:val="00940F66"/>
    <w:rsid w:val="0094154D"/>
    <w:rsid w:val="00941756"/>
    <w:rsid w:val="0094192D"/>
    <w:rsid w:val="00941AB5"/>
    <w:rsid w:val="0094215E"/>
    <w:rsid w:val="009421D8"/>
    <w:rsid w:val="00942AF2"/>
    <w:rsid w:val="0094625C"/>
    <w:rsid w:val="0094674F"/>
    <w:rsid w:val="00946B25"/>
    <w:rsid w:val="009475C8"/>
    <w:rsid w:val="00947797"/>
    <w:rsid w:val="00947B01"/>
    <w:rsid w:val="00950533"/>
    <w:rsid w:val="0095155F"/>
    <w:rsid w:val="00951978"/>
    <w:rsid w:val="00951A50"/>
    <w:rsid w:val="009539C7"/>
    <w:rsid w:val="00954429"/>
    <w:rsid w:val="009553CD"/>
    <w:rsid w:val="009563CE"/>
    <w:rsid w:val="00956CA2"/>
    <w:rsid w:val="009644B4"/>
    <w:rsid w:val="00964C3A"/>
    <w:rsid w:val="009665FC"/>
    <w:rsid w:val="009678E3"/>
    <w:rsid w:val="00970587"/>
    <w:rsid w:val="009706F4"/>
    <w:rsid w:val="0097210F"/>
    <w:rsid w:val="009722DE"/>
    <w:rsid w:val="00973238"/>
    <w:rsid w:val="00973AD2"/>
    <w:rsid w:val="00973FF4"/>
    <w:rsid w:val="00976328"/>
    <w:rsid w:val="0097680D"/>
    <w:rsid w:val="009774CB"/>
    <w:rsid w:val="00977884"/>
    <w:rsid w:val="00980258"/>
    <w:rsid w:val="0098171C"/>
    <w:rsid w:val="00982438"/>
    <w:rsid w:val="00982964"/>
    <w:rsid w:val="00982E6F"/>
    <w:rsid w:val="0098404C"/>
    <w:rsid w:val="00985283"/>
    <w:rsid w:val="0098576E"/>
    <w:rsid w:val="00986D61"/>
    <w:rsid w:val="00987056"/>
    <w:rsid w:val="00987132"/>
    <w:rsid w:val="0098779D"/>
    <w:rsid w:val="00990E16"/>
    <w:rsid w:val="009915E8"/>
    <w:rsid w:val="00994566"/>
    <w:rsid w:val="00995992"/>
    <w:rsid w:val="00997AD0"/>
    <w:rsid w:val="009A03E5"/>
    <w:rsid w:val="009A0F3B"/>
    <w:rsid w:val="009A1289"/>
    <w:rsid w:val="009A1BB4"/>
    <w:rsid w:val="009A1DCC"/>
    <w:rsid w:val="009A228D"/>
    <w:rsid w:val="009A25B1"/>
    <w:rsid w:val="009A2628"/>
    <w:rsid w:val="009A2F3A"/>
    <w:rsid w:val="009A3200"/>
    <w:rsid w:val="009A4466"/>
    <w:rsid w:val="009A62D9"/>
    <w:rsid w:val="009B0350"/>
    <w:rsid w:val="009B0897"/>
    <w:rsid w:val="009B0BCE"/>
    <w:rsid w:val="009B2B9C"/>
    <w:rsid w:val="009B3990"/>
    <w:rsid w:val="009B3DA8"/>
    <w:rsid w:val="009B4F0F"/>
    <w:rsid w:val="009B592F"/>
    <w:rsid w:val="009B7BD9"/>
    <w:rsid w:val="009C0805"/>
    <w:rsid w:val="009C1F4E"/>
    <w:rsid w:val="009C3EB2"/>
    <w:rsid w:val="009C3F4C"/>
    <w:rsid w:val="009C4FE6"/>
    <w:rsid w:val="009C53A7"/>
    <w:rsid w:val="009C73C4"/>
    <w:rsid w:val="009C78FC"/>
    <w:rsid w:val="009C7DD5"/>
    <w:rsid w:val="009D0D32"/>
    <w:rsid w:val="009D117D"/>
    <w:rsid w:val="009D18C0"/>
    <w:rsid w:val="009D1BC0"/>
    <w:rsid w:val="009D3685"/>
    <w:rsid w:val="009E183A"/>
    <w:rsid w:val="009E227D"/>
    <w:rsid w:val="009E2654"/>
    <w:rsid w:val="009E2C63"/>
    <w:rsid w:val="009E5019"/>
    <w:rsid w:val="009E7A16"/>
    <w:rsid w:val="009E7E57"/>
    <w:rsid w:val="009F065D"/>
    <w:rsid w:val="009F1976"/>
    <w:rsid w:val="009F3EEF"/>
    <w:rsid w:val="009F4739"/>
    <w:rsid w:val="009F4971"/>
    <w:rsid w:val="009F49D1"/>
    <w:rsid w:val="009F52A2"/>
    <w:rsid w:val="009F5AB7"/>
    <w:rsid w:val="009F6109"/>
    <w:rsid w:val="009F66B3"/>
    <w:rsid w:val="009F7246"/>
    <w:rsid w:val="00A000A1"/>
    <w:rsid w:val="00A00C0C"/>
    <w:rsid w:val="00A01A68"/>
    <w:rsid w:val="00A03BC1"/>
    <w:rsid w:val="00A04F1B"/>
    <w:rsid w:val="00A04F3B"/>
    <w:rsid w:val="00A0501B"/>
    <w:rsid w:val="00A057FC"/>
    <w:rsid w:val="00A06BCC"/>
    <w:rsid w:val="00A0787C"/>
    <w:rsid w:val="00A104BC"/>
    <w:rsid w:val="00A1129D"/>
    <w:rsid w:val="00A1156C"/>
    <w:rsid w:val="00A14947"/>
    <w:rsid w:val="00A15C38"/>
    <w:rsid w:val="00A1664E"/>
    <w:rsid w:val="00A170D9"/>
    <w:rsid w:val="00A17119"/>
    <w:rsid w:val="00A20422"/>
    <w:rsid w:val="00A20773"/>
    <w:rsid w:val="00A21510"/>
    <w:rsid w:val="00A22AFC"/>
    <w:rsid w:val="00A24694"/>
    <w:rsid w:val="00A2582F"/>
    <w:rsid w:val="00A2585A"/>
    <w:rsid w:val="00A265A0"/>
    <w:rsid w:val="00A26894"/>
    <w:rsid w:val="00A273D5"/>
    <w:rsid w:val="00A313F8"/>
    <w:rsid w:val="00A32A83"/>
    <w:rsid w:val="00A33F1C"/>
    <w:rsid w:val="00A342B2"/>
    <w:rsid w:val="00A35B14"/>
    <w:rsid w:val="00A3642F"/>
    <w:rsid w:val="00A365DD"/>
    <w:rsid w:val="00A365F0"/>
    <w:rsid w:val="00A368DB"/>
    <w:rsid w:val="00A36DA4"/>
    <w:rsid w:val="00A37FFB"/>
    <w:rsid w:val="00A401A5"/>
    <w:rsid w:val="00A41AC8"/>
    <w:rsid w:val="00A4207B"/>
    <w:rsid w:val="00A422DF"/>
    <w:rsid w:val="00A423AA"/>
    <w:rsid w:val="00A43016"/>
    <w:rsid w:val="00A43237"/>
    <w:rsid w:val="00A446F8"/>
    <w:rsid w:val="00A459DD"/>
    <w:rsid w:val="00A45B7B"/>
    <w:rsid w:val="00A45C47"/>
    <w:rsid w:val="00A466C4"/>
    <w:rsid w:val="00A50E12"/>
    <w:rsid w:val="00A51132"/>
    <w:rsid w:val="00A511FF"/>
    <w:rsid w:val="00A52F0F"/>
    <w:rsid w:val="00A5338C"/>
    <w:rsid w:val="00A53D19"/>
    <w:rsid w:val="00A53EC6"/>
    <w:rsid w:val="00A5444B"/>
    <w:rsid w:val="00A54B0C"/>
    <w:rsid w:val="00A55C0F"/>
    <w:rsid w:val="00A55FD9"/>
    <w:rsid w:val="00A568F9"/>
    <w:rsid w:val="00A56D3D"/>
    <w:rsid w:val="00A57B56"/>
    <w:rsid w:val="00A57FD4"/>
    <w:rsid w:val="00A62721"/>
    <w:rsid w:val="00A62FE0"/>
    <w:rsid w:val="00A632EE"/>
    <w:rsid w:val="00A66DA0"/>
    <w:rsid w:val="00A66F51"/>
    <w:rsid w:val="00A70A6C"/>
    <w:rsid w:val="00A728C1"/>
    <w:rsid w:val="00A73AE2"/>
    <w:rsid w:val="00A73B90"/>
    <w:rsid w:val="00A73C29"/>
    <w:rsid w:val="00A74372"/>
    <w:rsid w:val="00A745AD"/>
    <w:rsid w:val="00A74B49"/>
    <w:rsid w:val="00A753A1"/>
    <w:rsid w:val="00A75667"/>
    <w:rsid w:val="00A80B57"/>
    <w:rsid w:val="00A81494"/>
    <w:rsid w:val="00A81B38"/>
    <w:rsid w:val="00A82046"/>
    <w:rsid w:val="00A822FF"/>
    <w:rsid w:val="00A824C0"/>
    <w:rsid w:val="00A835C4"/>
    <w:rsid w:val="00A85313"/>
    <w:rsid w:val="00A85330"/>
    <w:rsid w:val="00A85487"/>
    <w:rsid w:val="00A85521"/>
    <w:rsid w:val="00A85B2F"/>
    <w:rsid w:val="00A860F6"/>
    <w:rsid w:val="00A864AD"/>
    <w:rsid w:val="00A8713F"/>
    <w:rsid w:val="00A90BA1"/>
    <w:rsid w:val="00A91423"/>
    <w:rsid w:val="00A91AFA"/>
    <w:rsid w:val="00A91C8F"/>
    <w:rsid w:val="00A91CB4"/>
    <w:rsid w:val="00A91EFC"/>
    <w:rsid w:val="00A92978"/>
    <w:rsid w:val="00A941E3"/>
    <w:rsid w:val="00A94361"/>
    <w:rsid w:val="00A949C8"/>
    <w:rsid w:val="00A94D82"/>
    <w:rsid w:val="00A957FA"/>
    <w:rsid w:val="00A95B91"/>
    <w:rsid w:val="00A963FF"/>
    <w:rsid w:val="00A97075"/>
    <w:rsid w:val="00A97A9A"/>
    <w:rsid w:val="00AA0671"/>
    <w:rsid w:val="00AA200B"/>
    <w:rsid w:val="00AA2531"/>
    <w:rsid w:val="00AA28C9"/>
    <w:rsid w:val="00AA379C"/>
    <w:rsid w:val="00AA454F"/>
    <w:rsid w:val="00AA6C10"/>
    <w:rsid w:val="00AA74FA"/>
    <w:rsid w:val="00AA7DE7"/>
    <w:rsid w:val="00AB1E09"/>
    <w:rsid w:val="00AB2B76"/>
    <w:rsid w:val="00AB326D"/>
    <w:rsid w:val="00AB3868"/>
    <w:rsid w:val="00AB3F16"/>
    <w:rsid w:val="00AB4F97"/>
    <w:rsid w:val="00AB5330"/>
    <w:rsid w:val="00AB7747"/>
    <w:rsid w:val="00AC14CE"/>
    <w:rsid w:val="00AC2623"/>
    <w:rsid w:val="00AC2A56"/>
    <w:rsid w:val="00AC6F83"/>
    <w:rsid w:val="00AD055E"/>
    <w:rsid w:val="00AD1F30"/>
    <w:rsid w:val="00AD2259"/>
    <w:rsid w:val="00AD26F8"/>
    <w:rsid w:val="00AD47A7"/>
    <w:rsid w:val="00AD561D"/>
    <w:rsid w:val="00AD57E2"/>
    <w:rsid w:val="00AD5F72"/>
    <w:rsid w:val="00AD605E"/>
    <w:rsid w:val="00AD6941"/>
    <w:rsid w:val="00AD7346"/>
    <w:rsid w:val="00AE032A"/>
    <w:rsid w:val="00AE0808"/>
    <w:rsid w:val="00AE0995"/>
    <w:rsid w:val="00AE09F0"/>
    <w:rsid w:val="00AE183D"/>
    <w:rsid w:val="00AE1908"/>
    <w:rsid w:val="00AE23C5"/>
    <w:rsid w:val="00AE4733"/>
    <w:rsid w:val="00AE4998"/>
    <w:rsid w:val="00AE56F8"/>
    <w:rsid w:val="00AE76D7"/>
    <w:rsid w:val="00AF0CBF"/>
    <w:rsid w:val="00AF0FEE"/>
    <w:rsid w:val="00AF257F"/>
    <w:rsid w:val="00AF2D7D"/>
    <w:rsid w:val="00AF33CF"/>
    <w:rsid w:val="00AF3C74"/>
    <w:rsid w:val="00AF4D50"/>
    <w:rsid w:val="00AF6179"/>
    <w:rsid w:val="00AF6B32"/>
    <w:rsid w:val="00AF7F3D"/>
    <w:rsid w:val="00B0043F"/>
    <w:rsid w:val="00B036FA"/>
    <w:rsid w:val="00B03759"/>
    <w:rsid w:val="00B04C42"/>
    <w:rsid w:val="00B04F98"/>
    <w:rsid w:val="00B060F1"/>
    <w:rsid w:val="00B06A79"/>
    <w:rsid w:val="00B10990"/>
    <w:rsid w:val="00B10E00"/>
    <w:rsid w:val="00B1295A"/>
    <w:rsid w:val="00B13E73"/>
    <w:rsid w:val="00B15AFA"/>
    <w:rsid w:val="00B15E97"/>
    <w:rsid w:val="00B161AD"/>
    <w:rsid w:val="00B1797F"/>
    <w:rsid w:val="00B20802"/>
    <w:rsid w:val="00B20A45"/>
    <w:rsid w:val="00B220A7"/>
    <w:rsid w:val="00B22C5C"/>
    <w:rsid w:val="00B24DF6"/>
    <w:rsid w:val="00B24F30"/>
    <w:rsid w:val="00B27DF6"/>
    <w:rsid w:val="00B31ABF"/>
    <w:rsid w:val="00B3246B"/>
    <w:rsid w:val="00B32D79"/>
    <w:rsid w:val="00B33BE3"/>
    <w:rsid w:val="00B34B60"/>
    <w:rsid w:val="00B35A0F"/>
    <w:rsid w:val="00B3608F"/>
    <w:rsid w:val="00B37D26"/>
    <w:rsid w:val="00B40362"/>
    <w:rsid w:val="00B419B5"/>
    <w:rsid w:val="00B43D7C"/>
    <w:rsid w:val="00B450B7"/>
    <w:rsid w:val="00B45231"/>
    <w:rsid w:val="00B45882"/>
    <w:rsid w:val="00B4725A"/>
    <w:rsid w:val="00B5015C"/>
    <w:rsid w:val="00B505EE"/>
    <w:rsid w:val="00B537AC"/>
    <w:rsid w:val="00B53B5D"/>
    <w:rsid w:val="00B554B3"/>
    <w:rsid w:val="00B6055E"/>
    <w:rsid w:val="00B62AA9"/>
    <w:rsid w:val="00B62C54"/>
    <w:rsid w:val="00B6317D"/>
    <w:rsid w:val="00B641CC"/>
    <w:rsid w:val="00B664A7"/>
    <w:rsid w:val="00B677D9"/>
    <w:rsid w:val="00B702B2"/>
    <w:rsid w:val="00B70583"/>
    <w:rsid w:val="00B7398A"/>
    <w:rsid w:val="00B739BC"/>
    <w:rsid w:val="00B74C7C"/>
    <w:rsid w:val="00B7723F"/>
    <w:rsid w:val="00B7735F"/>
    <w:rsid w:val="00B80534"/>
    <w:rsid w:val="00B82EAE"/>
    <w:rsid w:val="00B83ACD"/>
    <w:rsid w:val="00B8433C"/>
    <w:rsid w:val="00B84C4E"/>
    <w:rsid w:val="00B854C8"/>
    <w:rsid w:val="00B87491"/>
    <w:rsid w:val="00B875F7"/>
    <w:rsid w:val="00B87F71"/>
    <w:rsid w:val="00B9021A"/>
    <w:rsid w:val="00B90B6D"/>
    <w:rsid w:val="00B90FA8"/>
    <w:rsid w:val="00B91E1B"/>
    <w:rsid w:val="00B93AD8"/>
    <w:rsid w:val="00B94BFF"/>
    <w:rsid w:val="00B94D9C"/>
    <w:rsid w:val="00B94F84"/>
    <w:rsid w:val="00B95A32"/>
    <w:rsid w:val="00BA0194"/>
    <w:rsid w:val="00BA19CB"/>
    <w:rsid w:val="00BA29E9"/>
    <w:rsid w:val="00BA3390"/>
    <w:rsid w:val="00BA4748"/>
    <w:rsid w:val="00BA5FB5"/>
    <w:rsid w:val="00BA6E10"/>
    <w:rsid w:val="00BA7142"/>
    <w:rsid w:val="00BB0327"/>
    <w:rsid w:val="00BB05A6"/>
    <w:rsid w:val="00BB237C"/>
    <w:rsid w:val="00BB2722"/>
    <w:rsid w:val="00BB2FB2"/>
    <w:rsid w:val="00BB3430"/>
    <w:rsid w:val="00BB3619"/>
    <w:rsid w:val="00BB3883"/>
    <w:rsid w:val="00BB3ACF"/>
    <w:rsid w:val="00BB413B"/>
    <w:rsid w:val="00BB41A3"/>
    <w:rsid w:val="00BB46FA"/>
    <w:rsid w:val="00BB4D93"/>
    <w:rsid w:val="00BB4EEC"/>
    <w:rsid w:val="00BB50C0"/>
    <w:rsid w:val="00BB518C"/>
    <w:rsid w:val="00BB5860"/>
    <w:rsid w:val="00BB5AF9"/>
    <w:rsid w:val="00BB6640"/>
    <w:rsid w:val="00BB6E7D"/>
    <w:rsid w:val="00BB6F2E"/>
    <w:rsid w:val="00BB7EAD"/>
    <w:rsid w:val="00BC0495"/>
    <w:rsid w:val="00BC072B"/>
    <w:rsid w:val="00BC32DC"/>
    <w:rsid w:val="00BC35B6"/>
    <w:rsid w:val="00BC3A4C"/>
    <w:rsid w:val="00BC44C2"/>
    <w:rsid w:val="00BC48BF"/>
    <w:rsid w:val="00BC4A2B"/>
    <w:rsid w:val="00BD0E22"/>
    <w:rsid w:val="00BD1B51"/>
    <w:rsid w:val="00BD3142"/>
    <w:rsid w:val="00BD442E"/>
    <w:rsid w:val="00BD4596"/>
    <w:rsid w:val="00BD4760"/>
    <w:rsid w:val="00BD5E3D"/>
    <w:rsid w:val="00BD5E67"/>
    <w:rsid w:val="00BD6BB4"/>
    <w:rsid w:val="00BE0E65"/>
    <w:rsid w:val="00BE1405"/>
    <w:rsid w:val="00BE2938"/>
    <w:rsid w:val="00BE312D"/>
    <w:rsid w:val="00BE5671"/>
    <w:rsid w:val="00BE5FE6"/>
    <w:rsid w:val="00BE78DF"/>
    <w:rsid w:val="00BF0370"/>
    <w:rsid w:val="00BF1A11"/>
    <w:rsid w:val="00BF1C20"/>
    <w:rsid w:val="00BF227E"/>
    <w:rsid w:val="00BF2419"/>
    <w:rsid w:val="00BF3880"/>
    <w:rsid w:val="00BF3BD4"/>
    <w:rsid w:val="00BF4564"/>
    <w:rsid w:val="00BF58F3"/>
    <w:rsid w:val="00C007CB"/>
    <w:rsid w:val="00C01CB3"/>
    <w:rsid w:val="00C03B51"/>
    <w:rsid w:val="00C05432"/>
    <w:rsid w:val="00C05551"/>
    <w:rsid w:val="00C05D28"/>
    <w:rsid w:val="00C0677C"/>
    <w:rsid w:val="00C06BA2"/>
    <w:rsid w:val="00C07968"/>
    <w:rsid w:val="00C10578"/>
    <w:rsid w:val="00C10BE6"/>
    <w:rsid w:val="00C11FAA"/>
    <w:rsid w:val="00C12817"/>
    <w:rsid w:val="00C13150"/>
    <w:rsid w:val="00C135BC"/>
    <w:rsid w:val="00C1402E"/>
    <w:rsid w:val="00C15C95"/>
    <w:rsid w:val="00C174F4"/>
    <w:rsid w:val="00C2027D"/>
    <w:rsid w:val="00C20B6A"/>
    <w:rsid w:val="00C21973"/>
    <w:rsid w:val="00C22556"/>
    <w:rsid w:val="00C2288A"/>
    <w:rsid w:val="00C2343E"/>
    <w:rsid w:val="00C23F48"/>
    <w:rsid w:val="00C255DC"/>
    <w:rsid w:val="00C256A8"/>
    <w:rsid w:val="00C2596A"/>
    <w:rsid w:val="00C259BB"/>
    <w:rsid w:val="00C26762"/>
    <w:rsid w:val="00C27537"/>
    <w:rsid w:val="00C27584"/>
    <w:rsid w:val="00C27FDD"/>
    <w:rsid w:val="00C328FE"/>
    <w:rsid w:val="00C33507"/>
    <w:rsid w:val="00C3376A"/>
    <w:rsid w:val="00C33EAC"/>
    <w:rsid w:val="00C34480"/>
    <w:rsid w:val="00C35078"/>
    <w:rsid w:val="00C3537F"/>
    <w:rsid w:val="00C3591F"/>
    <w:rsid w:val="00C36606"/>
    <w:rsid w:val="00C36692"/>
    <w:rsid w:val="00C36914"/>
    <w:rsid w:val="00C3724B"/>
    <w:rsid w:val="00C3748E"/>
    <w:rsid w:val="00C42BCB"/>
    <w:rsid w:val="00C4312F"/>
    <w:rsid w:val="00C4367F"/>
    <w:rsid w:val="00C4409D"/>
    <w:rsid w:val="00C44E72"/>
    <w:rsid w:val="00C45A06"/>
    <w:rsid w:val="00C45A83"/>
    <w:rsid w:val="00C45D22"/>
    <w:rsid w:val="00C47E5B"/>
    <w:rsid w:val="00C57C73"/>
    <w:rsid w:val="00C61626"/>
    <w:rsid w:val="00C61E4B"/>
    <w:rsid w:val="00C64BFF"/>
    <w:rsid w:val="00C652A0"/>
    <w:rsid w:val="00C66777"/>
    <w:rsid w:val="00C704E9"/>
    <w:rsid w:val="00C70538"/>
    <w:rsid w:val="00C70ED1"/>
    <w:rsid w:val="00C71299"/>
    <w:rsid w:val="00C71F9D"/>
    <w:rsid w:val="00C7426E"/>
    <w:rsid w:val="00C74682"/>
    <w:rsid w:val="00C74AC1"/>
    <w:rsid w:val="00C751EE"/>
    <w:rsid w:val="00C763C9"/>
    <w:rsid w:val="00C77AA8"/>
    <w:rsid w:val="00C80057"/>
    <w:rsid w:val="00C82232"/>
    <w:rsid w:val="00C82300"/>
    <w:rsid w:val="00C82913"/>
    <w:rsid w:val="00C83032"/>
    <w:rsid w:val="00C84B68"/>
    <w:rsid w:val="00C859E7"/>
    <w:rsid w:val="00C8638D"/>
    <w:rsid w:val="00C86DEE"/>
    <w:rsid w:val="00C8742E"/>
    <w:rsid w:val="00C90DBF"/>
    <w:rsid w:val="00C9285C"/>
    <w:rsid w:val="00C931BC"/>
    <w:rsid w:val="00C940F0"/>
    <w:rsid w:val="00C94725"/>
    <w:rsid w:val="00C963B7"/>
    <w:rsid w:val="00C972B1"/>
    <w:rsid w:val="00CA017F"/>
    <w:rsid w:val="00CA05B3"/>
    <w:rsid w:val="00CA0C5C"/>
    <w:rsid w:val="00CA0FC4"/>
    <w:rsid w:val="00CA1489"/>
    <w:rsid w:val="00CA209F"/>
    <w:rsid w:val="00CA237A"/>
    <w:rsid w:val="00CA2CCE"/>
    <w:rsid w:val="00CA2E11"/>
    <w:rsid w:val="00CA43FD"/>
    <w:rsid w:val="00CA4686"/>
    <w:rsid w:val="00CA614F"/>
    <w:rsid w:val="00CA7C21"/>
    <w:rsid w:val="00CA7EF8"/>
    <w:rsid w:val="00CB04C6"/>
    <w:rsid w:val="00CB23DA"/>
    <w:rsid w:val="00CB2CF0"/>
    <w:rsid w:val="00CB455A"/>
    <w:rsid w:val="00CB47BC"/>
    <w:rsid w:val="00CB69CB"/>
    <w:rsid w:val="00CB72E2"/>
    <w:rsid w:val="00CB7395"/>
    <w:rsid w:val="00CB7BD9"/>
    <w:rsid w:val="00CB7E0F"/>
    <w:rsid w:val="00CC2323"/>
    <w:rsid w:val="00CC30D7"/>
    <w:rsid w:val="00CC36B1"/>
    <w:rsid w:val="00CC3F44"/>
    <w:rsid w:val="00CC489B"/>
    <w:rsid w:val="00CC4B33"/>
    <w:rsid w:val="00CC681D"/>
    <w:rsid w:val="00CC7490"/>
    <w:rsid w:val="00CC7BDC"/>
    <w:rsid w:val="00CC7FA2"/>
    <w:rsid w:val="00CD190F"/>
    <w:rsid w:val="00CD1FFD"/>
    <w:rsid w:val="00CD23A5"/>
    <w:rsid w:val="00CD2BCD"/>
    <w:rsid w:val="00CD3A4C"/>
    <w:rsid w:val="00CE10E9"/>
    <w:rsid w:val="00CE1569"/>
    <w:rsid w:val="00CE1BBC"/>
    <w:rsid w:val="00CE2910"/>
    <w:rsid w:val="00CE3CE1"/>
    <w:rsid w:val="00CE4168"/>
    <w:rsid w:val="00CE5393"/>
    <w:rsid w:val="00CE6ED4"/>
    <w:rsid w:val="00CF24F6"/>
    <w:rsid w:val="00CF2DBB"/>
    <w:rsid w:val="00CF36BE"/>
    <w:rsid w:val="00CF3754"/>
    <w:rsid w:val="00CF446A"/>
    <w:rsid w:val="00CF6000"/>
    <w:rsid w:val="00CF6E6A"/>
    <w:rsid w:val="00D003B9"/>
    <w:rsid w:val="00D003F3"/>
    <w:rsid w:val="00D0364F"/>
    <w:rsid w:val="00D03B33"/>
    <w:rsid w:val="00D03F48"/>
    <w:rsid w:val="00D06834"/>
    <w:rsid w:val="00D06924"/>
    <w:rsid w:val="00D06DFC"/>
    <w:rsid w:val="00D12420"/>
    <w:rsid w:val="00D15A68"/>
    <w:rsid w:val="00D20385"/>
    <w:rsid w:val="00D20688"/>
    <w:rsid w:val="00D20A9A"/>
    <w:rsid w:val="00D20F43"/>
    <w:rsid w:val="00D2125E"/>
    <w:rsid w:val="00D238F5"/>
    <w:rsid w:val="00D25B6A"/>
    <w:rsid w:val="00D2654E"/>
    <w:rsid w:val="00D26AAA"/>
    <w:rsid w:val="00D30047"/>
    <w:rsid w:val="00D301EF"/>
    <w:rsid w:val="00D308ED"/>
    <w:rsid w:val="00D31003"/>
    <w:rsid w:val="00D34D65"/>
    <w:rsid w:val="00D350AF"/>
    <w:rsid w:val="00D36D86"/>
    <w:rsid w:val="00D37864"/>
    <w:rsid w:val="00D40034"/>
    <w:rsid w:val="00D419A3"/>
    <w:rsid w:val="00D428AA"/>
    <w:rsid w:val="00D43AC1"/>
    <w:rsid w:val="00D44B97"/>
    <w:rsid w:val="00D44CE3"/>
    <w:rsid w:val="00D4505B"/>
    <w:rsid w:val="00D45D31"/>
    <w:rsid w:val="00D45D48"/>
    <w:rsid w:val="00D45E11"/>
    <w:rsid w:val="00D50A34"/>
    <w:rsid w:val="00D539C7"/>
    <w:rsid w:val="00D53EFA"/>
    <w:rsid w:val="00D55B9B"/>
    <w:rsid w:val="00D571CF"/>
    <w:rsid w:val="00D5742C"/>
    <w:rsid w:val="00D61CF6"/>
    <w:rsid w:val="00D625B9"/>
    <w:rsid w:val="00D638D0"/>
    <w:rsid w:val="00D63ADF"/>
    <w:rsid w:val="00D63BD4"/>
    <w:rsid w:val="00D6459C"/>
    <w:rsid w:val="00D64D74"/>
    <w:rsid w:val="00D671E9"/>
    <w:rsid w:val="00D70F6C"/>
    <w:rsid w:val="00D71E69"/>
    <w:rsid w:val="00D73574"/>
    <w:rsid w:val="00D738F0"/>
    <w:rsid w:val="00D739D3"/>
    <w:rsid w:val="00D73D87"/>
    <w:rsid w:val="00D74C06"/>
    <w:rsid w:val="00D7530B"/>
    <w:rsid w:val="00D75324"/>
    <w:rsid w:val="00D753E3"/>
    <w:rsid w:val="00D7689B"/>
    <w:rsid w:val="00D76FDB"/>
    <w:rsid w:val="00D77BC5"/>
    <w:rsid w:val="00D77E72"/>
    <w:rsid w:val="00D80C97"/>
    <w:rsid w:val="00D8197F"/>
    <w:rsid w:val="00D81B4A"/>
    <w:rsid w:val="00D81E01"/>
    <w:rsid w:val="00D84ACE"/>
    <w:rsid w:val="00D85233"/>
    <w:rsid w:val="00D86DE9"/>
    <w:rsid w:val="00D902D1"/>
    <w:rsid w:val="00D907B7"/>
    <w:rsid w:val="00D90D41"/>
    <w:rsid w:val="00D926A3"/>
    <w:rsid w:val="00D94A7C"/>
    <w:rsid w:val="00D95896"/>
    <w:rsid w:val="00D9718A"/>
    <w:rsid w:val="00DA1218"/>
    <w:rsid w:val="00DA2084"/>
    <w:rsid w:val="00DA20F8"/>
    <w:rsid w:val="00DA2637"/>
    <w:rsid w:val="00DA41DC"/>
    <w:rsid w:val="00DA6498"/>
    <w:rsid w:val="00DA64BB"/>
    <w:rsid w:val="00DA7707"/>
    <w:rsid w:val="00DB10BF"/>
    <w:rsid w:val="00DB1892"/>
    <w:rsid w:val="00DB1DF1"/>
    <w:rsid w:val="00DB21BE"/>
    <w:rsid w:val="00DB2983"/>
    <w:rsid w:val="00DB2E63"/>
    <w:rsid w:val="00DB3E12"/>
    <w:rsid w:val="00DB49CD"/>
    <w:rsid w:val="00DB588F"/>
    <w:rsid w:val="00DB5B42"/>
    <w:rsid w:val="00DB6318"/>
    <w:rsid w:val="00DB67A2"/>
    <w:rsid w:val="00DB7D1F"/>
    <w:rsid w:val="00DC084A"/>
    <w:rsid w:val="00DC0C58"/>
    <w:rsid w:val="00DC1257"/>
    <w:rsid w:val="00DC1811"/>
    <w:rsid w:val="00DC2FFB"/>
    <w:rsid w:val="00DC3418"/>
    <w:rsid w:val="00DC3DC0"/>
    <w:rsid w:val="00DC3E94"/>
    <w:rsid w:val="00DC428B"/>
    <w:rsid w:val="00DC464B"/>
    <w:rsid w:val="00DC52EE"/>
    <w:rsid w:val="00DC5B2B"/>
    <w:rsid w:val="00DD05E7"/>
    <w:rsid w:val="00DD0FF7"/>
    <w:rsid w:val="00DD163D"/>
    <w:rsid w:val="00DD26A0"/>
    <w:rsid w:val="00DD318D"/>
    <w:rsid w:val="00DD3260"/>
    <w:rsid w:val="00DD32E3"/>
    <w:rsid w:val="00DD3B60"/>
    <w:rsid w:val="00DD43B2"/>
    <w:rsid w:val="00DD49EF"/>
    <w:rsid w:val="00DD4E0C"/>
    <w:rsid w:val="00DD637F"/>
    <w:rsid w:val="00DD698D"/>
    <w:rsid w:val="00DD6C25"/>
    <w:rsid w:val="00DD7196"/>
    <w:rsid w:val="00DE098C"/>
    <w:rsid w:val="00DE1D33"/>
    <w:rsid w:val="00DE1DAA"/>
    <w:rsid w:val="00DE32A4"/>
    <w:rsid w:val="00DE3528"/>
    <w:rsid w:val="00DE3AF0"/>
    <w:rsid w:val="00DE3F93"/>
    <w:rsid w:val="00DE4956"/>
    <w:rsid w:val="00DE506C"/>
    <w:rsid w:val="00DE6497"/>
    <w:rsid w:val="00DE68AB"/>
    <w:rsid w:val="00DE6B20"/>
    <w:rsid w:val="00DE74F2"/>
    <w:rsid w:val="00DE7A8A"/>
    <w:rsid w:val="00DF029D"/>
    <w:rsid w:val="00DF1A50"/>
    <w:rsid w:val="00DF2135"/>
    <w:rsid w:val="00DF2E12"/>
    <w:rsid w:val="00DF3796"/>
    <w:rsid w:val="00DF3896"/>
    <w:rsid w:val="00DF5148"/>
    <w:rsid w:val="00DF514A"/>
    <w:rsid w:val="00DF57F7"/>
    <w:rsid w:val="00DF6690"/>
    <w:rsid w:val="00DF6804"/>
    <w:rsid w:val="00DF6BDF"/>
    <w:rsid w:val="00DF6F3E"/>
    <w:rsid w:val="00DF718D"/>
    <w:rsid w:val="00E0107D"/>
    <w:rsid w:val="00E01B46"/>
    <w:rsid w:val="00E0268D"/>
    <w:rsid w:val="00E0358D"/>
    <w:rsid w:val="00E03EEA"/>
    <w:rsid w:val="00E0427B"/>
    <w:rsid w:val="00E04323"/>
    <w:rsid w:val="00E04E26"/>
    <w:rsid w:val="00E056AC"/>
    <w:rsid w:val="00E05CDE"/>
    <w:rsid w:val="00E070A2"/>
    <w:rsid w:val="00E07D36"/>
    <w:rsid w:val="00E10D48"/>
    <w:rsid w:val="00E1127E"/>
    <w:rsid w:val="00E133A8"/>
    <w:rsid w:val="00E13C7F"/>
    <w:rsid w:val="00E1542B"/>
    <w:rsid w:val="00E217A6"/>
    <w:rsid w:val="00E2250C"/>
    <w:rsid w:val="00E22F40"/>
    <w:rsid w:val="00E23046"/>
    <w:rsid w:val="00E233D0"/>
    <w:rsid w:val="00E23E5C"/>
    <w:rsid w:val="00E2579D"/>
    <w:rsid w:val="00E2656A"/>
    <w:rsid w:val="00E26F7F"/>
    <w:rsid w:val="00E27E11"/>
    <w:rsid w:val="00E31F0A"/>
    <w:rsid w:val="00E322F8"/>
    <w:rsid w:val="00E323A3"/>
    <w:rsid w:val="00E32C07"/>
    <w:rsid w:val="00E33F11"/>
    <w:rsid w:val="00E34A69"/>
    <w:rsid w:val="00E35F18"/>
    <w:rsid w:val="00E36590"/>
    <w:rsid w:val="00E409B2"/>
    <w:rsid w:val="00E412D0"/>
    <w:rsid w:val="00E4153A"/>
    <w:rsid w:val="00E41D8D"/>
    <w:rsid w:val="00E43693"/>
    <w:rsid w:val="00E43D35"/>
    <w:rsid w:val="00E454F1"/>
    <w:rsid w:val="00E4576B"/>
    <w:rsid w:val="00E47869"/>
    <w:rsid w:val="00E5216B"/>
    <w:rsid w:val="00E52825"/>
    <w:rsid w:val="00E53035"/>
    <w:rsid w:val="00E545B4"/>
    <w:rsid w:val="00E54958"/>
    <w:rsid w:val="00E55A6A"/>
    <w:rsid w:val="00E56112"/>
    <w:rsid w:val="00E56322"/>
    <w:rsid w:val="00E564A6"/>
    <w:rsid w:val="00E56E34"/>
    <w:rsid w:val="00E5783A"/>
    <w:rsid w:val="00E60982"/>
    <w:rsid w:val="00E60B8D"/>
    <w:rsid w:val="00E60DD0"/>
    <w:rsid w:val="00E624F1"/>
    <w:rsid w:val="00E62C62"/>
    <w:rsid w:val="00E6390F"/>
    <w:rsid w:val="00E64007"/>
    <w:rsid w:val="00E654C1"/>
    <w:rsid w:val="00E65D97"/>
    <w:rsid w:val="00E727BB"/>
    <w:rsid w:val="00E72A5A"/>
    <w:rsid w:val="00E73354"/>
    <w:rsid w:val="00E735E6"/>
    <w:rsid w:val="00E73998"/>
    <w:rsid w:val="00E7457D"/>
    <w:rsid w:val="00E755FB"/>
    <w:rsid w:val="00E75FD9"/>
    <w:rsid w:val="00E80911"/>
    <w:rsid w:val="00E80C03"/>
    <w:rsid w:val="00E81F55"/>
    <w:rsid w:val="00E857B4"/>
    <w:rsid w:val="00E8676E"/>
    <w:rsid w:val="00E868C3"/>
    <w:rsid w:val="00E87F5A"/>
    <w:rsid w:val="00E87F99"/>
    <w:rsid w:val="00E9012C"/>
    <w:rsid w:val="00E919E2"/>
    <w:rsid w:val="00E9242D"/>
    <w:rsid w:val="00E929EC"/>
    <w:rsid w:val="00E92CC7"/>
    <w:rsid w:val="00E92DB6"/>
    <w:rsid w:val="00E93B0A"/>
    <w:rsid w:val="00E973FC"/>
    <w:rsid w:val="00EA0740"/>
    <w:rsid w:val="00EA3391"/>
    <w:rsid w:val="00EA3459"/>
    <w:rsid w:val="00EA3845"/>
    <w:rsid w:val="00EA38E2"/>
    <w:rsid w:val="00EA4119"/>
    <w:rsid w:val="00EA48C0"/>
    <w:rsid w:val="00EA68E3"/>
    <w:rsid w:val="00EA6946"/>
    <w:rsid w:val="00EA778E"/>
    <w:rsid w:val="00EB2671"/>
    <w:rsid w:val="00EB3125"/>
    <w:rsid w:val="00EB358D"/>
    <w:rsid w:val="00EB46AF"/>
    <w:rsid w:val="00EB49B5"/>
    <w:rsid w:val="00EB5255"/>
    <w:rsid w:val="00EB5C47"/>
    <w:rsid w:val="00EB6100"/>
    <w:rsid w:val="00EB64F3"/>
    <w:rsid w:val="00EB70E5"/>
    <w:rsid w:val="00EB7D81"/>
    <w:rsid w:val="00EC498D"/>
    <w:rsid w:val="00EC4B4E"/>
    <w:rsid w:val="00EC4BC1"/>
    <w:rsid w:val="00EC5437"/>
    <w:rsid w:val="00EC5EBE"/>
    <w:rsid w:val="00ED034B"/>
    <w:rsid w:val="00ED0385"/>
    <w:rsid w:val="00ED0603"/>
    <w:rsid w:val="00ED0639"/>
    <w:rsid w:val="00ED263C"/>
    <w:rsid w:val="00ED5665"/>
    <w:rsid w:val="00ED68AE"/>
    <w:rsid w:val="00EE301E"/>
    <w:rsid w:val="00EE3446"/>
    <w:rsid w:val="00EE4C12"/>
    <w:rsid w:val="00EE57B9"/>
    <w:rsid w:val="00EE599D"/>
    <w:rsid w:val="00EE5D9C"/>
    <w:rsid w:val="00EE74A4"/>
    <w:rsid w:val="00EE7C3B"/>
    <w:rsid w:val="00EF1204"/>
    <w:rsid w:val="00EF2E25"/>
    <w:rsid w:val="00EF4755"/>
    <w:rsid w:val="00EF532B"/>
    <w:rsid w:val="00EF662F"/>
    <w:rsid w:val="00EF7135"/>
    <w:rsid w:val="00EF790A"/>
    <w:rsid w:val="00F00F5F"/>
    <w:rsid w:val="00F0233C"/>
    <w:rsid w:val="00F027DB"/>
    <w:rsid w:val="00F02C27"/>
    <w:rsid w:val="00F04E09"/>
    <w:rsid w:val="00F05429"/>
    <w:rsid w:val="00F0659E"/>
    <w:rsid w:val="00F07C21"/>
    <w:rsid w:val="00F10BF5"/>
    <w:rsid w:val="00F118C3"/>
    <w:rsid w:val="00F12C7D"/>
    <w:rsid w:val="00F137D7"/>
    <w:rsid w:val="00F14A7A"/>
    <w:rsid w:val="00F15DD2"/>
    <w:rsid w:val="00F15DF1"/>
    <w:rsid w:val="00F16BCB"/>
    <w:rsid w:val="00F17402"/>
    <w:rsid w:val="00F2129A"/>
    <w:rsid w:val="00F215DC"/>
    <w:rsid w:val="00F22089"/>
    <w:rsid w:val="00F2219B"/>
    <w:rsid w:val="00F22985"/>
    <w:rsid w:val="00F24226"/>
    <w:rsid w:val="00F249CA"/>
    <w:rsid w:val="00F26972"/>
    <w:rsid w:val="00F27470"/>
    <w:rsid w:val="00F27CAC"/>
    <w:rsid w:val="00F30884"/>
    <w:rsid w:val="00F31139"/>
    <w:rsid w:val="00F313BA"/>
    <w:rsid w:val="00F3171B"/>
    <w:rsid w:val="00F31852"/>
    <w:rsid w:val="00F31E1A"/>
    <w:rsid w:val="00F328EF"/>
    <w:rsid w:val="00F33763"/>
    <w:rsid w:val="00F3383E"/>
    <w:rsid w:val="00F344FB"/>
    <w:rsid w:val="00F35FFB"/>
    <w:rsid w:val="00F41544"/>
    <w:rsid w:val="00F41ED0"/>
    <w:rsid w:val="00F44526"/>
    <w:rsid w:val="00F46491"/>
    <w:rsid w:val="00F465A7"/>
    <w:rsid w:val="00F47201"/>
    <w:rsid w:val="00F50B7C"/>
    <w:rsid w:val="00F52B5B"/>
    <w:rsid w:val="00F52EB9"/>
    <w:rsid w:val="00F53BB5"/>
    <w:rsid w:val="00F54810"/>
    <w:rsid w:val="00F550E6"/>
    <w:rsid w:val="00F55E4F"/>
    <w:rsid w:val="00F55F06"/>
    <w:rsid w:val="00F5638A"/>
    <w:rsid w:val="00F56FC6"/>
    <w:rsid w:val="00F57C34"/>
    <w:rsid w:val="00F6078C"/>
    <w:rsid w:val="00F63C4B"/>
    <w:rsid w:val="00F653BB"/>
    <w:rsid w:val="00F65A59"/>
    <w:rsid w:val="00F66FD5"/>
    <w:rsid w:val="00F67CE7"/>
    <w:rsid w:val="00F71D1A"/>
    <w:rsid w:val="00F7278D"/>
    <w:rsid w:val="00F74345"/>
    <w:rsid w:val="00F744A2"/>
    <w:rsid w:val="00F77222"/>
    <w:rsid w:val="00F77E7F"/>
    <w:rsid w:val="00F80A0A"/>
    <w:rsid w:val="00F82B19"/>
    <w:rsid w:val="00F84114"/>
    <w:rsid w:val="00F84896"/>
    <w:rsid w:val="00F85CAE"/>
    <w:rsid w:val="00F86C70"/>
    <w:rsid w:val="00F86FAD"/>
    <w:rsid w:val="00F9212D"/>
    <w:rsid w:val="00F923AC"/>
    <w:rsid w:val="00F925E8"/>
    <w:rsid w:val="00F940E1"/>
    <w:rsid w:val="00F94FDF"/>
    <w:rsid w:val="00F96402"/>
    <w:rsid w:val="00F965DA"/>
    <w:rsid w:val="00F9765C"/>
    <w:rsid w:val="00F97A59"/>
    <w:rsid w:val="00F97CED"/>
    <w:rsid w:val="00FA08A0"/>
    <w:rsid w:val="00FA1714"/>
    <w:rsid w:val="00FA1742"/>
    <w:rsid w:val="00FA2102"/>
    <w:rsid w:val="00FA406A"/>
    <w:rsid w:val="00FA479D"/>
    <w:rsid w:val="00FA633A"/>
    <w:rsid w:val="00FA6685"/>
    <w:rsid w:val="00FB19F9"/>
    <w:rsid w:val="00FB1D3F"/>
    <w:rsid w:val="00FB259B"/>
    <w:rsid w:val="00FB285A"/>
    <w:rsid w:val="00FB4AA9"/>
    <w:rsid w:val="00FB503A"/>
    <w:rsid w:val="00FB516C"/>
    <w:rsid w:val="00FB5D09"/>
    <w:rsid w:val="00FB7206"/>
    <w:rsid w:val="00FC137A"/>
    <w:rsid w:val="00FC258A"/>
    <w:rsid w:val="00FC286B"/>
    <w:rsid w:val="00FC29E0"/>
    <w:rsid w:val="00FC42D7"/>
    <w:rsid w:val="00FC49E9"/>
    <w:rsid w:val="00FC692E"/>
    <w:rsid w:val="00FD0236"/>
    <w:rsid w:val="00FD0309"/>
    <w:rsid w:val="00FD0760"/>
    <w:rsid w:val="00FD18F4"/>
    <w:rsid w:val="00FD1E9E"/>
    <w:rsid w:val="00FD2755"/>
    <w:rsid w:val="00FD2D98"/>
    <w:rsid w:val="00FD403A"/>
    <w:rsid w:val="00FD41DE"/>
    <w:rsid w:val="00FD54DB"/>
    <w:rsid w:val="00FD619F"/>
    <w:rsid w:val="00FE0425"/>
    <w:rsid w:val="00FE0F1D"/>
    <w:rsid w:val="00FE4499"/>
    <w:rsid w:val="00FE4A69"/>
    <w:rsid w:val="00FE5938"/>
    <w:rsid w:val="00FE6BC5"/>
    <w:rsid w:val="00FF0ADC"/>
    <w:rsid w:val="00FF0E8B"/>
    <w:rsid w:val="00FF1E77"/>
    <w:rsid w:val="00FF2046"/>
    <w:rsid w:val="00FF2087"/>
    <w:rsid w:val="00FF3218"/>
    <w:rsid w:val="00FF4485"/>
    <w:rsid w:val="00FF4BBD"/>
    <w:rsid w:val="00FF6A1C"/>
    <w:rsid w:val="00FF761B"/>
    <w:rsid w:val="01290F7E"/>
    <w:rsid w:val="015D1E09"/>
    <w:rsid w:val="018E273D"/>
    <w:rsid w:val="02697903"/>
    <w:rsid w:val="02F96569"/>
    <w:rsid w:val="03EA7B21"/>
    <w:rsid w:val="044D70D1"/>
    <w:rsid w:val="05024CF9"/>
    <w:rsid w:val="05AA7C02"/>
    <w:rsid w:val="05F83EAE"/>
    <w:rsid w:val="063E7D85"/>
    <w:rsid w:val="06C745AE"/>
    <w:rsid w:val="07293586"/>
    <w:rsid w:val="07295285"/>
    <w:rsid w:val="07636392"/>
    <w:rsid w:val="07770C56"/>
    <w:rsid w:val="07B35C8F"/>
    <w:rsid w:val="07B818A2"/>
    <w:rsid w:val="07C16A38"/>
    <w:rsid w:val="08481BEA"/>
    <w:rsid w:val="092217DD"/>
    <w:rsid w:val="093A7294"/>
    <w:rsid w:val="09F55A79"/>
    <w:rsid w:val="0A263993"/>
    <w:rsid w:val="0A2D3AC2"/>
    <w:rsid w:val="0A7B0E88"/>
    <w:rsid w:val="0AA755DF"/>
    <w:rsid w:val="0B120D44"/>
    <w:rsid w:val="0B4265AF"/>
    <w:rsid w:val="0B5D4FB1"/>
    <w:rsid w:val="0BD27BF6"/>
    <w:rsid w:val="0BE46078"/>
    <w:rsid w:val="0C3B3C7D"/>
    <w:rsid w:val="0CAB2EAE"/>
    <w:rsid w:val="0D621C7D"/>
    <w:rsid w:val="0DDC6AB5"/>
    <w:rsid w:val="0E2F3A82"/>
    <w:rsid w:val="0E73034D"/>
    <w:rsid w:val="0F13775A"/>
    <w:rsid w:val="0F5F45FE"/>
    <w:rsid w:val="0F9A112B"/>
    <w:rsid w:val="101816DF"/>
    <w:rsid w:val="106D2F64"/>
    <w:rsid w:val="10AA09E6"/>
    <w:rsid w:val="10B167D5"/>
    <w:rsid w:val="10B63710"/>
    <w:rsid w:val="10F10820"/>
    <w:rsid w:val="10F66A48"/>
    <w:rsid w:val="1109124C"/>
    <w:rsid w:val="111652D2"/>
    <w:rsid w:val="111C2F7A"/>
    <w:rsid w:val="11665CA1"/>
    <w:rsid w:val="116A1A8B"/>
    <w:rsid w:val="125722E9"/>
    <w:rsid w:val="12D0379E"/>
    <w:rsid w:val="13951726"/>
    <w:rsid w:val="13AC7EF0"/>
    <w:rsid w:val="14396509"/>
    <w:rsid w:val="14DD2C3C"/>
    <w:rsid w:val="15117727"/>
    <w:rsid w:val="15435BF2"/>
    <w:rsid w:val="15B93228"/>
    <w:rsid w:val="15E553FB"/>
    <w:rsid w:val="16087E1D"/>
    <w:rsid w:val="163A1802"/>
    <w:rsid w:val="174C6469"/>
    <w:rsid w:val="17701D14"/>
    <w:rsid w:val="17735226"/>
    <w:rsid w:val="177D31A2"/>
    <w:rsid w:val="17A50911"/>
    <w:rsid w:val="17D618B8"/>
    <w:rsid w:val="180276DD"/>
    <w:rsid w:val="189F624C"/>
    <w:rsid w:val="18EF5A63"/>
    <w:rsid w:val="1A1C66C0"/>
    <w:rsid w:val="1A42393B"/>
    <w:rsid w:val="1A457CBD"/>
    <w:rsid w:val="1AAD45DE"/>
    <w:rsid w:val="1B046F80"/>
    <w:rsid w:val="1B2846A1"/>
    <w:rsid w:val="1B3267B5"/>
    <w:rsid w:val="1B40161D"/>
    <w:rsid w:val="1B441859"/>
    <w:rsid w:val="1B4F1F5E"/>
    <w:rsid w:val="1B6606B1"/>
    <w:rsid w:val="1BA02D05"/>
    <w:rsid w:val="1BC953AA"/>
    <w:rsid w:val="1C0F7184"/>
    <w:rsid w:val="1C5E7925"/>
    <w:rsid w:val="1CA84144"/>
    <w:rsid w:val="1CFD070F"/>
    <w:rsid w:val="1D5F6196"/>
    <w:rsid w:val="1D6132A5"/>
    <w:rsid w:val="1D8E56D5"/>
    <w:rsid w:val="1E7A43DA"/>
    <w:rsid w:val="1EA4787A"/>
    <w:rsid w:val="1EAB018D"/>
    <w:rsid w:val="1EB3628C"/>
    <w:rsid w:val="1EEA56C8"/>
    <w:rsid w:val="1FE7539E"/>
    <w:rsid w:val="20671BE0"/>
    <w:rsid w:val="20963CB8"/>
    <w:rsid w:val="20A81A1B"/>
    <w:rsid w:val="20B07FB6"/>
    <w:rsid w:val="20B646FB"/>
    <w:rsid w:val="20FF4F5D"/>
    <w:rsid w:val="213B74B1"/>
    <w:rsid w:val="215A2310"/>
    <w:rsid w:val="21621621"/>
    <w:rsid w:val="21DE318A"/>
    <w:rsid w:val="21EF5B80"/>
    <w:rsid w:val="22026E21"/>
    <w:rsid w:val="22576990"/>
    <w:rsid w:val="22E56883"/>
    <w:rsid w:val="22F02ADC"/>
    <w:rsid w:val="22F47480"/>
    <w:rsid w:val="2376485C"/>
    <w:rsid w:val="239B535D"/>
    <w:rsid w:val="23AA3B4F"/>
    <w:rsid w:val="23D164F9"/>
    <w:rsid w:val="23DE1C48"/>
    <w:rsid w:val="23E72BAA"/>
    <w:rsid w:val="240210CD"/>
    <w:rsid w:val="24BF09F7"/>
    <w:rsid w:val="252D53FE"/>
    <w:rsid w:val="25331C52"/>
    <w:rsid w:val="25BF7042"/>
    <w:rsid w:val="25EC2D81"/>
    <w:rsid w:val="26056E99"/>
    <w:rsid w:val="27215223"/>
    <w:rsid w:val="277057A2"/>
    <w:rsid w:val="278D00C1"/>
    <w:rsid w:val="27C1177D"/>
    <w:rsid w:val="280865F7"/>
    <w:rsid w:val="28442907"/>
    <w:rsid w:val="28E55297"/>
    <w:rsid w:val="28FA38CA"/>
    <w:rsid w:val="29206EB8"/>
    <w:rsid w:val="29216A56"/>
    <w:rsid w:val="29464DB1"/>
    <w:rsid w:val="29595666"/>
    <w:rsid w:val="296625AD"/>
    <w:rsid w:val="29874881"/>
    <w:rsid w:val="29AC7623"/>
    <w:rsid w:val="29E325E0"/>
    <w:rsid w:val="2A452503"/>
    <w:rsid w:val="2A5610D6"/>
    <w:rsid w:val="2AB80DCB"/>
    <w:rsid w:val="2ACE4F28"/>
    <w:rsid w:val="2B293261"/>
    <w:rsid w:val="2B4D6E9E"/>
    <w:rsid w:val="2BA936A8"/>
    <w:rsid w:val="2C315A5A"/>
    <w:rsid w:val="2C4B1C25"/>
    <w:rsid w:val="2D6A0304"/>
    <w:rsid w:val="2D9E56F5"/>
    <w:rsid w:val="2E2509C9"/>
    <w:rsid w:val="2E5276CE"/>
    <w:rsid w:val="2E667F96"/>
    <w:rsid w:val="2E8226AB"/>
    <w:rsid w:val="2F4420DA"/>
    <w:rsid w:val="2F903748"/>
    <w:rsid w:val="2FB87C15"/>
    <w:rsid w:val="2FD065E6"/>
    <w:rsid w:val="2FD96870"/>
    <w:rsid w:val="303231CA"/>
    <w:rsid w:val="30580BC9"/>
    <w:rsid w:val="306727B0"/>
    <w:rsid w:val="306A4747"/>
    <w:rsid w:val="31026711"/>
    <w:rsid w:val="311E2ED7"/>
    <w:rsid w:val="315619EE"/>
    <w:rsid w:val="315C449C"/>
    <w:rsid w:val="317C556E"/>
    <w:rsid w:val="318943AE"/>
    <w:rsid w:val="31B82709"/>
    <w:rsid w:val="31D05482"/>
    <w:rsid w:val="31EF6A4D"/>
    <w:rsid w:val="31F05AFB"/>
    <w:rsid w:val="3203259E"/>
    <w:rsid w:val="32400B34"/>
    <w:rsid w:val="329E6876"/>
    <w:rsid w:val="32BA308A"/>
    <w:rsid w:val="32C57C62"/>
    <w:rsid w:val="333015F2"/>
    <w:rsid w:val="3345642D"/>
    <w:rsid w:val="334B6320"/>
    <w:rsid w:val="338E6D71"/>
    <w:rsid w:val="33D934D4"/>
    <w:rsid w:val="33FE2F6A"/>
    <w:rsid w:val="340E07E5"/>
    <w:rsid w:val="34235BF7"/>
    <w:rsid w:val="342E64B0"/>
    <w:rsid w:val="34E4330E"/>
    <w:rsid w:val="34EE623A"/>
    <w:rsid w:val="358C5FA8"/>
    <w:rsid w:val="35C15DF1"/>
    <w:rsid w:val="36074A7F"/>
    <w:rsid w:val="36923549"/>
    <w:rsid w:val="36A72BA7"/>
    <w:rsid w:val="36B75FBF"/>
    <w:rsid w:val="36BD0C45"/>
    <w:rsid w:val="36D43B58"/>
    <w:rsid w:val="37680118"/>
    <w:rsid w:val="37904030"/>
    <w:rsid w:val="37E00298"/>
    <w:rsid w:val="380F7758"/>
    <w:rsid w:val="38B302F9"/>
    <w:rsid w:val="38F12CD3"/>
    <w:rsid w:val="38F94775"/>
    <w:rsid w:val="392971ED"/>
    <w:rsid w:val="39325651"/>
    <w:rsid w:val="39EA4CFE"/>
    <w:rsid w:val="3A1B35A5"/>
    <w:rsid w:val="3A404206"/>
    <w:rsid w:val="3A872856"/>
    <w:rsid w:val="3AAF45E0"/>
    <w:rsid w:val="3ADC7B50"/>
    <w:rsid w:val="3B262563"/>
    <w:rsid w:val="3B3763D1"/>
    <w:rsid w:val="3C2F28B6"/>
    <w:rsid w:val="3C2F6E1E"/>
    <w:rsid w:val="3C4F64BA"/>
    <w:rsid w:val="3C875407"/>
    <w:rsid w:val="3C9940C5"/>
    <w:rsid w:val="3CAC611A"/>
    <w:rsid w:val="3CB856A3"/>
    <w:rsid w:val="3CD73D60"/>
    <w:rsid w:val="3CDA245A"/>
    <w:rsid w:val="3D1E06B7"/>
    <w:rsid w:val="3D5A46B5"/>
    <w:rsid w:val="3D9743E1"/>
    <w:rsid w:val="3DAF090D"/>
    <w:rsid w:val="3EDA0523"/>
    <w:rsid w:val="3F8170A3"/>
    <w:rsid w:val="3FDF03A0"/>
    <w:rsid w:val="3FED4A0B"/>
    <w:rsid w:val="3FFC32AD"/>
    <w:rsid w:val="40324EA0"/>
    <w:rsid w:val="407A6407"/>
    <w:rsid w:val="40913EA7"/>
    <w:rsid w:val="41566B8E"/>
    <w:rsid w:val="41642AE5"/>
    <w:rsid w:val="418E0EC7"/>
    <w:rsid w:val="41D446BA"/>
    <w:rsid w:val="41F04C4C"/>
    <w:rsid w:val="4200449D"/>
    <w:rsid w:val="423A3BCC"/>
    <w:rsid w:val="424E57D2"/>
    <w:rsid w:val="426A6A2A"/>
    <w:rsid w:val="42795B9B"/>
    <w:rsid w:val="42B26C49"/>
    <w:rsid w:val="42CA09F7"/>
    <w:rsid w:val="433A6FE6"/>
    <w:rsid w:val="43480868"/>
    <w:rsid w:val="4350713C"/>
    <w:rsid w:val="436653E0"/>
    <w:rsid w:val="43864785"/>
    <w:rsid w:val="4398221D"/>
    <w:rsid w:val="43C4431A"/>
    <w:rsid w:val="448C37A5"/>
    <w:rsid w:val="44966044"/>
    <w:rsid w:val="44B951CC"/>
    <w:rsid w:val="44CD14E0"/>
    <w:rsid w:val="44F20B0B"/>
    <w:rsid w:val="4523357B"/>
    <w:rsid w:val="452E5F4C"/>
    <w:rsid w:val="45612018"/>
    <w:rsid w:val="45832F84"/>
    <w:rsid w:val="458946E9"/>
    <w:rsid w:val="45A47C0E"/>
    <w:rsid w:val="460930E0"/>
    <w:rsid w:val="464C30BF"/>
    <w:rsid w:val="46577FD6"/>
    <w:rsid w:val="46603AD2"/>
    <w:rsid w:val="46723583"/>
    <w:rsid w:val="467923DE"/>
    <w:rsid w:val="46D955A7"/>
    <w:rsid w:val="47133957"/>
    <w:rsid w:val="478D38AA"/>
    <w:rsid w:val="47A07E0C"/>
    <w:rsid w:val="47A73068"/>
    <w:rsid w:val="47BA62B6"/>
    <w:rsid w:val="48346B44"/>
    <w:rsid w:val="483D59E9"/>
    <w:rsid w:val="48471BFC"/>
    <w:rsid w:val="4870272E"/>
    <w:rsid w:val="489C4754"/>
    <w:rsid w:val="48A16058"/>
    <w:rsid w:val="48AA211E"/>
    <w:rsid w:val="48CD0AFD"/>
    <w:rsid w:val="494F4504"/>
    <w:rsid w:val="49DC7715"/>
    <w:rsid w:val="49DE41BE"/>
    <w:rsid w:val="4A023139"/>
    <w:rsid w:val="4A071248"/>
    <w:rsid w:val="4A7527EF"/>
    <w:rsid w:val="4A7B576F"/>
    <w:rsid w:val="4ACD6045"/>
    <w:rsid w:val="4AF561A9"/>
    <w:rsid w:val="4B053DA9"/>
    <w:rsid w:val="4B9508CB"/>
    <w:rsid w:val="4C4A0649"/>
    <w:rsid w:val="4C7E5ECA"/>
    <w:rsid w:val="4C876AA5"/>
    <w:rsid w:val="4D0E00FB"/>
    <w:rsid w:val="4D0E1942"/>
    <w:rsid w:val="4D176606"/>
    <w:rsid w:val="4D593E89"/>
    <w:rsid w:val="4D79062B"/>
    <w:rsid w:val="4DEC216D"/>
    <w:rsid w:val="4DEC4FB0"/>
    <w:rsid w:val="4E075D8A"/>
    <w:rsid w:val="4E0E7EBD"/>
    <w:rsid w:val="4EC00FAD"/>
    <w:rsid w:val="4F0A3C88"/>
    <w:rsid w:val="4F5713B0"/>
    <w:rsid w:val="4F8811F2"/>
    <w:rsid w:val="4F9843DC"/>
    <w:rsid w:val="4FC62A8C"/>
    <w:rsid w:val="4FE20F0D"/>
    <w:rsid w:val="4FE51552"/>
    <w:rsid w:val="501036E9"/>
    <w:rsid w:val="50504C4B"/>
    <w:rsid w:val="509C6E7C"/>
    <w:rsid w:val="50B341F7"/>
    <w:rsid w:val="50C10C6E"/>
    <w:rsid w:val="5162104E"/>
    <w:rsid w:val="51D5618F"/>
    <w:rsid w:val="51EE74E3"/>
    <w:rsid w:val="52AB6984"/>
    <w:rsid w:val="5330065E"/>
    <w:rsid w:val="53A039CC"/>
    <w:rsid w:val="53A1505A"/>
    <w:rsid w:val="54063E08"/>
    <w:rsid w:val="543437E8"/>
    <w:rsid w:val="54C104D5"/>
    <w:rsid w:val="54F73313"/>
    <w:rsid w:val="54F80955"/>
    <w:rsid w:val="54FA6EB3"/>
    <w:rsid w:val="54FF3A15"/>
    <w:rsid w:val="551535EE"/>
    <w:rsid w:val="555170A7"/>
    <w:rsid w:val="5587536D"/>
    <w:rsid w:val="559B174B"/>
    <w:rsid w:val="55CE0CF4"/>
    <w:rsid w:val="56142735"/>
    <w:rsid w:val="56AC767D"/>
    <w:rsid w:val="56B22A9C"/>
    <w:rsid w:val="577A0ADC"/>
    <w:rsid w:val="57B72A76"/>
    <w:rsid w:val="57C3426C"/>
    <w:rsid w:val="57CE1F93"/>
    <w:rsid w:val="57CF62B7"/>
    <w:rsid w:val="587C2C9B"/>
    <w:rsid w:val="588743D1"/>
    <w:rsid w:val="5887701A"/>
    <w:rsid w:val="58A06E90"/>
    <w:rsid w:val="58C568D8"/>
    <w:rsid w:val="595C637A"/>
    <w:rsid w:val="59A654A4"/>
    <w:rsid w:val="59C0439F"/>
    <w:rsid w:val="5ABE2233"/>
    <w:rsid w:val="5AEB27BF"/>
    <w:rsid w:val="5BD65738"/>
    <w:rsid w:val="5BDF5D95"/>
    <w:rsid w:val="5BEB459E"/>
    <w:rsid w:val="5BFB51AC"/>
    <w:rsid w:val="5BFE7528"/>
    <w:rsid w:val="5C324809"/>
    <w:rsid w:val="5CFA0C88"/>
    <w:rsid w:val="5D45063D"/>
    <w:rsid w:val="5DE23839"/>
    <w:rsid w:val="5E2467F1"/>
    <w:rsid w:val="5E29539B"/>
    <w:rsid w:val="5F1A2B43"/>
    <w:rsid w:val="5FB837BB"/>
    <w:rsid w:val="602B694B"/>
    <w:rsid w:val="603E7CDC"/>
    <w:rsid w:val="60745FCF"/>
    <w:rsid w:val="60CC405A"/>
    <w:rsid w:val="60CF1360"/>
    <w:rsid w:val="611A2A5C"/>
    <w:rsid w:val="617E7894"/>
    <w:rsid w:val="61C20E62"/>
    <w:rsid w:val="61E215D8"/>
    <w:rsid w:val="621B3775"/>
    <w:rsid w:val="62364782"/>
    <w:rsid w:val="627D702E"/>
    <w:rsid w:val="62BE44C6"/>
    <w:rsid w:val="63400541"/>
    <w:rsid w:val="6394356A"/>
    <w:rsid w:val="63C61B2C"/>
    <w:rsid w:val="63CF4C7F"/>
    <w:rsid w:val="63D40BE9"/>
    <w:rsid w:val="64102431"/>
    <w:rsid w:val="649D2C65"/>
    <w:rsid w:val="64A5243A"/>
    <w:rsid w:val="64A544BF"/>
    <w:rsid w:val="64F531DE"/>
    <w:rsid w:val="64FC651F"/>
    <w:rsid w:val="65232651"/>
    <w:rsid w:val="65373578"/>
    <w:rsid w:val="654F59C5"/>
    <w:rsid w:val="65632BD3"/>
    <w:rsid w:val="65F51BDF"/>
    <w:rsid w:val="66C9229D"/>
    <w:rsid w:val="66E20A48"/>
    <w:rsid w:val="67014C3F"/>
    <w:rsid w:val="671F124A"/>
    <w:rsid w:val="672A556A"/>
    <w:rsid w:val="677A33C6"/>
    <w:rsid w:val="678B3636"/>
    <w:rsid w:val="67A140B9"/>
    <w:rsid w:val="67DF48C3"/>
    <w:rsid w:val="67E83794"/>
    <w:rsid w:val="681F6961"/>
    <w:rsid w:val="68610A2F"/>
    <w:rsid w:val="68805514"/>
    <w:rsid w:val="68F62348"/>
    <w:rsid w:val="690D4FF0"/>
    <w:rsid w:val="69316E2F"/>
    <w:rsid w:val="694E2071"/>
    <w:rsid w:val="69766163"/>
    <w:rsid w:val="697A3B33"/>
    <w:rsid w:val="69BA0023"/>
    <w:rsid w:val="69D44760"/>
    <w:rsid w:val="6A520EC7"/>
    <w:rsid w:val="6A857BCC"/>
    <w:rsid w:val="6AB177C3"/>
    <w:rsid w:val="6ADB3476"/>
    <w:rsid w:val="6AF87E20"/>
    <w:rsid w:val="6B322639"/>
    <w:rsid w:val="6BE31E10"/>
    <w:rsid w:val="6C636C38"/>
    <w:rsid w:val="6CB84D61"/>
    <w:rsid w:val="6CBD77EF"/>
    <w:rsid w:val="6DB34098"/>
    <w:rsid w:val="6DB545B6"/>
    <w:rsid w:val="6DCB03C5"/>
    <w:rsid w:val="6DDA6519"/>
    <w:rsid w:val="6DE02FB4"/>
    <w:rsid w:val="6E514CED"/>
    <w:rsid w:val="6EB563D5"/>
    <w:rsid w:val="6ED92677"/>
    <w:rsid w:val="6EFA0420"/>
    <w:rsid w:val="6F225983"/>
    <w:rsid w:val="6FB12218"/>
    <w:rsid w:val="6FFC5590"/>
    <w:rsid w:val="706D1DD0"/>
    <w:rsid w:val="707F7006"/>
    <w:rsid w:val="70856B87"/>
    <w:rsid w:val="70BD120A"/>
    <w:rsid w:val="70C3759E"/>
    <w:rsid w:val="70D527EE"/>
    <w:rsid w:val="70E821F8"/>
    <w:rsid w:val="70ED1A5D"/>
    <w:rsid w:val="715B5300"/>
    <w:rsid w:val="71D27F8A"/>
    <w:rsid w:val="720124F0"/>
    <w:rsid w:val="72553024"/>
    <w:rsid w:val="73122968"/>
    <w:rsid w:val="731F5D5E"/>
    <w:rsid w:val="732758C5"/>
    <w:rsid w:val="73C51AD5"/>
    <w:rsid w:val="741E793C"/>
    <w:rsid w:val="745E3944"/>
    <w:rsid w:val="74B47540"/>
    <w:rsid w:val="74C31006"/>
    <w:rsid w:val="74DF2330"/>
    <w:rsid w:val="750F27BA"/>
    <w:rsid w:val="7635099D"/>
    <w:rsid w:val="768F268A"/>
    <w:rsid w:val="76FF2D0F"/>
    <w:rsid w:val="77023DBC"/>
    <w:rsid w:val="770A5C17"/>
    <w:rsid w:val="773D2C75"/>
    <w:rsid w:val="773E71A5"/>
    <w:rsid w:val="77762421"/>
    <w:rsid w:val="77B56B1F"/>
    <w:rsid w:val="780F09F4"/>
    <w:rsid w:val="78287B18"/>
    <w:rsid w:val="78452442"/>
    <w:rsid w:val="78A90480"/>
    <w:rsid w:val="79226841"/>
    <w:rsid w:val="79CD59E4"/>
    <w:rsid w:val="79E4061A"/>
    <w:rsid w:val="7A364017"/>
    <w:rsid w:val="7A4831BC"/>
    <w:rsid w:val="7A8265E1"/>
    <w:rsid w:val="7B38300B"/>
    <w:rsid w:val="7B4F58E7"/>
    <w:rsid w:val="7B686D42"/>
    <w:rsid w:val="7B6A21A1"/>
    <w:rsid w:val="7B841746"/>
    <w:rsid w:val="7C6C5AC7"/>
    <w:rsid w:val="7CC6544B"/>
    <w:rsid w:val="7D0239FF"/>
    <w:rsid w:val="7D4D68A0"/>
    <w:rsid w:val="7D5E40CD"/>
    <w:rsid w:val="7D9609FD"/>
    <w:rsid w:val="7DCD56F2"/>
    <w:rsid w:val="7EB0785F"/>
    <w:rsid w:val="7EC46F00"/>
    <w:rsid w:val="7F001CE7"/>
    <w:rsid w:val="7FB84785"/>
    <w:rsid w:val="7FE47E5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ocked="1"/>
    <w:lsdException w:uiPriority="0" w:name="index 2" w:locked="1"/>
    <w:lsdException w:uiPriority="0" w:name="index 3" w:locked="1"/>
    <w:lsdException w:uiPriority="0" w:name="index 4" w:locked="1"/>
    <w:lsdException w:uiPriority="0" w:name="index 5" w:locked="1"/>
    <w:lsdException w:uiPriority="0" w:name="index 6" w:locked="1"/>
    <w:lsdException w:uiPriority="0" w:name="index 7" w:locked="1"/>
    <w:lsdException w:uiPriority="0" w:name="index 8" w:locked="1"/>
    <w:lsdException w:uiPriority="0" w:name="index 9" w:locked="1"/>
    <w:lsdException w:qFormat="1" w:unhideWhenUsed="0" w:uiPriority="0" w:semiHidden="0" w:name="toc 1" w:locked="1"/>
    <w:lsdException w:qFormat="1"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qFormat="1" w:unhideWhenUsed="0" w:uiPriority="39" w:semiHidden="0" w:name="toc 9" w:locked="1"/>
    <w:lsdException w:qFormat="1" w:unhideWhenUsed="0" w:uiPriority="0" w:semiHidden="0" w:name="Normal Indent" w:locked="1"/>
    <w:lsdException w:uiPriority="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iPriority="0" w:name="index heading" w:locked="1"/>
    <w:lsdException w:qFormat="1" w:unhideWhenUsed="0" w:uiPriority="0" w:semiHidden="0" w:name="caption" w:locked="1"/>
    <w:lsdException w:uiPriority="0" w:name="table of figures" w:locked="1"/>
    <w:lsdException w:uiPriority="0" w:name="envelope address" w:locked="1"/>
    <w:lsdException w:uiPriority="0" w:name="envelope return" w:locked="1"/>
    <w:lsdException w:uiPriority="0" w:name="footnote reference" w:locked="1"/>
    <w:lsdException w:qFormat="1" w:unhideWhenUsed="0" w:uiPriority="0" w:semiHidden="0" w:name="annotation reference"/>
    <w:lsdException w:uiPriority="0" w:name="line number" w:locked="1"/>
    <w:lsdException w:qFormat="1" w:unhideWhenUsed="0" w:uiPriority="0" w:semiHidden="0" w:name="page number" w:locked="1"/>
    <w:lsdException w:uiPriority="0" w:name="endnote reference" w:locked="1"/>
    <w:lsdException w:qFormat="1" w:unhideWhenUsed="0" w:uiPriority="0" w:semiHidden="0" w:name="endnote text" w:locked="1"/>
    <w:lsdException w:unhideWhenUsed="0" w:uiPriority="0" w:semiHidden="0" w:name="table of authorities" w:locked="1"/>
    <w:lsdException w:uiPriority="0" w:name="macro" w:locked="1"/>
    <w:lsdException w:uiPriority="0" w:name="toa heading" w:locked="1"/>
    <w:lsdException w:qFormat="1" w:unhideWhenUsed="0" w:uiPriority="0" w:semiHidden="0" w:name="List" w:locked="1"/>
    <w:lsdException w:unhideWhenUsed="0" w:uiPriority="0" w:semiHidden="0" w:name="List Bullet" w:locked="1"/>
    <w:lsdException w:uiPriority="0" w:name="List Number" w:locked="1"/>
    <w:lsdException w:uiPriority="0" w:name="List 2" w:locked="1"/>
    <w:lsdException w:uiPriority="0" w:name="List 3" w:locked="1"/>
    <w:lsdException w:uiPriority="0" w:name="List 4" w:locked="1"/>
    <w:lsdException w:uiPriority="0" w:name="List 5" w:locked="1"/>
    <w:lsdException w:uiPriority="0" w:name="List Bullet 2" w:locked="1"/>
    <w:lsdException w:uiPriority="0" w:name="List Bullet 3" w:locked="1"/>
    <w:lsdException w:uiPriority="0" w:name="List Bullet 4" w:locked="1"/>
    <w:lsdException w:qFormat="1" w:uiPriority="99" w:name="List Bullet 5" w:locked="1"/>
    <w:lsdException w:uiPriority="0" w:name="List Number 2" w:locked="1"/>
    <w:lsdException w:uiPriority="0" w:name="List Number 3" w:locked="1"/>
    <w:lsdException w:uiPriority="0" w:name="List Number 4" w:locked="1"/>
    <w:lsdException w:uiPriority="0" w:name="List Number 5" w:locked="1"/>
    <w:lsdException w:qFormat="1" w:unhideWhenUsed="0" w:uiPriority="0" w:semiHidden="0" w:name="Title" w:locked="1"/>
    <w:lsdException w:uiPriority="0" w:name="Closing" w:locked="1"/>
    <w:lsdException w:uiPriority="0" w:name="Signature" w:locked="1"/>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iPriority="0" w:name="Message Header" w:locked="1"/>
    <w:lsdException w:qFormat="1" w:unhideWhenUsed="0" w:uiPriority="0" w:semiHidden="0" w:name="Subtitle" w:locked="1"/>
    <w:lsdException w:uiPriority="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iPriority="0" w:name="Note Heading" w:locked="1"/>
    <w:lsdException w:qFormat="1" w:unhideWhenUsed="0" w:uiPriority="0" w:semiHidden="0" w:name="Body Text 2" w:locked="1"/>
    <w:lsdException w:uiPriority="0" w:name="Body Text 3" w:locked="1"/>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0" w:semiHidden="0" w:name="Hyperlink" w:locked="1"/>
    <w:lsdException w:uiPriority="0" w:name="FollowedHyperlink" w:locked="1"/>
    <w:lsdException w:qFormat="1" w:unhideWhenUsed="0" w:uiPriority="0"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uiPriority="0" w:name="E-mail Signature" w:locked="1"/>
    <w:lsdException w:qFormat="1" w:unhideWhenUsed="0" w:uiPriority="0" w:semiHidden="0" w:name="Normal (Web)"/>
    <w:lsdException w:uiPriority="0" w:name="HTML Acronym" w:locked="1"/>
    <w:lsdException w:uiPriority="0" w:name="HTML Address" w:locked="1"/>
    <w:lsdException w:uiPriority="0" w:name="HTML Cite" w:locked="1"/>
    <w:lsdException w:uiPriority="0" w:name="HTML Code" w:locked="1"/>
    <w:lsdException w:uiPriority="0" w:name="HTML Definition" w:locked="1"/>
    <w:lsdException w:uiPriority="0" w:name="HTML Keyboard" w:locked="1"/>
    <w:lsdException w:qFormat="1" w:unhideWhenUsed="0" w:uiPriority="0" w:semiHidden="0" w:name="HTML Preformatted" w:locked="1"/>
    <w:lsdException w:uiPriority="0" w:name="HTML Sample" w:locked="1"/>
    <w:lsdException w:uiPriority="0" w:name="HTML Typewriter" w:locked="1"/>
    <w:lsdException w:uiPriority="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59"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3"/>
    <w:qFormat/>
    <w:locked/>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101"/>
    <w:qFormat/>
    <w:locked/>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3"/>
    <w:next w:val="1"/>
    <w:link w:val="81"/>
    <w:qFormat/>
    <w:locked/>
    <w:uiPriority w:val="0"/>
    <w:pPr>
      <w:widowControl/>
      <w:spacing w:before="0" w:after="0" w:line="360" w:lineRule="auto"/>
      <w:jc w:val="left"/>
      <w:outlineLvl w:val="2"/>
    </w:pPr>
    <w:rPr>
      <w:rFonts w:ascii="Times New Roman" w:hAnsi="Times New Roman" w:eastAsia="宋体"/>
      <w:kern w:val="44"/>
      <w:sz w:val="24"/>
    </w:rPr>
  </w:style>
  <w:style w:type="paragraph" w:styleId="5">
    <w:name w:val="heading 4"/>
    <w:basedOn w:val="1"/>
    <w:next w:val="1"/>
    <w:link w:val="71"/>
    <w:qFormat/>
    <w:locked/>
    <w:uiPriority w:val="0"/>
    <w:pPr>
      <w:keepNext/>
      <w:keepLines/>
      <w:spacing w:line="360" w:lineRule="auto"/>
      <w:outlineLvl w:val="3"/>
    </w:pPr>
    <w:rPr>
      <w:rFonts w:hint="eastAsia" w:ascii="宋体" w:hAnsi="Arial" w:eastAsia="FangSong_GB2312"/>
      <w:kern w:val="21"/>
      <w:sz w:val="28"/>
      <w:szCs w:val="20"/>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link w:val="68"/>
    <w:qFormat/>
    <w:locked/>
    <w:uiPriority w:val="0"/>
    <w:pPr>
      <w:ind w:firstLine="420" w:firstLineChars="200"/>
    </w:pPr>
    <w:rPr>
      <w:szCs w:val="20"/>
    </w:rPr>
  </w:style>
  <w:style w:type="paragraph" w:styleId="7">
    <w:name w:val="toc 1"/>
    <w:basedOn w:val="1"/>
    <w:next w:val="1"/>
    <w:qFormat/>
    <w:locked/>
    <w:uiPriority w:val="0"/>
    <w:pPr>
      <w:tabs>
        <w:tab w:val="left" w:pos="5760"/>
      </w:tabs>
      <w:adjustRightInd w:val="0"/>
      <w:snapToGrid w:val="0"/>
      <w:jc w:val="center"/>
    </w:pPr>
  </w:style>
  <w:style w:type="paragraph" w:styleId="8">
    <w:name w:val="caption"/>
    <w:basedOn w:val="1"/>
    <w:next w:val="1"/>
    <w:qFormat/>
    <w:locked/>
    <w:uiPriority w:val="0"/>
    <w:pPr>
      <w:widowControl/>
      <w:jc w:val="left"/>
    </w:pPr>
    <w:rPr>
      <w:rFonts w:ascii="Arial" w:hAnsi="Arial" w:eastAsia="黑体" w:cs="Arial"/>
      <w:sz w:val="20"/>
      <w:szCs w:val="20"/>
    </w:rPr>
  </w:style>
  <w:style w:type="paragraph" w:styleId="9">
    <w:name w:val="Document Map"/>
    <w:basedOn w:val="1"/>
    <w:link w:val="62"/>
    <w:qFormat/>
    <w:locked/>
    <w:uiPriority w:val="0"/>
    <w:rPr>
      <w:rFonts w:ascii="宋体"/>
      <w:sz w:val="18"/>
      <w:szCs w:val="18"/>
    </w:rPr>
  </w:style>
  <w:style w:type="paragraph" w:styleId="10">
    <w:name w:val="annotation text"/>
    <w:basedOn w:val="1"/>
    <w:link w:val="51"/>
    <w:semiHidden/>
    <w:qFormat/>
    <w:uiPriority w:val="0"/>
    <w:pPr>
      <w:jc w:val="left"/>
    </w:pPr>
    <w:rPr>
      <w:kern w:val="0"/>
      <w:sz w:val="24"/>
      <w:szCs w:val="20"/>
    </w:rPr>
  </w:style>
  <w:style w:type="paragraph" w:styleId="11">
    <w:name w:val="Body Text"/>
    <w:basedOn w:val="1"/>
    <w:next w:val="12"/>
    <w:link w:val="50"/>
    <w:qFormat/>
    <w:uiPriority w:val="0"/>
    <w:pPr>
      <w:widowControl/>
      <w:snapToGrid w:val="0"/>
      <w:spacing w:before="60" w:after="160" w:line="259" w:lineRule="auto"/>
      <w:ind w:right="113"/>
    </w:pPr>
    <w:rPr>
      <w:kern w:val="0"/>
      <w:sz w:val="18"/>
      <w:szCs w:val="20"/>
    </w:rPr>
  </w:style>
  <w:style w:type="paragraph" w:customStyle="1" w:styleId="12">
    <w:name w:val="Date1"/>
    <w:basedOn w:val="1"/>
    <w:next w:val="1"/>
    <w:qFormat/>
    <w:uiPriority w:val="0"/>
    <w:pPr>
      <w:adjustRightInd w:val="0"/>
      <w:jc w:val="left"/>
      <w:textAlignment w:val="baseline"/>
    </w:pPr>
    <w:rPr>
      <w:rFonts w:ascii="宋体" w:hAnsi="宋体"/>
      <w:sz w:val="28"/>
      <w:szCs w:val="20"/>
    </w:rPr>
  </w:style>
  <w:style w:type="paragraph" w:styleId="13">
    <w:name w:val="Body Text Indent"/>
    <w:basedOn w:val="1"/>
    <w:link w:val="59"/>
    <w:qFormat/>
    <w:uiPriority w:val="0"/>
    <w:pPr>
      <w:spacing w:after="120"/>
      <w:ind w:left="420" w:leftChars="200"/>
    </w:pPr>
    <w:rPr>
      <w:kern w:val="0"/>
      <w:sz w:val="24"/>
      <w:szCs w:val="20"/>
    </w:rPr>
  </w:style>
  <w:style w:type="paragraph" w:styleId="14">
    <w:name w:val="Block Text"/>
    <w:basedOn w:val="1"/>
    <w:qFormat/>
    <w:locked/>
    <w:uiPriority w:val="0"/>
    <w:pPr>
      <w:tabs>
        <w:tab w:val="left" w:pos="492"/>
      </w:tabs>
      <w:spacing w:line="480" w:lineRule="exact"/>
      <w:ind w:left="-31" w:leftChars="-15" w:right="-113" w:firstLine="560" w:firstLineChars="200"/>
    </w:pPr>
    <w:rPr>
      <w:sz w:val="28"/>
      <w:szCs w:val="20"/>
    </w:rPr>
  </w:style>
  <w:style w:type="paragraph" w:styleId="15">
    <w:name w:val="Plain Text"/>
    <w:basedOn w:val="1"/>
    <w:link w:val="89"/>
    <w:qFormat/>
    <w:locked/>
    <w:uiPriority w:val="0"/>
    <w:rPr>
      <w:rFonts w:ascii="宋体" w:hAnsi="Courier New" w:eastAsia="FangSong_GB2312"/>
      <w:sz w:val="28"/>
      <w:szCs w:val="20"/>
    </w:rPr>
  </w:style>
  <w:style w:type="paragraph" w:styleId="16">
    <w:name w:val="List Bullet 5"/>
    <w:basedOn w:val="1"/>
    <w:semiHidden/>
    <w:unhideWhenUsed/>
    <w:qFormat/>
    <w:locked/>
    <w:uiPriority w:val="99"/>
    <w:pPr>
      <w:tabs>
        <w:tab w:val="left" w:pos="720"/>
      </w:tabs>
      <w:ind w:left="720" w:hanging="720"/>
      <w:contextualSpacing/>
    </w:pPr>
  </w:style>
  <w:style w:type="paragraph" w:styleId="17">
    <w:name w:val="Date"/>
    <w:basedOn w:val="1"/>
    <w:next w:val="1"/>
    <w:link w:val="46"/>
    <w:qFormat/>
    <w:uiPriority w:val="0"/>
    <w:pPr>
      <w:ind w:left="100" w:leftChars="2500"/>
    </w:pPr>
    <w:rPr>
      <w:kern w:val="0"/>
      <w:sz w:val="24"/>
      <w:szCs w:val="20"/>
    </w:rPr>
  </w:style>
  <w:style w:type="paragraph" w:styleId="18">
    <w:name w:val="Body Text Indent 2"/>
    <w:basedOn w:val="1"/>
    <w:link w:val="110"/>
    <w:qFormat/>
    <w:locked/>
    <w:uiPriority w:val="0"/>
    <w:pPr>
      <w:spacing w:line="480" w:lineRule="exact"/>
      <w:ind w:left="-122" w:leftChars="-58" w:firstLine="560" w:firstLineChars="200"/>
    </w:pPr>
    <w:rPr>
      <w:sz w:val="28"/>
      <w:szCs w:val="20"/>
    </w:rPr>
  </w:style>
  <w:style w:type="paragraph" w:styleId="19">
    <w:name w:val="endnote text"/>
    <w:basedOn w:val="1"/>
    <w:link w:val="107"/>
    <w:qFormat/>
    <w:locked/>
    <w:uiPriority w:val="0"/>
    <w:pPr>
      <w:snapToGrid w:val="0"/>
      <w:jc w:val="left"/>
    </w:pPr>
    <w:rPr>
      <w:szCs w:val="20"/>
    </w:rPr>
  </w:style>
  <w:style w:type="paragraph" w:styleId="20">
    <w:name w:val="Balloon Text"/>
    <w:basedOn w:val="1"/>
    <w:link w:val="55"/>
    <w:semiHidden/>
    <w:qFormat/>
    <w:uiPriority w:val="0"/>
    <w:rPr>
      <w:kern w:val="0"/>
      <w:sz w:val="18"/>
      <w:szCs w:val="20"/>
    </w:rPr>
  </w:style>
  <w:style w:type="paragraph" w:styleId="21">
    <w:name w:val="footer"/>
    <w:basedOn w:val="1"/>
    <w:link w:val="45"/>
    <w:qFormat/>
    <w:uiPriority w:val="99"/>
    <w:pPr>
      <w:tabs>
        <w:tab w:val="center" w:pos="4153"/>
        <w:tab w:val="right" w:pos="8306"/>
      </w:tabs>
      <w:snapToGrid w:val="0"/>
      <w:jc w:val="left"/>
    </w:pPr>
    <w:rPr>
      <w:kern w:val="0"/>
      <w:sz w:val="18"/>
      <w:szCs w:val="20"/>
    </w:rPr>
  </w:style>
  <w:style w:type="paragraph" w:styleId="22">
    <w:name w:val="header"/>
    <w:basedOn w:val="1"/>
    <w:next w:val="1"/>
    <w:link w:val="57"/>
    <w:qFormat/>
    <w:uiPriority w:val="0"/>
    <w:pPr>
      <w:pBdr>
        <w:bottom w:val="single" w:color="auto" w:sz="6" w:space="1"/>
      </w:pBdr>
      <w:tabs>
        <w:tab w:val="center" w:pos="4153"/>
        <w:tab w:val="right" w:pos="8306"/>
      </w:tabs>
      <w:snapToGrid w:val="0"/>
      <w:jc w:val="center"/>
    </w:pPr>
    <w:rPr>
      <w:kern w:val="0"/>
      <w:sz w:val="18"/>
      <w:szCs w:val="20"/>
    </w:rPr>
  </w:style>
  <w:style w:type="paragraph" w:styleId="23">
    <w:name w:val="List"/>
    <w:basedOn w:val="1"/>
    <w:qFormat/>
    <w:locked/>
    <w:uiPriority w:val="0"/>
    <w:pPr>
      <w:ind w:left="200" w:hanging="200" w:hangingChars="200"/>
    </w:pPr>
    <w:rPr>
      <w:szCs w:val="20"/>
    </w:rPr>
  </w:style>
  <w:style w:type="paragraph" w:styleId="24">
    <w:name w:val="Body Text Indent 3"/>
    <w:basedOn w:val="1"/>
    <w:link w:val="109"/>
    <w:qFormat/>
    <w:locked/>
    <w:uiPriority w:val="0"/>
    <w:pPr>
      <w:spacing w:line="480" w:lineRule="exact"/>
      <w:ind w:firstLine="840" w:firstLineChars="300"/>
    </w:pPr>
    <w:rPr>
      <w:rFonts w:ascii="宋体" w:hAnsi="宋体"/>
      <w:sz w:val="28"/>
      <w:szCs w:val="20"/>
    </w:rPr>
  </w:style>
  <w:style w:type="paragraph" w:styleId="25">
    <w:name w:val="toc 2"/>
    <w:basedOn w:val="1"/>
    <w:next w:val="1"/>
    <w:semiHidden/>
    <w:unhideWhenUsed/>
    <w:qFormat/>
    <w:locked/>
    <w:uiPriority w:val="0"/>
    <w:pPr>
      <w:ind w:left="420" w:leftChars="200"/>
    </w:pPr>
  </w:style>
  <w:style w:type="paragraph" w:styleId="26">
    <w:name w:val="toc 9"/>
    <w:basedOn w:val="1"/>
    <w:next w:val="1"/>
    <w:qFormat/>
    <w:locked/>
    <w:uiPriority w:val="39"/>
    <w:pPr>
      <w:ind w:left="1680"/>
      <w:jc w:val="left"/>
    </w:pPr>
    <w:rPr>
      <w:rFonts w:ascii="Calibri" w:hAnsi="Calibri" w:cs="Calibri"/>
      <w:sz w:val="18"/>
      <w:szCs w:val="18"/>
    </w:rPr>
  </w:style>
  <w:style w:type="paragraph" w:styleId="27">
    <w:name w:val="Body Text 2"/>
    <w:basedOn w:val="1"/>
    <w:link w:val="111"/>
    <w:qFormat/>
    <w:locked/>
    <w:uiPriority w:val="0"/>
    <w:pPr>
      <w:spacing w:after="120" w:line="480" w:lineRule="auto"/>
    </w:pPr>
    <w:rPr>
      <w:szCs w:val="20"/>
    </w:rPr>
  </w:style>
  <w:style w:type="paragraph" w:styleId="28">
    <w:name w:val="HTML Preformatted"/>
    <w:basedOn w:val="1"/>
    <w:link w:val="113"/>
    <w:qFormat/>
    <w:locked/>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29">
    <w:name w:val="Normal (Web)"/>
    <w:basedOn w:val="1"/>
    <w:link w:val="48"/>
    <w:qFormat/>
    <w:uiPriority w:val="0"/>
    <w:pPr>
      <w:widowControl/>
      <w:spacing w:before="100" w:beforeAutospacing="1" w:after="100" w:afterAutospacing="1"/>
      <w:jc w:val="left"/>
    </w:pPr>
    <w:rPr>
      <w:rFonts w:ascii="宋体" w:hAnsi="宋体"/>
      <w:kern w:val="0"/>
      <w:sz w:val="24"/>
      <w:szCs w:val="20"/>
    </w:rPr>
  </w:style>
  <w:style w:type="paragraph" w:styleId="30">
    <w:name w:val="Title"/>
    <w:basedOn w:val="1"/>
    <w:next w:val="1"/>
    <w:link w:val="168"/>
    <w:qFormat/>
    <w:locked/>
    <w:uiPriority w:val="0"/>
    <w:pPr>
      <w:spacing w:before="240" w:after="60"/>
      <w:jc w:val="center"/>
      <w:outlineLvl w:val="0"/>
    </w:pPr>
    <w:rPr>
      <w:rFonts w:ascii="等线 Light" w:hAnsi="等线 Light"/>
      <w:b/>
      <w:bCs/>
      <w:sz w:val="32"/>
      <w:szCs w:val="32"/>
    </w:rPr>
  </w:style>
  <w:style w:type="paragraph" w:styleId="31">
    <w:name w:val="annotation subject"/>
    <w:basedOn w:val="10"/>
    <w:next w:val="10"/>
    <w:link w:val="56"/>
    <w:semiHidden/>
    <w:qFormat/>
    <w:uiPriority w:val="0"/>
    <w:rPr>
      <w:b/>
      <w:kern w:val="2"/>
    </w:rPr>
  </w:style>
  <w:style w:type="paragraph" w:styleId="32">
    <w:name w:val="Body Text First Indent"/>
    <w:basedOn w:val="11"/>
    <w:link w:val="193"/>
    <w:qFormat/>
    <w:locked/>
    <w:uiPriority w:val="0"/>
    <w:pPr>
      <w:widowControl w:val="0"/>
      <w:snapToGrid/>
      <w:spacing w:before="0" w:after="120" w:line="240" w:lineRule="auto"/>
      <w:ind w:right="0" w:firstLine="420" w:firstLineChars="100"/>
    </w:pPr>
    <w:rPr>
      <w:kern w:val="2"/>
      <w:sz w:val="21"/>
      <w:szCs w:val="24"/>
    </w:rPr>
  </w:style>
  <w:style w:type="paragraph" w:styleId="33">
    <w:name w:val="Body Text First Indent 2"/>
    <w:basedOn w:val="13"/>
    <w:link w:val="192"/>
    <w:qFormat/>
    <w:locked/>
    <w:uiPriority w:val="0"/>
    <w:pPr>
      <w:ind w:firstLine="420" w:firstLineChars="200"/>
    </w:pPr>
    <w:rPr>
      <w:kern w:val="2"/>
      <w:sz w:val="21"/>
      <w:szCs w:val="24"/>
    </w:rPr>
  </w:style>
  <w:style w:type="table" w:styleId="35">
    <w:name w:val="Table Grid"/>
    <w:basedOn w:val="3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7">
    <w:name w:val="Strong"/>
    <w:basedOn w:val="36"/>
    <w:qFormat/>
    <w:locked/>
    <w:uiPriority w:val="0"/>
    <w:rPr>
      <w:b/>
      <w:bCs/>
    </w:rPr>
  </w:style>
  <w:style w:type="character" w:styleId="38">
    <w:name w:val="page number"/>
    <w:basedOn w:val="36"/>
    <w:qFormat/>
    <w:locked/>
    <w:uiPriority w:val="0"/>
  </w:style>
  <w:style w:type="character" w:styleId="39">
    <w:name w:val="Emphasis"/>
    <w:qFormat/>
    <w:locked/>
    <w:uiPriority w:val="0"/>
    <w:rPr>
      <w:color w:val="CC0000"/>
    </w:rPr>
  </w:style>
  <w:style w:type="character" w:styleId="40">
    <w:name w:val="Hyperlink"/>
    <w:qFormat/>
    <w:locked/>
    <w:uiPriority w:val="0"/>
    <w:rPr>
      <w:color w:val="0000FF"/>
      <w:u w:val="none"/>
    </w:rPr>
  </w:style>
  <w:style w:type="character" w:styleId="41">
    <w:name w:val="annotation reference"/>
    <w:qFormat/>
    <w:uiPriority w:val="0"/>
    <w:rPr>
      <w:sz w:val="21"/>
    </w:rPr>
  </w:style>
  <w:style w:type="paragraph" w:customStyle="1" w:styleId="42">
    <w:name w:val="xl2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sz w:val="24"/>
    </w:rPr>
  </w:style>
  <w:style w:type="paragraph" w:customStyle="1" w:styleId="43">
    <w:name w:val="Default"/>
    <w:basedOn w:val="44"/>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4">
    <w:name w:val="纯文本1"/>
    <w:qFormat/>
    <w:uiPriority w:val="0"/>
    <w:rPr>
      <w:rFonts w:ascii="宋体" w:hAnsi="Courier New" w:eastAsia="FangSong_GB2312" w:cs="Times New Roman"/>
      <w:sz w:val="28"/>
      <w:lang w:val="en-US" w:eastAsia="zh-CN" w:bidi="ar-SA"/>
    </w:rPr>
  </w:style>
  <w:style w:type="character" w:customStyle="1" w:styleId="45">
    <w:name w:val="页脚 Char"/>
    <w:link w:val="21"/>
    <w:qFormat/>
    <w:locked/>
    <w:uiPriority w:val="99"/>
    <w:rPr>
      <w:sz w:val="18"/>
    </w:rPr>
  </w:style>
  <w:style w:type="character" w:customStyle="1" w:styleId="46">
    <w:name w:val="日期 Char"/>
    <w:link w:val="17"/>
    <w:qFormat/>
    <w:locked/>
    <w:uiPriority w:val="0"/>
    <w:rPr>
      <w:rFonts w:ascii="Times New Roman" w:hAnsi="Times New Roman" w:eastAsia="宋体"/>
      <w:sz w:val="24"/>
    </w:rPr>
  </w:style>
  <w:style w:type="character" w:customStyle="1" w:styleId="47">
    <w:name w:val="页脚 字符"/>
    <w:basedOn w:val="36"/>
    <w:qFormat/>
    <w:uiPriority w:val="99"/>
  </w:style>
  <w:style w:type="character" w:customStyle="1" w:styleId="48">
    <w:name w:val="普通(网站) Char"/>
    <w:link w:val="29"/>
    <w:qFormat/>
    <w:locked/>
    <w:uiPriority w:val="0"/>
    <w:rPr>
      <w:rFonts w:ascii="宋体" w:hAnsi="宋体" w:eastAsia="宋体"/>
      <w:sz w:val="24"/>
    </w:rPr>
  </w:style>
  <w:style w:type="character" w:customStyle="1" w:styleId="49">
    <w:name w:val="正文文本 字符1"/>
    <w:semiHidden/>
    <w:qFormat/>
    <w:uiPriority w:val="0"/>
    <w:rPr>
      <w:rFonts w:ascii="Times New Roman" w:hAnsi="Times New Roman" w:eastAsia="宋体"/>
      <w:sz w:val="24"/>
    </w:rPr>
  </w:style>
  <w:style w:type="character" w:customStyle="1" w:styleId="50">
    <w:name w:val="正文文本 Char"/>
    <w:link w:val="11"/>
    <w:qFormat/>
    <w:locked/>
    <w:uiPriority w:val="0"/>
    <w:rPr>
      <w:sz w:val="18"/>
    </w:rPr>
  </w:style>
  <w:style w:type="character" w:customStyle="1" w:styleId="51">
    <w:name w:val="批注文字 Char"/>
    <w:link w:val="10"/>
    <w:qFormat/>
    <w:locked/>
    <w:uiPriority w:val="0"/>
    <w:rPr>
      <w:rFonts w:ascii="Times New Roman" w:hAnsi="Times New Roman" w:eastAsia="宋体"/>
      <w:sz w:val="24"/>
    </w:rPr>
  </w:style>
  <w:style w:type="character" w:customStyle="1" w:styleId="52">
    <w:name w:val="表格 Char"/>
    <w:link w:val="53"/>
    <w:qFormat/>
    <w:locked/>
    <w:uiPriority w:val="0"/>
    <w:rPr>
      <w:rFonts w:ascii="宋体"/>
      <w:sz w:val="21"/>
    </w:rPr>
  </w:style>
  <w:style w:type="paragraph" w:customStyle="1" w:styleId="53">
    <w:name w:val="表格"/>
    <w:basedOn w:val="1"/>
    <w:next w:val="1"/>
    <w:link w:val="52"/>
    <w:qFormat/>
    <w:uiPriority w:val="0"/>
    <w:pPr>
      <w:adjustRightInd w:val="0"/>
      <w:snapToGrid w:val="0"/>
      <w:spacing w:beforeLines="10" w:afterLines="10" w:line="259" w:lineRule="auto"/>
      <w:jc w:val="center"/>
    </w:pPr>
    <w:rPr>
      <w:rFonts w:ascii="宋体"/>
      <w:kern w:val="0"/>
      <w:szCs w:val="20"/>
    </w:rPr>
  </w:style>
  <w:style w:type="character" w:customStyle="1" w:styleId="54">
    <w:name w:val="日期 字符"/>
    <w:semiHidden/>
    <w:qFormat/>
    <w:uiPriority w:val="0"/>
    <w:rPr>
      <w:rFonts w:ascii="Times New Roman" w:hAnsi="Times New Roman" w:eastAsia="宋体"/>
      <w:sz w:val="24"/>
    </w:rPr>
  </w:style>
  <w:style w:type="character" w:customStyle="1" w:styleId="55">
    <w:name w:val="批注框文本 Char"/>
    <w:link w:val="20"/>
    <w:semiHidden/>
    <w:qFormat/>
    <w:locked/>
    <w:uiPriority w:val="0"/>
    <w:rPr>
      <w:rFonts w:ascii="Times New Roman" w:hAnsi="Times New Roman" w:eastAsia="宋体"/>
      <w:sz w:val="18"/>
    </w:rPr>
  </w:style>
  <w:style w:type="character" w:customStyle="1" w:styleId="56">
    <w:name w:val="批注主题 Char"/>
    <w:link w:val="31"/>
    <w:semiHidden/>
    <w:qFormat/>
    <w:locked/>
    <w:uiPriority w:val="0"/>
    <w:rPr>
      <w:rFonts w:ascii="Times New Roman" w:hAnsi="Times New Roman" w:eastAsia="宋体"/>
      <w:b/>
      <w:kern w:val="2"/>
      <w:sz w:val="24"/>
    </w:rPr>
  </w:style>
  <w:style w:type="character" w:customStyle="1" w:styleId="57">
    <w:name w:val="页眉 Char"/>
    <w:link w:val="22"/>
    <w:qFormat/>
    <w:locked/>
    <w:uiPriority w:val="0"/>
    <w:rPr>
      <w:sz w:val="18"/>
    </w:rPr>
  </w:style>
  <w:style w:type="character" w:customStyle="1" w:styleId="58">
    <w:name w:val="批注文字 字符1"/>
    <w:semiHidden/>
    <w:qFormat/>
    <w:uiPriority w:val="0"/>
    <w:rPr>
      <w:rFonts w:ascii="Times New Roman" w:hAnsi="Times New Roman" w:eastAsia="宋体"/>
      <w:sz w:val="24"/>
    </w:rPr>
  </w:style>
  <w:style w:type="character" w:customStyle="1" w:styleId="59">
    <w:name w:val="正文文本缩进 Char"/>
    <w:link w:val="13"/>
    <w:semiHidden/>
    <w:qFormat/>
    <w:locked/>
    <w:uiPriority w:val="0"/>
    <w:rPr>
      <w:rFonts w:ascii="Times New Roman" w:hAnsi="Times New Roman" w:eastAsia="宋体"/>
      <w:sz w:val="24"/>
    </w:rPr>
  </w:style>
  <w:style w:type="paragraph" w:customStyle="1" w:styleId="60">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1">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62">
    <w:name w:val="文档结构图 Char"/>
    <w:basedOn w:val="36"/>
    <w:link w:val="9"/>
    <w:qFormat/>
    <w:uiPriority w:val="0"/>
    <w:rPr>
      <w:rFonts w:ascii="宋体"/>
      <w:kern w:val="2"/>
      <w:sz w:val="18"/>
      <w:szCs w:val="18"/>
    </w:rPr>
  </w:style>
  <w:style w:type="paragraph" w:customStyle="1" w:styleId="63">
    <w:name w:val="环评一室报告报告正文"/>
    <w:basedOn w:val="1"/>
    <w:qFormat/>
    <w:uiPriority w:val="0"/>
    <w:pPr>
      <w:spacing w:line="360" w:lineRule="auto"/>
      <w:ind w:firstLine="480" w:firstLineChars="200"/>
    </w:pPr>
    <w:rPr>
      <w:rFonts w:ascii="宋体" w:hAnsi="宋体" w:cs="宋体"/>
      <w:sz w:val="24"/>
    </w:rPr>
  </w:style>
  <w:style w:type="character" w:customStyle="1" w:styleId="64">
    <w:name w:val="【正文】 Char Char"/>
    <w:link w:val="65"/>
    <w:qFormat/>
    <w:uiPriority w:val="0"/>
    <w:rPr>
      <w:rFonts w:cs="宋体"/>
      <w:sz w:val="24"/>
    </w:rPr>
  </w:style>
  <w:style w:type="paragraph" w:customStyle="1" w:styleId="65">
    <w:name w:val="【正文】"/>
    <w:basedOn w:val="1"/>
    <w:link w:val="64"/>
    <w:qFormat/>
    <w:uiPriority w:val="0"/>
    <w:pPr>
      <w:spacing w:line="440" w:lineRule="exact"/>
      <w:ind w:firstLine="544" w:firstLineChars="200"/>
    </w:pPr>
    <w:rPr>
      <w:kern w:val="0"/>
      <w:sz w:val="24"/>
      <w:szCs w:val="20"/>
    </w:rPr>
  </w:style>
  <w:style w:type="paragraph" w:styleId="66">
    <w:name w:val="List Paragraph"/>
    <w:basedOn w:val="1"/>
    <w:qFormat/>
    <w:uiPriority w:val="99"/>
    <w:pPr>
      <w:ind w:firstLine="420" w:firstLineChars="200"/>
    </w:pPr>
    <w:rPr>
      <w:rFonts w:ascii="Calibri" w:hAnsi="Calibri"/>
      <w:szCs w:val="22"/>
    </w:rPr>
  </w:style>
  <w:style w:type="paragraph" w:customStyle="1" w:styleId="67">
    <w:name w:val="_正文格式"/>
    <w:basedOn w:val="1"/>
    <w:qFormat/>
    <w:uiPriority w:val="0"/>
    <w:pPr>
      <w:spacing w:line="500" w:lineRule="exact"/>
      <w:ind w:firstLine="567" w:firstLineChars="200"/>
      <w:jc w:val="left"/>
    </w:pPr>
    <w:rPr>
      <w:rFonts w:ascii="Calibri" w:hAnsi="Calibri" w:cs="Calibri"/>
      <w:sz w:val="24"/>
      <w:szCs w:val="21"/>
    </w:rPr>
  </w:style>
  <w:style w:type="character" w:customStyle="1" w:styleId="68">
    <w:name w:val="正文缩进 Char"/>
    <w:link w:val="6"/>
    <w:qFormat/>
    <w:uiPriority w:val="0"/>
    <w:rPr>
      <w:kern w:val="2"/>
      <w:sz w:val="21"/>
    </w:rPr>
  </w:style>
  <w:style w:type="character" w:customStyle="1" w:styleId="69">
    <w:name w:val="标题 2 Char"/>
    <w:basedOn w:val="36"/>
    <w:semiHidden/>
    <w:qFormat/>
    <w:uiPriority w:val="0"/>
    <w:rPr>
      <w:rFonts w:ascii="Cambria" w:hAnsi="Cambria" w:eastAsia="宋体" w:cs="Times New Roman"/>
      <w:b/>
      <w:bCs/>
      <w:kern w:val="2"/>
      <w:sz w:val="32"/>
      <w:szCs w:val="32"/>
    </w:rPr>
  </w:style>
  <w:style w:type="character" w:customStyle="1" w:styleId="70">
    <w:name w:val="标题 3 Char"/>
    <w:basedOn w:val="36"/>
    <w:semiHidden/>
    <w:qFormat/>
    <w:uiPriority w:val="0"/>
    <w:rPr>
      <w:b/>
      <w:bCs/>
      <w:kern w:val="2"/>
      <w:sz w:val="32"/>
      <w:szCs w:val="32"/>
    </w:rPr>
  </w:style>
  <w:style w:type="character" w:customStyle="1" w:styleId="71">
    <w:name w:val="标题 4 Char"/>
    <w:basedOn w:val="36"/>
    <w:link w:val="5"/>
    <w:qFormat/>
    <w:uiPriority w:val="0"/>
    <w:rPr>
      <w:rFonts w:ascii="宋体" w:hAnsi="Arial" w:eastAsia="FangSong_GB2312"/>
      <w:kern w:val="21"/>
      <w:sz w:val="28"/>
    </w:rPr>
  </w:style>
  <w:style w:type="character" w:customStyle="1" w:styleId="72">
    <w:name w:val="样式4 Char"/>
    <w:link w:val="73"/>
    <w:qFormat/>
    <w:uiPriority w:val="0"/>
    <w:rPr>
      <w:kern w:val="2"/>
      <w:sz w:val="21"/>
    </w:rPr>
  </w:style>
  <w:style w:type="paragraph" w:customStyle="1" w:styleId="73">
    <w:name w:val="样式4"/>
    <w:basedOn w:val="1"/>
    <w:link w:val="72"/>
    <w:qFormat/>
    <w:uiPriority w:val="0"/>
    <w:pPr>
      <w:tabs>
        <w:tab w:val="left" w:pos="9128"/>
      </w:tabs>
      <w:adjustRightInd w:val="0"/>
      <w:snapToGrid w:val="0"/>
      <w:spacing w:line="500" w:lineRule="exact"/>
      <w:jc w:val="center"/>
    </w:pPr>
    <w:rPr>
      <w:szCs w:val="20"/>
    </w:rPr>
  </w:style>
  <w:style w:type="character" w:customStyle="1" w:styleId="74">
    <w:name w:val="正文(首行缩进) Char"/>
    <w:link w:val="75"/>
    <w:qFormat/>
    <w:uiPriority w:val="0"/>
    <w:rPr>
      <w:snapToGrid w:val="0"/>
      <w:color w:val="000000"/>
      <w:sz w:val="24"/>
      <w:szCs w:val="24"/>
    </w:rPr>
  </w:style>
  <w:style w:type="paragraph" w:customStyle="1" w:styleId="75">
    <w:name w:val="正文(首行缩进)"/>
    <w:basedOn w:val="1"/>
    <w:next w:val="1"/>
    <w:link w:val="74"/>
    <w:qFormat/>
    <w:uiPriority w:val="0"/>
    <w:pPr>
      <w:spacing w:line="360" w:lineRule="auto"/>
      <w:ind w:firstLine="540" w:firstLineChars="225"/>
    </w:pPr>
    <w:rPr>
      <w:snapToGrid w:val="0"/>
      <w:color w:val="000000"/>
      <w:kern w:val="0"/>
      <w:sz w:val="24"/>
    </w:rPr>
  </w:style>
  <w:style w:type="character" w:customStyle="1" w:styleId="76">
    <w:name w:val="t11"/>
    <w:qFormat/>
    <w:uiPriority w:val="0"/>
    <w:rPr>
      <w:color w:val="000000"/>
      <w:sz w:val="24"/>
      <w:szCs w:val="24"/>
    </w:rPr>
  </w:style>
  <w:style w:type="character" w:customStyle="1" w:styleId="77">
    <w:name w:val="样式7 Char"/>
    <w:link w:val="78"/>
    <w:qFormat/>
    <w:uiPriority w:val="0"/>
    <w:rPr>
      <w:rFonts w:ascii="宋体" w:hAnsi="宋体"/>
      <w:kern w:val="2"/>
      <w:sz w:val="28"/>
      <w:szCs w:val="28"/>
    </w:rPr>
  </w:style>
  <w:style w:type="paragraph" w:customStyle="1" w:styleId="78">
    <w:name w:val="样式7"/>
    <w:basedOn w:val="1"/>
    <w:link w:val="77"/>
    <w:qFormat/>
    <w:uiPriority w:val="0"/>
    <w:pPr>
      <w:spacing w:line="620" w:lineRule="exact"/>
      <w:ind w:firstLine="200" w:firstLineChars="200"/>
    </w:pPr>
    <w:rPr>
      <w:rFonts w:ascii="宋体" w:hAnsi="宋体"/>
      <w:sz w:val="28"/>
      <w:szCs w:val="28"/>
    </w:rPr>
  </w:style>
  <w:style w:type="character" w:customStyle="1" w:styleId="79">
    <w:name w:val="表内文字 Char1"/>
    <w:qFormat/>
    <w:uiPriority w:val="0"/>
    <w:rPr>
      <w:rFonts w:ascii="宋体" w:hAnsi="Courier New" w:eastAsia="宋体"/>
      <w:kern w:val="2"/>
      <w:sz w:val="21"/>
      <w:lang w:val="en-US" w:eastAsia="zh-CN" w:bidi="ar-SA"/>
    </w:rPr>
  </w:style>
  <w:style w:type="character" w:customStyle="1" w:styleId="80">
    <w:name w:val="textbig1"/>
    <w:qFormat/>
    <w:uiPriority w:val="0"/>
    <w:rPr>
      <w:sz w:val="18"/>
      <w:szCs w:val="18"/>
    </w:rPr>
  </w:style>
  <w:style w:type="character" w:customStyle="1" w:styleId="81">
    <w:name w:val="标题 3 Char1"/>
    <w:link w:val="4"/>
    <w:qFormat/>
    <w:uiPriority w:val="0"/>
    <w:rPr>
      <w:b/>
      <w:bCs/>
      <w:kern w:val="44"/>
      <w:sz w:val="24"/>
      <w:szCs w:val="32"/>
    </w:rPr>
  </w:style>
  <w:style w:type="character" w:customStyle="1" w:styleId="82">
    <w:name w:val="表内文字 Char"/>
    <w:qFormat/>
    <w:uiPriority w:val="0"/>
    <w:rPr>
      <w:rFonts w:ascii="宋体" w:hAnsi="Courier New" w:eastAsia="FangSong_GB2312"/>
      <w:kern w:val="2"/>
      <w:sz w:val="28"/>
      <w:lang w:val="en-US" w:eastAsia="zh-CN"/>
    </w:rPr>
  </w:style>
  <w:style w:type="character" w:customStyle="1" w:styleId="83">
    <w:name w:val="标题 1 Char"/>
    <w:link w:val="2"/>
    <w:qFormat/>
    <w:uiPriority w:val="0"/>
    <w:rPr>
      <w:rFonts w:eastAsia="黑体"/>
      <w:b/>
      <w:bCs/>
      <w:color w:val="000000"/>
      <w:kern w:val="44"/>
      <w:sz w:val="30"/>
      <w:szCs w:val="30"/>
    </w:rPr>
  </w:style>
  <w:style w:type="character" w:customStyle="1" w:styleId="84">
    <w:name w:val="陆晶 表头 Char"/>
    <w:link w:val="85"/>
    <w:qFormat/>
    <w:uiPriority w:val="0"/>
    <w:rPr>
      <w:b/>
      <w:bCs/>
      <w:spacing w:val="4"/>
      <w:kern w:val="2"/>
      <w:position w:val="10"/>
      <w:sz w:val="21"/>
      <w:szCs w:val="21"/>
    </w:rPr>
  </w:style>
  <w:style w:type="paragraph" w:customStyle="1" w:styleId="85">
    <w:name w:val="陆晶 表头"/>
    <w:basedOn w:val="1"/>
    <w:link w:val="84"/>
    <w:qFormat/>
    <w:uiPriority w:val="0"/>
    <w:pPr>
      <w:tabs>
        <w:tab w:val="left" w:pos="2520"/>
      </w:tabs>
      <w:adjustRightInd w:val="0"/>
      <w:snapToGrid w:val="0"/>
      <w:jc w:val="center"/>
      <w:outlineLvl w:val="3"/>
    </w:pPr>
    <w:rPr>
      <w:b/>
      <w:bCs/>
      <w:spacing w:val="4"/>
      <w:position w:val="10"/>
      <w:szCs w:val="21"/>
    </w:rPr>
  </w:style>
  <w:style w:type="character" w:customStyle="1" w:styleId="86">
    <w:name w:val="页眉 字符"/>
    <w:qFormat/>
    <w:uiPriority w:val="0"/>
    <w:rPr>
      <w:rFonts w:eastAsia="宋体"/>
      <w:kern w:val="2"/>
      <w:sz w:val="18"/>
      <w:lang w:val="en-US" w:eastAsia="zh-CN" w:bidi="ar-SA"/>
    </w:rPr>
  </w:style>
  <w:style w:type="character" w:customStyle="1" w:styleId="87">
    <w:name w:val="样式 宋体 四号 行距: 固定值 25 磅 Char"/>
    <w:link w:val="88"/>
    <w:qFormat/>
    <w:uiPriority w:val="0"/>
    <w:rPr>
      <w:kern w:val="2"/>
      <w:sz w:val="24"/>
      <w:szCs w:val="24"/>
    </w:rPr>
  </w:style>
  <w:style w:type="paragraph" w:customStyle="1" w:styleId="88">
    <w:name w:val="样式 宋体 四号 行距: 固定值 25 磅"/>
    <w:basedOn w:val="1"/>
    <w:link w:val="87"/>
    <w:qFormat/>
    <w:uiPriority w:val="0"/>
    <w:pPr>
      <w:spacing w:line="360" w:lineRule="auto"/>
    </w:pPr>
    <w:rPr>
      <w:sz w:val="24"/>
    </w:rPr>
  </w:style>
  <w:style w:type="character" w:customStyle="1" w:styleId="89">
    <w:name w:val="纯文本 Char2"/>
    <w:link w:val="15"/>
    <w:qFormat/>
    <w:uiPriority w:val="0"/>
    <w:rPr>
      <w:rFonts w:ascii="宋体" w:hAnsi="Courier New" w:eastAsia="FangSong_GB2312"/>
      <w:kern w:val="2"/>
      <w:sz w:val="28"/>
    </w:rPr>
  </w:style>
  <w:style w:type="character" w:customStyle="1" w:styleId="90">
    <w:name w:val="content1"/>
    <w:qFormat/>
    <w:uiPriority w:val="0"/>
    <w:rPr>
      <w:sz w:val="21"/>
      <w:szCs w:val="21"/>
    </w:rPr>
  </w:style>
  <w:style w:type="character" w:customStyle="1" w:styleId="91">
    <w:name w:val="标题  4 Char Char"/>
    <w:link w:val="92"/>
    <w:qFormat/>
    <w:uiPriority w:val="0"/>
    <w:rPr>
      <w:rFonts w:ascii="Arial" w:hAnsi="Arial"/>
      <w:b/>
      <w:bCs/>
      <w:kern w:val="2"/>
      <w:sz w:val="24"/>
      <w:szCs w:val="28"/>
    </w:rPr>
  </w:style>
  <w:style w:type="paragraph" w:customStyle="1" w:styleId="92">
    <w:name w:val="标题  4"/>
    <w:basedOn w:val="5"/>
    <w:link w:val="91"/>
    <w:qFormat/>
    <w:uiPriority w:val="0"/>
    <w:pPr>
      <w:spacing w:before="120" w:after="120"/>
    </w:pPr>
    <w:rPr>
      <w:rFonts w:hint="default" w:ascii="Arial" w:eastAsia="宋体"/>
      <w:b/>
      <w:bCs/>
      <w:kern w:val="2"/>
      <w:sz w:val="24"/>
      <w:szCs w:val="28"/>
    </w:rPr>
  </w:style>
  <w:style w:type="character" w:customStyle="1" w:styleId="93">
    <w:name w:val="Char Char2"/>
    <w:qFormat/>
    <w:uiPriority w:val="0"/>
    <w:rPr>
      <w:rFonts w:ascii="宋体" w:hAnsi="Courier New" w:eastAsia="FangSong_GB2312"/>
      <w:kern w:val="2"/>
      <w:sz w:val="28"/>
      <w:lang w:val="en-US" w:eastAsia="zh-CN" w:bidi="ar-SA"/>
    </w:rPr>
  </w:style>
  <w:style w:type="character" w:customStyle="1" w:styleId="94">
    <w:name w:val="正文文本缩进 字符"/>
    <w:qFormat/>
    <w:locked/>
    <w:uiPriority w:val="0"/>
    <w:rPr>
      <w:rFonts w:eastAsia="宋体"/>
      <w:kern w:val="2"/>
      <w:sz w:val="28"/>
      <w:lang w:val="en-US" w:eastAsia="zh-CN" w:bidi="ar-SA"/>
    </w:rPr>
  </w:style>
  <w:style w:type="character" w:customStyle="1" w:styleId="95">
    <w:name w:val="陆晶 正文 Char"/>
    <w:link w:val="96"/>
    <w:qFormat/>
    <w:uiPriority w:val="0"/>
    <w:rPr>
      <w:color w:val="000000"/>
      <w:spacing w:val="6"/>
      <w:sz w:val="21"/>
      <w:szCs w:val="21"/>
      <w:lang w:val="zh-CN"/>
    </w:rPr>
  </w:style>
  <w:style w:type="paragraph" w:customStyle="1" w:styleId="96">
    <w:name w:val="陆晶 正文"/>
    <w:basedOn w:val="1"/>
    <w:link w:val="95"/>
    <w:qFormat/>
    <w:uiPriority w:val="0"/>
    <w:pPr>
      <w:tabs>
        <w:tab w:val="left" w:pos="5580"/>
      </w:tabs>
      <w:spacing w:line="360" w:lineRule="auto"/>
      <w:ind w:firstLine="444" w:firstLineChars="200"/>
    </w:pPr>
    <w:rPr>
      <w:color w:val="000000"/>
      <w:spacing w:val="6"/>
      <w:kern w:val="0"/>
      <w:szCs w:val="21"/>
      <w:lang w:val="zh-CN"/>
    </w:rPr>
  </w:style>
  <w:style w:type="character" w:customStyle="1" w:styleId="97">
    <w:name w:val="样式 四号"/>
    <w:qFormat/>
    <w:uiPriority w:val="0"/>
    <w:rPr>
      <w:sz w:val="28"/>
    </w:rPr>
  </w:style>
  <w:style w:type="character" w:customStyle="1" w:styleId="98">
    <w:name w:val="样式 小四 Char"/>
    <w:link w:val="99"/>
    <w:qFormat/>
    <w:uiPriority w:val="0"/>
    <w:rPr>
      <w:rFonts w:cs="宋体"/>
      <w:kern w:val="2"/>
      <w:sz w:val="24"/>
    </w:rPr>
  </w:style>
  <w:style w:type="paragraph" w:customStyle="1" w:styleId="99">
    <w:name w:val="样式 小四"/>
    <w:basedOn w:val="1"/>
    <w:link w:val="98"/>
    <w:qFormat/>
    <w:uiPriority w:val="0"/>
    <w:pPr>
      <w:spacing w:line="360" w:lineRule="auto"/>
      <w:ind w:firstLine="200" w:firstLineChars="200"/>
    </w:pPr>
    <w:rPr>
      <w:sz w:val="24"/>
      <w:szCs w:val="20"/>
    </w:rPr>
  </w:style>
  <w:style w:type="character" w:customStyle="1" w:styleId="100">
    <w:name w:val="Char Char21"/>
    <w:qFormat/>
    <w:uiPriority w:val="0"/>
    <w:rPr>
      <w:rFonts w:eastAsia="宋体"/>
      <w:b/>
      <w:bCs/>
      <w:kern w:val="44"/>
      <w:sz w:val="44"/>
      <w:szCs w:val="44"/>
      <w:lang w:val="en-US" w:eastAsia="zh-CN" w:bidi="ar-SA"/>
    </w:rPr>
  </w:style>
  <w:style w:type="character" w:customStyle="1" w:styleId="101">
    <w:name w:val="标题 2 Char1"/>
    <w:link w:val="3"/>
    <w:qFormat/>
    <w:uiPriority w:val="0"/>
    <w:rPr>
      <w:rFonts w:ascii="Arial" w:hAnsi="Arial" w:eastAsia="黑体"/>
      <w:b/>
      <w:bCs/>
      <w:kern w:val="2"/>
      <w:sz w:val="32"/>
      <w:szCs w:val="32"/>
    </w:rPr>
  </w:style>
  <w:style w:type="character" w:customStyle="1" w:styleId="102">
    <w:name w:val="纯文本 Char"/>
    <w:qFormat/>
    <w:uiPriority w:val="0"/>
    <w:rPr>
      <w:rFonts w:ascii="宋体" w:hAnsi="Courier New" w:eastAsia="FangSong_GB2312"/>
      <w:kern w:val="2"/>
      <w:sz w:val="28"/>
      <w:lang w:val="en-US" w:eastAsia="zh-CN" w:bidi="ar-SA"/>
    </w:rPr>
  </w:style>
  <w:style w:type="character" w:customStyle="1" w:styleId="103">
    <w:name w:val="表格标题 Char Char"/>
    <w:link w:val="104"/>
    <w:qFormat/>
    <w:uiPriority w:val="0"/>
    <w:rPr>
      <w:rFonts w:ascii="宋体" w:hAnsi="宋体"/>
      <w:kern w:val="40"/>
      <w:sz w:val="21"/>
    </w:rPr>
  </w:style>
  <w:style w:type="paragraph" w:customStyle="1" w:styleId="104">
    <w:name w:val="表格标题"/>
    <w:basedOn w:val="11"/>
    <w:link w:val="103"/>
    <w:qFormat/>
    <w:uiPriority w:val="0"/>
    <w:pPr>
      <w:widowControl w:val="0"/>
      <w:snapToGrid/>
      <w:spacing w:before="0" w:after="0" w:line="360" w:lineRule="auto"/>
      <w:ind w:right="0"/>
      <w:jc w:val="center"/>
    </w:pPr>
    <w:rPr>
      <w:rFonts w:ascii="宋体" w:hAnsi="宋体"/>
      <w:kern w:val="40"/>
      <w:sz w:val="21"/>
    </w:rPr>
  </w:style>
  <w:style w:type="character" w:customStyle="1" w:styleId="105">
    <w:name w:val="样式4 Char Char"/>
    <w:qFormat/>
    <w:uiPriority w:val="0"/>
    <w:rPr>
      <w:kern w:val="2"/>
      <w:sz w:val="21"/>
    </w:rPr>
  </w:style>
  <w:style w:type="character" w:customStyle="1" w:styleId="106">
    <w:name w:val="style21"/>
    <w:qFormat/>
    <w:uiPriority w:val="0"/>
    <w:rPr>
      <w:color w:val="000000"/>
    </w:rPr>
  </w:style>
  <w:style w:type="character" w:customStyle="1" w:styleId="107">
    <w:name w:val="尾注文本 Char"/>
    <w:basedOn w:val="36"/>
    <w:link w:val="19"/>
    <w:qFormat/>
    <w:uiPriority w:val="0"/>
    <w:rPr>
      <w:kern w:val="2"/>
      <w:sz w:val="21"/>
    </w:rPr>
  </w:style>
  <w:style w:type="character" w:customStyle="1" w:styleId="108">
    <w:name w:val="纯文本 Char1"/>
    <w:basedOn w:val="36"/>
    <w:qFormat/>
    <w:uiPriority w:val="0"/>
    <w:rPr>
      <w:rFonts w:ascii="宋体" w:hAnsi="Courier New" w:cs="Courier New"/>
      <w:kern w:val="2"/>
      <w:sz w:val="21"/>
      <w:szCs w:val="21"/>
    </w:rPr>
  </w:style>
  <w:style w:type="character" w:customStyle="1" w:styleId="109">
    <w:name w:val="正文文本缩进 3 Char"/>
    <w:basedOn w:val="36"/>
    <w:link w:val="24"/>
    <w:qFormat/>
    <w:uiPriority w:val="0"/>
    <w:rPr>
      <w:rFonts w:ascii="宋体" w:hAnsi="宋体"/>
      <w:kern w:val="2"/>
      <w:sz w:val="28"/>
    </w:rPr>
  </w:style>
  <w:style w:type="character" w:customStyle="1" w:styleId="110">
    <w:name w:val="正文文本缩进 2 Char"/>
    <w:basedOn w:val="36"/>
    <w:link w:val="18"/>
    <w:qFormat/>
    <w:uiPriority w:val="0"/>
    <w:rPr>
      <w:kern w:val="2"/>
      <w:sz w:val="28"/>
    </w:rPr>
  </w:style>
  <w:style w:type="character" w:customStyle="1" w:styleId="111">
    <w:name w:val="正文文本 2 Char"/>
    <w:basedOn w:val="36"/>
    <w:link w:val="27"/>
    <w:qFormat/>
    <w:uiPriority w:val="0"/>
    <w:rPr>
      <w:kern w:val="2"/>
      <w:sz w:val="21"/>
    </w:rPr>
  </w:style>
  <w:style w:type="paragraph" w:customStyle="1" w:styleId="112">
    <w:name w:val="4"/>
    <w:basedOn w:val="11"/>
    <w:next w:val="32"/>
    <w:qFormat/>
    <w:uiPriority w:val="0"/>
    <w:pPr>
      <w:widowControl w:val="0"/>
      <w:snapToGrid/>
      <w:spacing w:before="0" w:after="0" w:line="400" w:lineRule="exact"/>
      <w:ind w:right="0" w:firstLine="420" w:firstLineChars="100"/>
    </w:pPr>
    <w:rPr>
      <w:kern w:val="2"/>
      <w:sz w:val="28"/>
    </w:rPr>
  </w:style>
  <w:style w:type="character" w:customStyle="1" w:styleId="113">
    <w:name w:val="HTML 预设格式 Char"/>
    <w:basedOn w:val="36"/>
    <w:link w:val="28"/>
    <w:qFormat/>
    <w:uiPriority w:val="0"/>
    <w:rPr>
      <w:rFonts w:ascii="Arial" w:hAnsi="Arial" w:cs="Arial"/>
      <w:sz w:val="21"/>
      <w:szCs w:val="21"/>
    </w:rPr>
  </w:style>
  <w:style w:type="paragraph" w:customStyle="1" w:styleId="114">
    <w:name w:val="Char Char Char Char Char1 Char"/>
    <w:basedOn w:val="1"/>
    <w:qFormat/>
    <w:uiPriority w:val="0"/>
    <w:pPr>
      <w:spacing w:after="160" w:line="240" w:lineRule="exact"/>
      <w:jc w:val="left"/>
    </w:pPr>
    <w:rPr>
      <w:szCs w:val="20"/>
    </w:rPr>
  </w:style>
  <w:style w:type="paragraph" w:customStyle="1" w:styleId="115">
    <w:name w:val="1"/>
    <w:basedOn w:val="1"/>
    <w:next w:val="13"/>
    <w:qFormat/>
    <w:uiPriority w:val="0"/>
    <w:pPr>
      <w:spacing w:line="360" w:lineRule="auto"/>
      <w:ind w:firstLine="480" w:firstLineChars="200"/>
    </w:pPr>
    <w:rPr>
      <w:rFonts w:ascii="FangSong_GB2312" w:eastAsia="FangSong_GB2312"/>
      <w:sz w:val="24"/>
      <w:szCs w:val="20"/>
    </w:rPr>
  </w:style>
  <w:style w:type="paragraph" w:customStyle="1" w:styleId="116">
    <w:name w:val="报告正文"/>
    <w:basedOn w:val="1"/>
    <w:link w:val="199"/>
    <w:qFormat/>
    <w:uiPriority w:val="0"/>
    <w:pPr>
      <w:adjustRightInd w:val="0"/>
      <w:snapToGrid w:val="0"/>
      <w:spacing w:line="460" w:lineRule="atLeast"/>
      <w:ind w:firstLine="200" w:firstLineChars="200"/>
    </w:pPr>
    <w:rPr>
      <w:sz w:val="24"/>
      <w:szCs w:val="20"/>
    </w:rPr>
  </w:style>
  <w:style w:type="paragraph" w:customStyle="1" w:styleId="117">
    <w:name w:val="Char1 Char Char Char Char Char Char"/>
    <w:basedOn w:val="1"/>
    <w:qFormat/>
    <w:uiPriority w:val="0"/>
    <w:rPr>
      <w:snapToGrid w:val="0"/>
      <w:kern w:val="0"/>
      <w:sz w:val="24"/>
      <w:szCs w:val="20"/>
    </w:rPr>
  </w:style>
  <w:style w:type="paragraph" w:customStyle="1" w:styleId="118">
    <w:name w:val="pic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119">
    <w:name w:val="无间隔1"/>
    <w:qFormat/>
    <w:uiPriority w:val="1"/>
    <w:pPr>
      <w:widowControl w:val="0"/>
      <w:adjustRightInd w:val="0"/>
      <w:snapToGrid w:val="0"/>
      <w:jc w:val="center"/>
    </w:pPr>
    <w:rPr>
      <w:rFonts w:ascii="Times New Roman" w:hAnsi="Times New Roman" w:eastAsia="宋体" w:cs="Times New Roman"/>
      <w:kern w:val="2"/>
      <w:sz w:val="21"/>
      <w:lang w:val="en-US" w:eastAsia="zh-CN" w:bidi="ar-SA"/>
    </w:rPr>
  </w:style>
  <w:style w:type="paragraph" w:customStyle="1" w:styleId="120">
    <w:name w:val="小标题"/>
    <w:basedOn w:val="1"/>
    <w:qFormat/>
    <w:uiPriority w:val="0"/>
    <w:pPr>
      <w:spacing w:line="360" w:lineRule="auto"/>
      <w:ind w:firstLine="480" w:firstLineChars="200"/>
    </w:pPr>
    <w:rPr>
      <w:bCs/>
      <w:sz w:val="24"/>
    </w:rPr>
  </w:style>
  <w:style w:type="paragraph" w:customStyle="1" w:styleId="121">
    <w:name w:val="默认段落字体 Para Char Char Char Char Char Char Char"/>
    <w:basedOn w:val="1"/>
    <w:qFormat/>
    <w:uiPriority w:val="0"/>
    <w:pPr>
      <w:spacing w:line="360" w:lineRule="auto"/>
      <w:ind w:firstLine="200" w:firstLineChars="200"/>
    </w:pPr>
    <w:rPr>
      <w:szCs w:val="20"/>
    </w:rPr>
  </w:style>
  <w:style w:type="paragraph" w:customStyle="1" w:styleId="122">
    <w:name w:val="样式 正文首行缩进 + 首行缩进:  2 字符1"/>
    <w:basedOn w:val="32"/>
    <w:qFormat/>
    <w:uiPriority w:val="0"/>
    <w:pPr>
      <w:spacing w:after="0" w:line="360" w:lineRule="auto"/>
      <w:ind w:firstLine="480" w:firstLineChars="200"/>
    </w:pPr>
    <w:rPr>
      <w:sz w:val="24"/>
    </w:rPr>
  </w:style>
  <w:style w:type="paragraph" w:customStyle="1" w:styleId="123">
    <w:name w:val="表内格式"/>
    <w:basedOn w:val="1"/>
    <w:link w:val="205"/>
    <w:qFormat/>
    <w:uiPriority w:val="0"/>
    <w:pPr>
      <w:jc w:val="center"/>
    </w:pPr>
    <w:rPr>
      <w:szCs w:val="20"/>
    </w:rPr>
  </w:style>
  <w:style w:type="paragraph" w:customStyle="1" w:styleId="124">
    <w:name w:val="Char Char Char Char Char Char Char"/>
    <w:basedOn w:val="1"/>
    <w:qFormat/>
    <w:uiPriority w:val="0"/>
  </w:style>
  <w:style w:type="paragraph" w:customStyle="1" w:styleId="125">
    <w:name w:val="xl37"/>
    <w:basedOn w:val="1"/>
    <w:qFormat/>
    <w:uiPriority w:val="0"/>
    <w:pPr>
      <w:widowControl/>
      <w:spacing w:before="100" w:beforeAutospacing="1" w:after="100" w:afterAutospacing="1"/>
      <w:jc w:val="center"/>
    </w:pPr>
    <w:rPr>
      <w:rFonts w:ascii="宋体" w:hAnsi="宋体"/>
      <w:b/>
      <w:bCs/>
      <w:color w:val="000000"/>
      <w:kern w:val="0"/>
      <w:sz w:val="28"/>
      <w:szCs w:val="28"/>
    </w:rPr>
  </w:style>
  <w:style w:type="paragraph" w:customStyle="1" w:styleId="126">
    <w:name w:val="正文式样"/>
    <w:basedOn w:val="6"/>
    <w:semiHidden/>
    <w:qFormat/>
    <w:uiPriority w:val="0"/>
    <w:pPr>
      <w:ind w:firstLine="601" w:firstLineChars="0"/>
    </w:pPr>
    <w:rPr>
      <w:sz w:val="28"/>
    </w:rPr>
  </w:style>
  <w:style w:type="paragraph" w:customStyle="1" w:styleId="127">
    <w:name w:val="报告书表格"/>
    <w:basedOn w:val="1"/>
    <w:qFormat/>
    <w:uiPriority w:val="0"/>
    <w:pPr>
      <w:adjustRightInd w:val="0"/>
      <w:spacing w:before="60" w:after="60" w:line="240" w:lineRule="atLeast"/>
      <w:jc w:val="center"/>
      <w:textAlignment w:val="baseline"/>
    </w:pPr>
    <w:rPr>
      <w:kern w:val="0"/>
      <w:szCs w:val="20"/>
    </w:rPr>
  </w:style>
  <w:style w:type="paragraph" w:customStyle="1" w:styleId="128">
    <w:name w:val="样式 首行缩进:  2 字符"/>
    <w:basedOn w:val="1"/>
    <w:qFormat/>
    <w:uiPriority w:val="0"/>
    <w:pPr>
      <w:tabs>
        <w:tab w:val="left" w:pos="1182"/>
      </w:tabs>
      <w:spacing w:line="520" w:lineRule="exact"/>
      <w:ind w:left="1182" w:hanging="720"/>
    </w:pPr>
    <w:rPr>
      <w:rFonts w:eastAsia="FangSong_GB2312" w:cs="宋体"/>
      <w:sz w:val="24"/>
      <w:szCs w:val="20"/>
    </w:rPr>
  </w:style>
  <w:style w:type="paragraph" w:customStyle="1" w:styleId="129">
    <w:name w:val="陆晶 标题3"/>
    <w:basedOn w:val="1"/>
    <w:qFormat/>
    <w:uiPriority w:val="0"/>
    <w:pPr>
      <w:keepNext/>
      <w:keepLines/>
      <w:spacing w:line="360" w:lineRule="auto"/>
      <w:ind w:left="567" w:hanging="567"/>
      <w:jc w:val="left"/>
      <w:outlineLvl w:val="2"/>
    </w:pPr>
    <w:rPr>
      <w:b/>
      <w:bCs/>
      <w:sz w:val="24"/>
      <w:szCs w:val="28"/>
    </w:rPr>
  </w:style>
  <w:style w:type="paragraph" w:customStyle="1" w:styleId="130">
    <w:name w:val="MTDisplayEquation"/>
    <w:basedOn w:val="1"/>
    <w:next w:val="1"/>
    <w:qFormat/>
    <w:uiPriority w:val="0"/>
    <w:pPr>
      <w:tabs>
        <w:tab w:val="center" w:pos="4160"/>
        <w:tab w:val="right" w:pos="8300"/>
      </w:tabs>
      <w:spacing w:line="400" w:lineRule="exact"/>
    </w:pPr>
    <w:rPr>
      <w:rFonts w:ascii="宋体"/>
      <w:sz w:val="32"/>
      <w:szCs w:val="32"/>
    </w:rPr>
  </w:style>
  <w:style w:type="paragraph" w:customStyle="1" w:styleId="131">
    <w:name w:val="样式9"/>
    <w:basedOn w:val="1"/>
    <w:qFormat/>
    <w:uiPriority w:val="0"/>
    <w:pPr>
      <w:spacing w:line="520" w:lineRule="exact"/>
      <w:ind w:firstLine="560" w:firstLineChars="200"/>
    </w:pPr>
    <w:rPr>
      <w:color w:val="000000"/>
      <w:sz w:val="28"/>
      <w:szCs w:val="28"/>
    </w:rPr>
  </w:style>
  <w:style w:type="paragraph" w:customStyle="1" w:styleId="132">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3">
    <w:name w:val="Char Char4 Char Char"/>
    <w:basedOn w:val="1"/>
    <w:semiHidden/>
    <w:qFormat/>
    <w:uiPriority w:val="0"/>
    <w:pPr>
      <w:spacing w:line="360" w:lineRule="auto"/>
      <w:ind w:firstLine="200" w:firstLineChars="200"/>
    </w:pPr>
    <w:rPr>
      <w:rFonts w:ascii="宋体" w:hAnsi="宋体" w:cs="宋体"/>
      <w:sz w:val="24"/>
    </w:rPr>
  </w:style>
  <w:style w:type="paragraph" w:customStyle="1" w:styleId="134">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5">
    <w:name w:val="1表格"/>
    <w:basedOn w:val="1"/>
    <w:qFormat/>
    <w:uiPriority w:val="0"/>
    <w:pPr>
      <w:snapToGrid w:val="0"/>
      <w:spacing w:line="160" w:lineRule="atLeast"/>
      <w:jc w:val="center"/>
    </w:pPr>
    <w:rPr>
      <w:rFonts w:eastAsia="FangSong_GB2312"/>
      <w:szCs w:val="20"/>
    </w:rPr>
  </w:style>
  <w:style w:type="paragraph" w:customStyle="1" w:styleId="136">
    <w:name w:val="样式 标题 3 + 段前: 0.5 行"/>
    <w:basedOn w:val="4"/>
    <w:qFormat/>
    <w:uiPriority w:val="0"/>
    <w:pPr>
      <w:widowControl w:val="0"/>
      <w:spacing w:beforeLines="50"/>
      <w:jc w:val="both"/>
    </w:pPr>
    <w:rPr>
      <w:rFonts w:eastAsia="黑体" w:cs="宋体"/>
      <w:kern w:val="2"/>
      <w:sz w:val="28"/>
      <w:szCs w:val="20"/>
    </w:rPr>
  </w:style>
  <w:style w:type="paragraph" w:customStyle="1" w:styleId="137">
    <w:name w:val="1正文段落"/>
    <w:basedOn w:val="1"/>
    <w:qFormat/>
    <w:uiPriority w:val="0"/>
    <w:pPr>
      <w:spacing w:line="360" w:lineRule="auto"/>
      <w:ind w:firstLine="480" w:firstLineChars="200"/>
      <w:jc w:val="left"/>
    </w:pPr>
    <w:rPr>
      <w:snapToGrid w:val="0"/>
      <w:kern w:val="0"/>
      <w:sz w:val="24"/>
    </w:rPr>
  </w:style>
  <w:style w:type="paragraph" w:customStyle="1" w:styleId="138">
    <w:name w:val="中文报告书样式"/>
    <w:basedOn w:val="1"/>
    <w:qFormat/>
    <w:uiPriority w:val="0"/>
    <w:pPr>
      <w:adjustRightInd w:val="0"/>
      <w:spacing w:line="480" w:lineRule="atLeast"/>
      <w:ind w:firstLine="482"/>
      <w:textAlignment w:val="baseline"/>
    </w:pPr>
    <w:rPr>
      <w:kern w:val="24"/>
      <w:sz w:val="24"/>
      <w:szCs w:val="20"/>
    </w:rPr>
  </w:style>
  <w:style w:type="paragraph" w:customStyle="1" w:styleId="139">
    <w:name w:val="样式3"/>
    <w:basedOn w:val="3"/>
    <w:qFormat/>
    <w:uiPriority w:val="0"/>
    <w:pPr>
      <w:spacing w:before="0" w:after="0" w:line="240" w:lineRule="auto"/>
      <w:ind w:right="72" w:firstLine="118" w:firstLineChars="42"/>
      <w:outlineLvl w:val="9"/>
    </w:pPr>
    <w:rPr>
      <w:rFonts w:ascii="宋体" w:hAnsi="宋体" w:eastAsia="宋体"/>
      <w:bCs w:val="0"/>
      <w:sz w:val="28"/>
      <w:szCs w:val="28"/>
    </w:rPr>
  </w:style>
  <w:style w:type="paragraph" w:customStyle="1" w:styleId="140">
    <w:name w:val="正文样式1"/>
    <w:basedOn w:val="1"/>
    <w:qFormat/>
    <w:uiPriority w:val="0"/>
    <w:pPr>
      <w:spacing w:line="360" w:lineRule="auto"/>
      <w:ind w:firstLine="480" w:firstLineChars="200"/>
    </w:pPr>
    <w:rPr>
      <w:rFonts w:cs="宋体"/>
      <w:sz w:val="24"/>
      <w:szCs w:val="20"/>
    </w:rPr>
  </w:style>
  <w:style w:type="paragraph" w:customStyle="1" w:styleId="141">
    <w:name w:val="正文缩近"/>
    <w:basedOn w:val="1"/>
    <w:qFormat/>
    <w:uiPriority w:val="0"/>
    <w:pPr>
      <w:spacing w:line="360" w:lineRule="auto"/>
      <w:ind w:firstLine="560" w:firstLineChars="200"/>
    </w:pPr>
    <w:rPr>
      <w:sz w:val="28"/>
      <w:szCs w:val="20"/>
    </w:rPr>
  </w:style>
  <w:style w:type="paragraph" w:customStyle="1" w:styleId="142">
    <w:name w:val="表文"/>
    <w:basedOn w:val="11"/>
    <w:next w:val="6"/>
    <w:qFormat/>
    <w:uiPriority w:val="0"/>
    <w:pPr>
      <w:widowControl w:val="0"/>
      <w:snapToGrid/>
      <w:spacing w:before="0" w:after="0" w:line="320" w:lineRule="exact"/>
      <w:ind w:right="0"/>
      <w:jc w:val="center"/>
    </w:pPr>
    <w:rPr>
      <w:kern w:val="2"/>
      <w:sz w:val="24"/>
    </w:rPr>
  </w:style>
  <w:style w:type="paragraph" w:customStyle="1" w:styleId="143">
    <w:name w:val="文本"/>
    <w:basedOn w:val="1"/>
    <w:next w:val="1"/>
    <w:qFormat/>
    <w:uiPriority w:val="0"/>
    <w:pPr>
      <w:spacing w:line="360" w:lineRule="auto"/>
      <w:ind w:firstLine="200" w:firstLineChars="200"/>
    </w:pPr>
    <w:rPr>
      <w:spacing w:val="15"/>
      <w:sz w:val="28"/>
    </w:rPr>
  </w:style>
  <w:style w:type="paragraph" w:customStyle="1" w:styleId="144">
    <w:name w:val="Char"/>
    <w:basedOn w:val="1"/>
    <w:qFormat/>
    <w:uiPriority w:val="0"/>
    <w:pPr>
      <w:ind w:firstLine="200" w:firstLineChars="200"/>
    </w:pPr>
  </w:style>
  <w:style w:type="paragraph" w:customStyle="1" w:styleId="145">
    <w:name w:val="默认段落字体 Para Char"/>
    <w:basedOn w:val="1"/>
    <w:next w:val="1"/>
    <w:qFormat/>
    <w:uiPriority w:val="0"/>
    <w:pPr>
      <w:spacing w:line="360" w:lineRule="auto"/>
      <w:ind w:firstLine="200" w:firstLineChars="200"/>
    </w:pPr>
    <w:rPr>
      <w:szCs w:val="20"/>
    </w:rPr>
  </w:style>
  <w:style w:type="paragraph" w:customStyle="1" w:styleId="146">
    <w:name w:val="陆晶 表格式"/>
    <w:basedOn w:val="1"/>
    <w:qFormat/>
    <w:uiPriority w:val="0"/>
    <w:pPr>
      <w:tabs>
        <w:tab w:val="left" w:pos="637"/>
      </w:tabs>
      <w:jc w:val="center"/>
    </w:pPr>
    <w:rPr>
      <w:color w:val="000000"/>
      <w:szCs w:val="18"/>
    </w:rPr>
  </w:style>
  <w:style w:type="paragraph" w:customStyle="1" w:styleId="147">
    <w:name w:val="基准页脚样式"/>
    <w:basedOn w:val="11"/>
    <w:qFormat/>
    <w:uiPriority w:val="0"/>
    <w:pPr>
      <w:widowControl w:val="0"/>
      <w:snapToGrid/>
      <w:spacing w:before="0" w:after="0" w:line="288" w:lineRule="auto"/>
      <w:ind w:right="0"/>
      <w:jc w:val="center"/>
    </w:pPr>
    <w:rPr>
      <w:rFonts w:ascii="宋体" w:hAnsi="宋体"/>
      <w:color w:val="000000"/>
      <w:kern w:val="2"/>
      <w:sz w:val="28"/>
    </w:rPr>
  </w:style>
  <w:style w:type="paragraph" w:customStyle="1" w:styleId="148">
    <w:name w:val="报告"/>
    <w:basedOn w:val="1"/>
    <w:qFormat/>
    <w:uiPriority w:val="0"/>
    <w:pPr>
      <w:spacing w:line="360" w:lineRule="auto"/>
      <w:ind w:firstLine="560" w:firstLineChars="200"/>
    </w:pPr>
    <w:rPr>
      <w:sz w:val="28"/>
    </w:rPr>
  </w:style>
  <w:style w:type="paragraph" w:customStyle="1" w:styleId="149">
    <w:name w:val="无间隔2"/>
    <w:qFormat/>
    <w:uiPriority w:val="1"/>
    <w:pPr>
      <w:widowControl w:val="0"/>
      <w:adjustRightInd w:val="0"/>
      <w:snapToGrid w:val="0"/>
      <w:jc w:val="center"/>
    </w:pPr>
    <w:rPr>
      <w:rFonts w:ascii="Times New Roman" w:hAnsi="Times New Roman" w:eastAsia="宋体" w:cs="Times New Roman"/>
      <w:kern w:val="2"/>
      <w:sz w:val="21"/>
      <w:lang w:val="en-US" w:eastAsia="zh-CN" w:bidi="ar-SA"/>
    </w:rPr>
  </w:style>
  <w:style w:type="paragraph" w:customStyle="1" w:styleId="150">
    <w:name w:val="Char Char Char"/>
    <w:basedOn w:val="1"/>
    <w:qFormat/>
    <w:uiPriority w:val="0"/>
    <w:pPr>
      <w:snapToGrid w:val="0"/>
      <w:spacing w:line="360" w:lineRule="auto"/>
      <w:ind w:firstLine="200" w:firstLineChars="200"/>
      <w:outlineLvl w:val="2"/>
    </w:pPr>
    <w:rPr>
      <w:rFonts w:eastAsia="FangSong_GB2312"/>
      <w:sz w:val="24"/>
    </w:rPr>
  </w:style>
  <w:style w:type="paragraph" w:customStyle="1" w:styleId="151">
    <w:name w:val="图表名"/>
    <w:basedOn w:val="1"/>
    <w:qFormat/>
    <w:uiPriority w:val="0"/>
    <w:pPr>
      <w:adjustRightInd w:val="0"/>
      <w:snapToGrid w:val="0"/>
      <w:jc w:val="center"/>
    </w:pPr>
    <w:rPr>
      <w:b/>
      <w:szCs w:val="21"/>
    </w:rPr>
  </w:style>
  <w:style w:type="paragraph" w:customStyle="1" w:styleId="152">
    <w:name w:val="报告表  段"/>
    <w:basedOn w:val="1"/>
    <w:qFormat/>
    <w:uiPriority w:val="0"/>
    <w:pPr>
      <w:adjustRightInd w:val="0"/>
      <w:spacing w:line="360" w:lineRule="auto"/>
      <w:ind w:firstLine="505"/>
      <w:textAlignment w:val="baseline"/>
    </w:pPr>
    <w:rPr>
      <w:rFonts w:ascii="宋体"/>
      <w:kern w:val="0"/>
      <w:sz w:val="24"/>
      <w:szCs w:val="20"/>
    </w:rPr>
  </w:style>
  <w:style w:type="paragraph" w:customStyle="1" w:styleId="153">
    <w:name w:val="列出段落1"/>
    <w:basedOn w:val="1"/>
    <w:qFormat/>
    <w:uiPriority w:val="99"/>
    <w:pPr>
      <w:ind w:firstLine="420" w:firstLineChars="200"/>
    </w:pPr>
    <w:rPr>
      <w:szCs w:val="20"/>
    </w:rPr>
  </w:style>
  <w:style w:type="paragraph" w:customStyle="1" w:styleId="154">
    <w:name w:val="Char Char Char Char Char Char"/>
    <w:basedOn w:val="1"/>
    <w:qFormat/>
    <w:uiPriority w:val="0"/>
  </w:style>
  <w:style w:type="paragraph" w:customStyle="1" w:styleId="155">
    <w:name w:val="居中正文"/>
    <w:basedOn w:val="32"/>
    <w:qFormat/>
    <w:uiPriority w:val="0"/>
    <w:pPr>
      <w:adjustRightInd w:val="0"/>
      <w:spacing w:before="120" w:after="0" w:line="360" w:lineRule="auto"/>
      <w:ind w:firstLine="0" w:firstLineChars="0"/>
      <w:jc w:val="center"/>
      <w:textAlignment w:val="baseline"/>
    </w:pPr>
    <w:rPr>
      <w:rFonts w:ascii="宋体"/>
      <w:kern w:val="28"/>
      <w:sz w:val="24"/>
      <w:szCs w:val="20"/>
    </w:rPr>
  </w:style>
  <w:style w:type="paragraph" w:customStyle="1" w:styleId="156">
    <w:name w:val="內文"/>
    <w:basedOn w:val="1"/>
    <w:qFormat/>
    <w:uiPriority w:val="0"/>
    <w:pPr>
      <w:widowControl/>
      <w:spacing w:before="100" w:beforeAutospacing="1" w:after="100" w:afterAutospacing="1"/>
      <w:jc w:val="left"/>
    </w:pPr>
    <w:rPr>
      <w:rFonts w:ascii="宋体" w:hAnsi="宋体" w:cs="宋体"/>
      <w:kern w:val="0"/>
      <w:sz w:val="24"/>
    </w:rPr>
  </w:style>
  <w:style w:type="paragraph" w:customStyle="1" w:styleId="157">
    <w:name w:val="正"/>
    <w:basedOn w:val="1"/>
    <w:qFormat/>
    <w:uiPriority w:val="0"/>
    <w:pPr>
      <w:ind w:firstLine="200" w:firstLineChars="200"/>
    </w:pPr>
    <w:rPr>
      <w:sz w:val="24"/>
    </w:rPr>
  </w:style>
  <w:style w:type="paragraph" w:customStyle="1" w:styleId="158">
    <w:name w:val="Char Char Char Char"/>
    <w:basedOn w:val="1"/>
    <w:qFormat/>
    <w:uiPriority w:val="0"/>
    <w:pPr>
      <w:spacing w:line="360" w:lineRule="auto"/>
      <w:ind w:firstLine="200" w:firstLineChars="200"/>
    </w:pPr>
    <w:rPr>
      <w:rFonts w:ascii="宋体" w:hAnsi="宋体" w:cs="宋体"/>
      <w:sz w:val="24"/>
    </w:rPr>
  </w:style>
  <w:style w:type="paragraph" w:customStyle="1" w:styleId="159">
    <w:name w:val="表头"/>
    <w:basedOn w:val="1"/>
    <w:link w:val="181"/>
    <w:qFormat/>
    <w:uiPriority w:val="0"/>
    <w:pPr>
      <w:adjustRightInd w:val="0"/>
      <w:spacing w:line="320" w:lineRule="atLeast"/>
      <w:jc w:val="center"/>
    </w:pPr>
    <w:rPr>
      <w:rFonts w:eastAsia="黑体"/>
      <w:spacing w:val="-10"/>
      <w:kern w:val="0"/>
      <w:szCs w:val="20"/>
    </w:rPr>
  </w:style>
  <w:style w:type="paragraph" w:customStyle="1" w:styleId="160">
    <w:name w:val="样式1"/>
    <w:basedOn w:val="1"/>
    <w:qFormat/>
    <w:uiPriority w:val="0"/>
    <w:pPr>
      <w:snapToGrid w:val="0"/>
      <w:spacing w:line="620" w:lineRule="exact"/>
      <w:ind w:firstLine="200" w:firstLineChars="200"/>
    </w:pPr>
    <w:rPr>
      <w:rFonts w:ascii="宋体" w:hAnsi="宋体"/>
      <w:sz w:val="28"/>
      <w:szCs w:val="20"/>
    </w:rPr>
  </w:style>
  <w:style w:type="paragraph" w:customStyle="1" w:styleId="161">
    <w:name w:val="2"/>
    <w:basedOn w:val="1"/>
    <w:next w:val="18"/>
    <w:qFormat/>
    <w:uiPriority w:val="0"/>
    <w:pPr>
      <w:spacing w:line="460" w:lineRule="exact"/>
      <w:ind w:firstLine="420"/>
    </w:pPr>
    <w:rPr>
      <w:sz w:val="24"/>
    </w:rPr>
  </w:style>
  <w:style w:type="paragraph" w:customStyle="1" w:styleId="162">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kern w:val="0"/>
      <w:sz w:val="18"/>
      <w:szCs w:val="20"/>
    </w:rPr>
  </w:style>
  <w:style w:type="paragraph" w:customStyle="1" w:styleId="163">
    <w:name w:val="正文1"/>
    <w:basedOn w:val="1"/>
    <w:qFormat/>
    <w:uiPriority w:val="0"/>
    <w:pPr>
      <w:adjustRightInd w:val="0"/>
      <w:snapToGrid w:val="0"/>
      <w:spacing w:line="420" w:lineRule="auto"/>
      <w:ind w:firstLine="560" w:firstLineChars="200"/>
      <w:textAlignment w:val="baseline"/>
    </w:pPr>
    <w:rPr>
      <w:rFonts w:ascii="宋体" w:hAnsi="宋体" w:cs="Arial"/>
      <w:bCs/>
      <w:snapToGrid w:val="0"/>
      <w:kern w:val="0"/>
      <w:sz w:val="28"/>
      <w:szCs w:val="28"/>
    </w:rPr>
  </w:style>
  <w:style w:type="paragraph" w:customStyle="1" w:styleId="164">
    <w:name w:val="表格式"/>
    <w:basedOn w:val="23"/>
    <w:qFormat/>
    <w:uiPriority w:val="0"/>
    <w:pPr>
      <w:spacing w:beforeLines="50" w:afterLines="50" w:line="200" w:lineRule="exact"/>
      <w:ind w:left="0" w:firstLine="0" w:firstLineChars="0"/>
      <w:jc w:val="center"/>
    </w:pPr>
  </w:style>
  <w:style w:type="paragraph" w:customStyle="1" w:styleId="165">
    <w:name w:val="奇页页眉样式"/>
    <w:basedOn w:val="1"/>
    <w:qFormat/>
    <w:uiPriority w:val="0"/>
    <w:pPr>
      <w:snapToGrid w:val="0"/>
      <w:spacing w:line="360" w:lineRule="exact"/>
      <w:jc w:val="center"/>
    </w:pPr>
    <w:rPr>
      <w:rFonts w:ascii="宋体" w:hAnsi="Arial"/>
      <w:color w:val="000000"/>
    </w:rPr>
  </w:style>
  <w:style w:type="paragraph" w:customStyle="1" w:styleId="166">
    <w:name w:val="p2"/>
    <w:basedOn w:val="1"/>
    <w:qFormat/>
    <w:uiPriority w:val="0"/>
    <w:pPr>
      <w:widowControl/>
      <w:spacing w:before="100" w:beforeAutospacing="1" w:after="100" w:afterAutospacing="1"/>
      <w:jc w:val="left"/>
    </w:pPr>
    <w:rPr>
      <w:rFonts w:ascii="宋体" w:hAnsi="宋体" w:cs="宋体"/>
      <w:kern w:val="0"/>
      <w:sz w:val="24"/>
    </w:rPr>
  </w:style>
  <w:style w:type="character" w:customStyle="1" w:styleId="167">
    <w:name w:val="标题 Char"/>
    <w:basedOn w:val="36"/>
    <w:qFormat/>
    <w:uiPriority w:val="0"/>
    <w:rPr>
      <w:rFonts w:ascii="Cambria" w:hAnsi="Cambria" w:cs="Times New Roman"/>
      <w:b/>
      <w:bCs/>
      <w:kern w:val="2"/>
      <w:sz w:val="32"/>
      <w:szCs w:val="32"/>
    </w:rPr>
  </w:style>
  <w:style w:type="character" w:customStyle="1" w:styleId="168">
    <w:name w:val="标题 Char1"/>
    <w:link w:val="30"/>
    <w:qFormat/>
    <w:uiPriority w:val="0"/>
    <w:rPr>
      <w:rFonts w:ascii="等线 Light" w:hAnsi="等线 Light"/>
      <w:b/>
      <w:bCs/>
      <w:kern w:val="2"/>
      <w:sz w:val="32"/>
      <w:szCs w:val="32"/>
    </w:rPr>
  </w:style>
  <w:style w:type="character" w:customStyle="1" w:styleId="169">
    <w:name w:val="表、图名 Char"/>
    <w:link w:val="170"/>
    <w:qFormat/>
    <w:uiPriority w:val="0"/>
    <w:rPr>
      <w:rFonts w:eastAsia="华文中宋"/>
      <w:b/>
      <w:color w:val="000000"/>
      <w:sz w:val="24"/>
      <w:szCs w:val="24"/>
    </w:rPr>
  </w:style>
  <w:style w:type="paragraph" w:customStyle="1" w:styleId="170">
    <w:name w:val="表、图名"/>
    <w:basedOn w:val="1"/>
    <w:link w:val="169"/>
    <w:qFormat/>
    <w:uiPriority w:val="0"/>
    <w:pPr>
      <w:adjustRightInd w:val="0"/>
      <w:snapToGrid w:val="0"/>
      <w:spacing w:line="500" w:lineRule="exact"/>
      <w:jc w:val="center"/>
      <w:outlineLvl w:val="4"/>
    </w:pPr>
    <w:rPr>
      <w:rFonts w:eastAsia="华文中宋"/>
      <w:b/>
      <w:color w:val="000000"/>
      <w:kern w:val="0"/>
      <w:sz w:val="24"/>
    </w:rPr>
  </w:style>
  <w:style w:type="paragraph" w:customStyle="1" w:styleId="171">
    <w:name w:val="华文中宋正文"/>
    <w:basedOn w:val="1"/>
    <w:next w:val="1"/>
    <w:qFormat/>
    <w:uiPriority w:val="0"/>
    <w:pPr>
      <w:adjustRightInd w:val="0"/>
      <w:snapToGrid w:val="0"/>
      <w:spacing w:line="500" w:lineRule="exact"/>
      <w:ind w:firstLine="200" w:firstLineChars="200"/>
      <w:jc w:val="left"/>
    </w:pPr>
    <w:rPr>
      <w:rFonts w:eastAsia="华文中宋"/>
      <w:sz w:val="24"/>
      <w:szCs w:val="22"/>
    </w:rPr>
  </w:style>
  <w:style w:type="character" w:customStyle="1" w:styleId="172">
    <w:name w:val="批注文字 字符"/>
    <w:semiHidden/>
    <w:qFormat/>
    <w:uiPriority w:val="0"/>
    <w:rPr>
      <w:kern w:val="2"/>
      <w:sz w:val="21"/>
    </w:rPr>
  </w:style>
  <w:style w:type="character" w:customStyle="1" w:styleId="173">
    <w:name w:val="正文缩进 Char1"/>
    <w:qFormat/>
    <w:uiPriority w:val="0"/>
    <w:rPr>
      <w:rFonts w:eastAsia="宋体"/>
      <w:kern w:val="2"/>
      <w:sz w:val="21"/>
      <w:lang w:val="en-US" w:eastAsia="zh-CN"/>
    </w:rPr>
  </w:style>
  <w:style w:type="paragraph" w:customStyle="1" w:styleId="174">
    <w:name w:val="Table Paragraph"/>
    <w:basedOn w:val="1"/>
    <w:unhideWhenUsed/>
    <w:qFormat/>
    <w:uiPriority w:val="1"/>
    <w:rPr>
      <w:rFonts w:ascii="Calibri" w:hAnsi="Calibri"/>
      <w:sz w:val="24"/>
      <w:szCs w:val="20"/>
    </w:rPr>
  </w:style>
  <w:style w:type="character" w:customStyle="1" w:styleId="175">
    <w:name w:val="正文(首行缩进) Char1"/>
    <w:qFormat/>
    <w:uiPriority w:val="0"/>
    <w:rPr>
      <w:rFonts w:eastAsia="宋体"/>
      <w:snapToGrid w:val="0"/>
      <w:color w:val="000000"/>
      <w:sz w:val="24"/>
      <w:szCs w:val="24"/>
    </w:rPr>
  </w:style>
  <w:style w:type="paragraph" w:customStyle="1" w:styleId="176">
    <w:name w:val="3级标题"/>
    <w:basedOn w:val="4"/>
    <w:qFormat/>
    <w:uiPriority w:val="0"/>
    <w:pPr>
      <w:keepNext w:val="0"/>
      <w:keepLines w:val="0"/>
      <w:widowControl w:val="0"/>
    </w:pPr>
    <w:rPr>
      <w:rFonts w:ascii="黑体" w:eastAsia="黑体"/>
      <w:kern w:val="0"/>
    </w:rPr>
  </w:style>
  <w:style w:type="paragraph" w:customStyle="1" w:styleId="177">
    <w:name w:val="表格1"/>
    <w:basedOn w:val="1"/>
    <w:next w:val="1"/>
    <w:qFormat/>
    <w:uiPriority w:val="0"/>
    <w:pPr>
      <w:topLinePunct/>
      <w:autoSpaceDE w:val="0"/>
      <w:autoSpaceDN w:val="0"/>
      <w:adjustRightInd w:val="0"/>
      <w:jc w:val="center"/>
      <w:textAlignment w:val="baseline"/>
    </w:pPr>
    <w:rPr>
      <w:rFonts w:ascii="宋体" w:hAnsi="Impact"/>
      <w:kern w:val="24"/>
      <w:sz w:val="28"/>
      <w:szCs w:val="20"/>
    </w:rPr>
  </w:style>
  <w:style w:type="paragraph" w:customStyle="1" w:styleId="178">
    <w:name w:val="环评一室报告表格文字"/>
    <w:basedOn w:val="1"/>
    <w:qFormat/>
    <w:uiPriority w:val="0"/>
    <w:pPr>
      <w:autoSpaceDE w:val="0"/>
      <w:autoSpaceDN w:val="0"/>
      <w:adjustRightInd w:val="0"/>
      <w:jc w:val="center"/>
    </w:pPr>
    <w:rPr>
      <w:rFonts w:hAnsi="宋体" w:cs="黑体"/>
      <w:szCs w:val="21"/>
      <w:lang w:val="zh-CN"/>
    </w:rPr>
  </w:style>
  <w:style w:type="paragraph" w:customStyle="1" w:styleId="179">
    <w:name w:val="标题四"/>
    <w:basedOn w:val="1"/>
    <w:qFormat/>
    <w:uiPriority w:val="0"/>
    <w:pPr>
      <w:spacing w:line="500" w:lineRule="exact"/>
    </w:pPr>
    <w:rPr>
      <w:rFonts w:ascii="楷体_GB2312" w:hAnsi="Calibri" w:eastAsia="楷体_GB2312" w:cs="宋体"/>
      <w:b/>
      <w:sz w:val="24"/>
    </w:rPr>
  </w:style>
  <w:style w:type="paragraph" w:customStyle="1" w:styleId="180">
    <w:name w:val="B正文"/>
    <w:basedOn w:val="1"/>
    <w:qFormat/>
    <w:uiPriority w:val="0"/>
    <w:pPr>
      <w:widowControl/>
      <w:spacing w:line="360" w:lineRule="auto"/>
      <w:ind w:firstLine="200" w:firstLineChars="200"/>
      <w:jc w:val="left"/>
    </w:pPr>
    <w:rPr>
      <w:rFonts w:cs="宋体"/>
      <w:kern w:val="0"/>
      <w:sz w:val="24"/>
    </w:rPr>
  </w:style>
  <w:style w:type="character" w:customStyle="1" w:styleId="181">
    <w:name w:val="表头 Char"/>
    <w:link w:val="159"/>
    <w:qFormat/>
    <w:uiPriority w:val="0"/>
    <w:rPr>
      <w:rFonts w:eastAsia="黑体"/>
      <w:spacing w:val="-10"/>
      <w:sz w:val="21"/>
    </w:rPr>
  </w:style>
  <w:style w:type="character" w:customStyle="1" w:styleId="182">
    <w:name w:val="表1 Char Char"/>
    <w:link w:val="183"/>
    <w:qFormat/>
    <w:uiPriority w:val="0"/>
  </w:style>
  <w:style w:type="paragraph" w:customStyle="1" w:styleId="183">
    <w:name w:val="表1"/>
    <w:basedOn w:val="1"/>
    <w:link w:val="182"/>
    <w:qFormat/>
    <w:uiPriority w:val="0"/>
    <w:pPr>
      <w:adjustRightInd w:val="0"/>
      <w:snapToGrid w:val="0"/>
      <w:spacing w:before="40" w:line="0" w:lineRule="atLeast"/>
      <w:ind w:firstLine="480" w:firstLineChars="200"/>
      <w:jc w:val="center"/>
    </w:pPr>
    <w:rPr>
      <w:kern w:val="0"/>
      <w:sz w:val="20"/>
      <w:szCs w:val="20"/>
    </w:rPr>
  </w:style>
  <w:style w:type="character" w:customStyle="1" w:styleId="184">
    <w:name w:val="正文 楷体 Char"/>
    <w:link w:val="185"/>
    <w:qFormat/>
    <w:locked/>
    <w:uiPriority w:val="0"/>
    <w:rPr>
      <w:rFonts w:ascii="楷体_GB2312" w:hAnsi="楷体_GB2312" w:eastAsia="楷体_GB2312" w:cs="宋体"/>
      <w:sz w:val="24"/>
      <w:szCs w:val="24"/>
    </w:rPr>
  </w:style>
  <w:style w:type="paragraph" w:customStyle="1" w:styleId="185">
    <w:name w:val="正文 楷体"/>
    <w:basedOn w:val="1"/>
    <w:link w:val="184"/>
    <w:qFormat/>
    <w:uiPriority w:val="0"/>
    <w:pPr>
      <w:widowControl/>
      <w:spacing w:line="500" w:lineRule="exact"/>
      <w:ind w:firstLine="200" w:firstLineChars="200"/>
      <w:jc w:val="left"/>
    </w:pPr>
    <w:rPr>
      <w:rFonts w:ascii="楷体_GB2312" w:hAnsi="楷体_GB2312" w:eastAsia="楷体_GB2312"/>
      <w:kern w:val="0"/>
      <w:sz w:val="24"/>
    </w:rPr>
  </w:style>
  <w:style w:type="character" w:customStyle="1" w:styleId="186">
    <w:name w:val="fontstyle01"/>
    <w:qFormat/>
    <w:uiPriority w:val="0"/>
    <w:rPr>
      <w:rFonts w:hint="eastAsia" w:ascii="宋体" w:hAnsi="宋体" w:eastAsia="宋体"/>
      <w:color w:val="000000"/>
      <w:sz w:val="24"/>
      <w:szCs w:val="24"/>
    </w:rPr>
  </w:style>
  <w:style w:type="character" w:customStyle="1" w:styleId="187">
    <w:name w:val="fontstyle21"/>
    <w:qFormat/>
    <w:uiPriority w:val="0"/>
    <w:rPr>
      <w:rFonts w:hint="default" w:ascii="Arial" w:hAnsi="Arial" w:cs="Arial"/>
      <w:i/>
      <w:iCs/>
      <w:color w:val="000000"/>
      <w:sz w:val="24"/>
      <w:szCs w:val="24"/>
    </w:rPr>
  </w:style>
  <w:style w:type="character" w:customStyle="1" w:styleId="188">
    <w:name w:val="环保表内字（五号） Char Char"/>
    <w:link w:val="189"/>
    <w:qFormat/>
    <w:uiPriority w:val="0"/>
    <w:rPr>
      <w:rFonts w:ascii="宋体" w:hAnsi="宋体"/>
      <w:b/>
      <w:bCs/>
      <w:szCs w:val="24"/>
    </w:rPr>
  </w:style>
  <w:style w:type="paragraph" w:customStyle="1" w:styleId="189">
    <w:name w:val="环保表内字（五号）"/>
    <w:basedOn w:val="1"/>
    <w:link w:val="188"/>
    <w:qFormat/>
    <w:uiPriority w:val="0"/>
    <w:pPr>
      <w:adjustRightInd w:val="0"/>
      <w:snapToGrid w:val="0"/>
      <w:ind w:left="-73"/>
    </w:pPr>
    <w:rPr>
      <w:rFonts w:ascii="宋体" w:hAnsi="宋体"/>
      <w:b/>
      <w:bCs/>
      <w:kern w:val="0"/>
      <w:sz w:val="20"/>
    </w:rPr>
  </w:style>
  <w:style w:type="character" w:customStyle="1" w:styleId="190">
    <w:name w:val="fontstyle11"/>
    <w:basedOn w:val="36"/>
    <w:qFormat/>
    <w:uiPriority w:val="0"/>
    <w:rPr>
      <w:rFonts w:hint="eastAsia" w:ascii="宋体" w:hAnsi="宋体" w:eastAsia="宋体"/>
      <w:color w:val="000000"/>
      <w:sz w:val="22"/>
      <w:szCs w:val="22"/>
    </w:rPr>
  </w:style>
  <w:style w:type="paragraph" w:customStyle="1" w:styleId="191">
    <w:name w:val="表格文字样式14"/>
    <w:basedOn w:val="1"/>
    <w:qFormat/>
    <w:uiPriority w:val="0"/>
    <w:pPr>
      <w:overflowPunct w:val="0"/>
      <w:adjustRightInd w:val="0"/>
      <w:snapToGrid w:val="0"/>
      <w:jc w:val="center"/>
    </w:pPr>
    <w:rPr>
      <w:rFonts w:ascii="Cambria" w:hAnsi="Cambria" w:cs="Arial"/>
      <w:bCs/>
      <w:snapToGrid w:val="0"/>
      <w:kern w:val="0"/>
      <w:szCs w:val="21"/>
    </w:rPr>
  </w:style>
  <w:style w:type="character" w:customStyle="1" w:styleId="192">
    <w:name w:val="正文首行缩进 2 Char"/>
    <w:basedOn w:val="59"/>
    <w:link w:val="33"/>
    <w:qFormat/>
    <w:uiPriority w:val="0"/>
    <w:rPr>
      <w:rFonts w:ascii="Times New Roman" w:hAnsi="Times New Roman" w:eastAsia="宋体"/>
      <w:kern w:val="2"/>
      <w:sz w:val="21"/>
      <w:szCs w:val="24"/>
    </w:rPr>
  </w:style>
  <w:style w:type="character" w:customStyle="1" w:styleId="193">
    <w:name w:val="正文首行缩进 Char"/>
    <w:basedOn w:val="50"/>
    <w:link w:val="32"/>
    <w:qFormat/>
    <w:uiPriority w:val="0"/>
    <w:rPr>
      <w:kern w:val="2"/>
      <w:sz w:val="21"/>
      <w:szCs w:val="24"/>
    </w:rPr>
  </w:style>
  <w:style w:type="paragraph" w:customStyle="1" w:styleId="194">
    <w:name w:val="3"/>
    <w:basedOn w:val="11"/>
    <w:next w:val="32"/>
    <w:qFormat/>
    <w:uiPriority w:val="0"/>
    <w:pPr>
      <w:widowControl w:val="0"/>
      <w:snapToGrid/>
      <w:spacing w:before="0" w:after="0" w:line="400" w:lineRule="exact"/>
      <w:ind w:right="0" w:firstLine="420" w:firstLineChars="100"/>
    </w:pPr>
    <w:rPr>
      <w:kern w:val="2"/>
      <w:sz w:val="28"/>
    </w:rPr>
  </w:style>
  <w:style w:type="character" w:customStyle="1" w:styleId="195">
    <w:name w:val="正文-ls Char Char"/>
    <w:link w:val="196"/>
    <w:qFormat/>
    <w:uiPriority w:val="0"/>
    <w:rPr>
      <w:rFonts w:hAnsi="宋体" w:cs="宋体"/>
      <w:kern w:val="2"/>
      <w:sz w:val="24"/>
    </w:rPr>
  </w:style>
  <w:style w:type="paragraph" w:customStyle="1" w:styleId="196">
    <w:name w:val="正文-ls"/>
    <w:basedOn w:val="1"/>
    <w:link w:val="195"/>
    <w:qFormat/>
    <w:uiPriority w:val="0"/>
    <w:pPr>
      <w:widowControl/>
      <w:spacing w:line="360" w:lineRule="auto"/>
      <w:ind w:firstLine="200" w:firstLineChars="200"/>
      <w:jc w:val="left"/>
    </w:pPr>
    <w:rPr>
      <w:rFonts w:hAnsi="宋体"/>
      <w:sz w:val="24"/>
      <w:szCs w:val="20"/>
    </w:rPr>
  </w:style>
  <w:style w:type="paragraph" w:customStyle="1" w:styleId="197">
    <w:name w:val="样式 宋体 小四 行距: 1.5 倍行距"/>
    <w:basedOn w:val="1"/>
    <w:qFormat/>
    <w:uiPriority w:val="0"/>
    <w:pPr>
      <w:spacing w:line="360" w:lineRule="auto"/>
      <w:ind w:firstLine="480" w:firstLineChars="200"/>
    </w:pPr>
    <w:rPr>
      <w:rFonts w:cs="宋体"/>
      <w:sz w:val="24"/>
      <w:szCs w:val="20"/>
    </w:rPr>
  </w:style>
  <w:style w:type="paragraph" w:customStyle="1" w:styleId="198">
    <w:name w:val="表格标题 (2)"/>
    <w:basedOn w:val="1"/>
    <w:qFormat/>
    <w:uiPriority w:val="0"/>
    <w:pPr>
      <w:shd w:val="clear" w:color="auto" w:fill="FFFFFF"/>
      <w:spacing w:line="274" w:lineRule="exact"/>
      <w:jc w:val="left"/>
    </w:pPr>
    <w:rPr>
      <w:rFonts w:ascii="宋体" w:hAnsi="宋体" w:cs="宋体"/>
      <w:spacing w:val="20"/>
      <w:kern w:val="0"/>
      <w:sz w:val="20"/>
      <w:szCs w:val="20"/>
    </w:rPr>
  </w:style>
  <w:style w:type="character" w:customStyle="1" w:styleId="199">
    <w:name w:val="报告正文 Char"/>
    <w:link w:val="116"/>
    <w:qFormat/>
    <w:uiPriority w:val="0"/>
    <w:rPr>
      <w:rFonts w:cs="宋体"/>
      <w:kern w:val="2"/>
      <w:sz w:val="24"/>
    </w:rPr>
  </w:style>
  <w:style w:type="character" w:customStyle="1" w:styleId="200">
    <w:name w:val="图标题 Char"/>
    <w:link w:val="201"/>
    <w:qFormat/>
    <w:uiPriority w:val="0"/>
    <w:rPr>
      <w:kern w:val="2"/>
      <w:sz w:val="24"/>
      <w:szCs w:val="24"/>
    </w:rPr>
  </w:style>
  <w:style w:type="paragraph" w:customStyle="1" w:styleId="201">
    <w:name w:val="图标题"/>
    <w:basedOn w:val="1"/>
    <w:link w:val="200"/>
    <w:qFormat/>
    <w:uiPriority w:val="0"/>
    <w:pPr>
      <w:tabs>
        <w:tab w:val="left" w:pos="0"/>
      </w:tabs>
      <w:spacing w:afterLines="100"/>
      <w:ind w:left="780" w:hanging="360"/>
      <w:jc w:val="center"/>
    </w:pPr>
    <w:rPr>
      <w:sz w:val="24"/>
    </w:rPr>
  </w:style>
  <w:style w:type="character" w:customStyle="1" w:styleId="202">
    <w:name w:val="样式 样式 样式 样式 Arial 小四 行距: 1.5 倍行距 + 首行缩进:  2 字符 + 首行缩进:  2 字符 + 宋体 Char"/>
    <w:link w:val="203"/>
    <w:qFormat/>
    <w:uiPriority w:val="0"/>
    <w:rPr>
      <w:rFonts w:ascii="Arial" w:hAnsi="Arial" w:cs="宋体"/>
      <w:kern w:val="2"/>
      <w:sz w:val="24"/>
      <w:szCs w:val="24"/>
    </w:rPr>
  </w:style>
  <w:style w:type="paragraph" w:customStyle="1" w:styleId="203">
    <w:name w:val="样式 样式 样式 样式 Arial 小四 行距: 1.5 倍行距 + 首行缩进:  2 字符 + 首行缩进:  2 字符 + 宋体"/>
    <w:basedOn w:val="1"/>
    <w:link w:val="202"/>
    <w:qFormat/>
    <w:uiPriority w:val="0"/>
    <w:pPr>
      <w:spacing w:line="440" w:lineRule="exact"/>
      <w:ind w:firstLine="200" w:firstLineChars="200"/>
    </w:pPr>
    <w:rPr>
      <w:rFonts w:ascii="Arial" w:hAnsi="Arial"/>
      <w:sz w:val="24"/>
    </w:rPr>
  </w:style>
  <w:style w:type="paragraph" w:customStyle="1" w:styleId="204">
    <w:name w:val="君邦正文"/>
    <w:qFormat/>
    <w:uiPriority w:val="0"/>
    <w:pPr>
      <w:spacing w:after="60" w:line="360" w:lineRule="auto"/>
      <w:ind w:firstLine="480" w:firstLineChars="200"/>
      <w:jc w:val="both"/>
    </w:pPr>
    <w:rPr>
      <w:rFonts w:ascii="Calibri" w:hAnsi="Calibri" w:eastAsia="宋体" w:cs="Times New Roman"/>
      <w:bCs/>
      <w:snapToGrid w:val="0"/>
      <w:sz w:val="24"/>
      <w:lang w:val="en-US" w:eastAsia="zh-CN" w:bidi="ar-SA"/>
    </w:rPr>
  </w:style>
  <w:style w:type="character" w:customStyle="1" w:styleId="205">
    <w:name w:val="表内格式 Char Char"/>
    <w:link w:val="123"/>
    <w:qFormat/>
    <w:locked/>
    <w:uiPriority w:val="0"/>
    <w:rPr>
      <w:kern w:val="2"/>
      <w:sz w:val="21"/>
    </w:rPr>
  </w:style>
  <w:style w:type="character" w:customStyle="1" w:styleId="206">
    <w:name w:val="fontstyle31"/>
    <w:basedOn w:val="36"/>
    <w:qFormat/>
    <w:uiPriority w:val="0"/>
    <w:rPr>
      <w:rFonts w:hint="default" w:ascii="TimesNewRomanPSMT" w:hAnsi="TimesNewRomanPSMT"/>
      <w:color w:val="000000"/>
      <w:sz w:val="22"/>
      <w:szCs w:val="22"/>
    </w:rPr>
  </w:style>
  <w:style w:type="paragraph" w:customStyle="1" w:styleId="207">
    <w:name w:val="标准"/>
    <w:basedOn w:val="1"/>
    <w:qFormat/>
    <w:uiPriority w:val="0"/>
    <w:pPr>
      <w:adjustRightInd w:val="0"/>
      <w:spacing w:line="312" w:lineRule="atLeast"/>
      <w:jc w:val="center"/>
      <w:textAlignment w:val="baseline"/>
    </w:pPr>
    <w:rPr>
      <w:rFonts w:ascii="Calibri" w:hAnsi="Calibri"/>
      <w:kern w:val="0"/>
      <w:szCs w:val="21"/>
    </w:rPr>
  </w:style>
  <w:style w:type="paragraph" w:customStyle="1" w:styleId="208">
    <w:name w:val="环评一室报告四级标题"/>
    <w:basedOn w:val="1"/>
    <w:qFormat/>
    <w:uiPriority w:val="0"/>
    <w:pPr>
      <w:widowControl/>
      <w:spacing w:line="360" w:lineRule="auto"/>
      <w:jc w:val="left"/>
      <w:outlineLvl w:val="3"/>
    </w:pPr>
    <w:rPr>
      <w:rFonts w:ascii="Cambria" w:hAnsi="Cambria" w:eastAsia="Cambria"/>
      <w:b/>
      <w:kern w:val="0"/>
      <w:sz w:val="24"/>
    </w:rPr>
  </w:style>
  <w:style w:type="character" w:customStyle="1" w:styleId="209">
    <w:name w:val="正文文本 (2) Exact"/>
    <w:basedOn w:val="36"/>
    <w:qFormat/>
    <w:uiPriority w:val="0"/>
    <w:rPr>
      <w:rFonts w:ascii="MingLiU" w:hAnsi="MingLiU" w:eastAsia="MingLiU" w:cs="MingLiU"/>
      <w:sz w:val="22"/>
      <w:szCs w:val="22"/>
      <w:u w:val="none"/>
    </w:rPr>
  </w:style>
  <w:style w:type="character" w:customStyle="1" w:styleId="210">
    <w:name w:val="正文文本 (2)_"/>
    <w:basedOn w:val="36"/>
    <w:link w:val="211"/>
    <w:qFormat/>
    <w:uiPriority w:val="0"/>
    <w:rPr>
      <w:rFonts w:ascii="MingLiU" w:hAnsi="MingLiU" w:eastAsia="MingLiU" w:cs="MingLiU"/>
      <w:sz w:val="22"/>
      <w:szCs w:val="22"/>
      <w:shd w:val="clear" w:color="auto" w:fill="FFFFFF"/>
    </w:rPr>
  </w:style>
  <w:style w:type="paragraph" w:customStyle="1" w:styleId="211">
    <w:name w:val="正文文本 (2)1"/>
    <w:basedOn w:val="1"/>
    <w:link w:val="210"/>
    <w:qFormat/>
    <w:uiPriority w:val="0"/>
    <w:pPr>
      <w:shd w:val="clear" w:color="auto" w:fill="FFFFFF"/>
      <w:spacing w:before="420" w:line="696" w:lineRule="exact"/>
      <w:jc w:val="distribute"/>
    </w:pPr>
    <w:rPr>
      <w:rFonts w:ascii="MingLiU" w:hAnsi="MingLiU" w:eastAsia="MingLiU" w:cs="MingLiU"/>
      <w:kern w:val="0"/>
      <w:sz w:val="22"/>
      <w:szCs w:val="22"/>
    </w:rPr>
  </w:style>
  <w:style w:type="character" w:customStyle="1" w:styleId="212">
    <w:name w:val="正文文本 (2) + Georgia Exact1"/>
    <w:basedOn w:val="210"/>
    <w:qFormat/>
    <w:uiPriority w:val="0"/>
    <w:rPr>
      <w:rFonts w:ascii="Georgia" w:hAnsi="Georgia" w:eastAsia="Georgia" w:cs="Georgia"/>
      <w:color w:val="000000"/>
      <w:spacing w:val="0"/>
      <w:w w:val="100"/>
      <w:position w:val="0"/>
      <w:lang w:val="en-US" w:eastAsia="en-US" w:bidi="en-US"/>
    </w:rPr>
  </w:style>
  <w:style w:type="character" w:customStyle="1" w:styleId="213">
    <w:name w:val="正文文本 (2) + 间距 0 pt Exact"/>
    <w:basedOn w:val="210"/>
    <w:qFormat/>
    <w:uiPriority w:val="0"/>
    <w:rPr>
      <w:color w:val="000000"/>
      <w:spacing w:val="-10"/>
      <w:w w:val="100"/>
      <w:position w:val="0"/>
      <w:lang w:val="zh-TW" w:eastAsia="zh-TW" w:bidi="zh-TW"/>
    </w:rPr>
  </w:style>
  <w:style w:type="paragraph" w:customStyle="1" w:styleId="214">
    <w:name w:val="目录2"/>
    <w:basedOn w:val="1"/>
    <w:qFormat/>
    <w:uiPriority w:val="0"/>
    <w:pPr>
      <w:jc w:val="left"/>
    </w:pPr>
    <w:rPr>
      <w:b/>
      <w:sz w:val="24"/>
      <w:szCs w:val="20"/>
    </w:rPr>
  </w:style>
  <w:style w:type="character" w:customStyle="1" w:styleId="215">
    <w:name w:val="正文应用 Char"/>
    <w:link w:val="216"/>
    <w:qFormat/>
    <w:uiPriority w:val="0"/>
    <w:rPr>
      <w:sz w:val="24"/>
      <w:szCs w:val="24"/>
    </w:rPr>
  </w:style>
  <w:style w:type="paragraph" w:customStyle="1" w:styleId="216">
    <w:name w:val="正文应用"/>
    <w:basedOn w:val="1"/>
    <w:link w:val="215"/>
    <w:qFormat/>
    <w:uiPriority w:val="0"/>
    <w:pPr>
      <w:autoSpaceDE w:val="0"/>
      <w:autoSpaceDN w:val="0"/>
      <w:spacing w:line="360" w:lineRule="auto"/>
      <w:ind w:firstLine="200" w:firstLineChars="200"/>
      <w:jc w:val="left"/>
    </w:pPr>
    <w:rPr>
      <w:kern w:val="0"/>
      <w:sz w:val="24"/>
    </w:rPr>
  </w:style>
  <w:style w:type="paragraph" w:customStyle="1" w:styleId="217">
    <w:name w:val="正文A"/>
    <w:basedOn w:val="1"/>
    <w:qFormat/>
    <w:uiPriority w:val="0"/>
    <w:pPr>
      <w:spacing w:line="500" w:lineRule="exact"/>
      <w:ind w:firstLine="480"/>
    </w:pPr>
    <w:rPr>
      <w:rFonts w:ascii="华文仿宋" w:hAnsi="华文仿宋" w:eastAsia="华文仿宋" w:cs="华文仿宋"/>
    </w:rPr>
  </w:style>
  <w:style w:type="paragraph" w:customStyle="1" w:styleId="218">
    <w:name w:val="正文格式"/>
    <w:basedOn w:val="32"/>
    <w:qFormat/>
    <w:uiPriority w:val="99"/>
    <w:pPr>
      <w:widowControl/>
      <w:snapToGrid w:val="0"/>
      <w:spacing w:before="60" w:after="0" w:line="480" w:lineRule="exact"/>
      <w:ind w:right="113" w:firstLine="200" w:firstLineChars="200"/>
    </w:pPr>
    <w:rPr>
      <w:rFonts w:ascii="宋体"/>
      <w:kern w:val="0"/>
      <w:sz w:val="18"/>
      <w:szCs w:val="20"/>
    </w:rPr>
  </w:style>
  <w:style w:type="paragraph" w:customStyle="1" w:styleId="219">
    <w:name w:val="缩进2字符文字"/>
    <w:basedOn w:val="1"/>
    <w:qFormat/>
    <w:uiPriority w:val="0"/>
    <w:pPr>
      <w:spacing w:line="300" w:lineRule="auto"/>
      <w:ind w:firstLine="420" w:firstLineChars="200"/>
    </w:pPr>
    <w:rPr>
      <w:szCs w:val="20"/>
    </w:rPr>
  </w:style>
  <w:style w:type="paragraph" w:customStyle="1" w:styleId="220">
    <w:name w:val="表体宋旭峰"/>
    <w:basedOn w:val="1"/>
    <w:qFormat/>
    <w:uiPriority w:val="0"/>
    <w:pPr>
      <w:tabs>
        <w:tab w:val="left" w:pos="3685"/>
      </w:tabs>
      <w:overflowPunct w:val="0"/>
      <w:spacing w:line="280" w:lineRule="exact"/>
      <w:jc w:val="center"/>
      <w:textAlignment w:val="baseline"/>
    </w:pPr>
    <w:rPr>
      <w:rFonts w:ascii="宋体" w:hAnsi="Courier New" w:cs="Courier New"/>
      <w:snapToGrid w:val="0"/>
      <w:kern w:val="0"/>
      <w:sz w:val="18"/>
      <w:szCs w:val="18"/>
    </w:rPr>
  </w:style>
  <w:style w:type="character" w:customStyle="1" w:styleId="221">
    <w:name w:val="hhcwt表头 Char Char"/>
    <w:link w:val="222"/>
    <w:qFormat/>
    <w:uiPriority w:val="0"/>
    <w:rPr>
      <w:rFonts w:ascii="楷体_GB2312" w:eastAsia="楷体_GB2312" w:cs="宋体"/>
      <w:b/>
      <w:bCs/>
      <w:sz w:val="24"/>
    </w:rPr>
  </w:style>
  <w:style w:type="paragraph" w:customStyle="1" w:styleId="222">
    <w:name w:val="hhcwt表头"/>
    <w:basedOn w:val="1"/>
    <w:link w:val="221"/>
    <w:qFormat/>
    <w:uiPriority w:val="0"/>
    <w:pPr>
      <w:widowControl/>
      <w:spacing w:after="120"/>
      <w:ind w:left="100" w:leftChars="100" w:right="100" w:rightChars="100"/>
      <w:jc w:val="center"/>
    </w:pPr>
    <w:rPr>
      <w:rFonts w:ascii="楷体_GB2312" w:eastAsia="楷体_GB2312" w:cs="宋体"/>
      <w:b/>
      <w:bCs/>
      <w:kern w:val="0"/>
      <w:sz w:val="24"/>
      <w:szCs w:val="20"/>
    </w:rPr>
  </w:style>
  <w:style w:type="character" w:customStyle="1" w:styleId="223">
    <w:name w:val="font61"/>
    <w:qFormat/>
    <w:uiPriority w:val="0"/>
    <w:rPr>
      <w:rFonts w:hint="eastAsia" w:ascii="宋体" w:hAnsi="宋体" w:eastAsia="宋体" w:cs="宋体"/>
      <w:color w:val="000000"/>
      <w:sz w:val="22"/>
      <w:szCs w:val="22"/>
      <w:u w:val="none"/>
    </w:rPr>
  </w:style>
  <w:style w:type="character" w:customStyle="1" w:styleId="224">
    <w:name w:val="font41"/>
    <w:qFormat/>
    <w:uiPriority w:val="0"/>
    <w:rPr>
      <w:rFonts w:hint="eastAsia" w:ascii="宋体" w:hAnsi="宋体" w:eastAsia="宋体" w:cs="宋体"/>
      <w:color w:val="000000"/>
      <w:sz w:val="22"/>
      <w:szCs w:val="22"/>
      <w:u w:val="none"/>
      <w:vertAlign w:val="superscript"/>
    </w:rPr>
  </w:style>
  <w:style w:type="paragraph" w:customStyle="1" w:styleId="225">
    <w:name w:val="1正文"/>
    <w:basedOn w:val="1"/>
    <w:qFormat/>
    <w:uiPriority w:val="0"/>
    <w:pPr>
      <w:widowControl/>
      <w:spacing w:line="360" w:lineRule="auto"/>
      <w:ind w:firstLine="200" w:firstLineChars="200"/>
      <w:jc w:val="left"/>
    </w:pPr>
    <w:rPr>
      <w:rFonts w:ascii="Calibri" w:hAnsi="Calibri"/>
      <w:kern w:val="0"/>
      <w:sz w:val="24"/>
      <w:szCs w:val="20"/>
      <w:lang w:val="en-GB"/>
    </w:rPr>
  </w:style>
  <w:style w:type="paragraph" w:customStyle="1" w:styleId="226">
    <w:name w:val="表格内容自定"/>
    <w:basedOn w:val="1"/>
    <w:qFormat/>
    <w:uiPriority w:val="0"/>
    <w:pPr>
      <w:spacing w:line="280" w:lineRule="exact"/>
      <w:jc w:val="center"/>
    </w:pPr>
    <w:rPr>
      <w:kern w:val="0"/>
      <w:sz w:val="18"/>
      <w:szCs w:val="21"/>
    </w:rPr>
  </w:style>
  <w:style w:type="paragraph" w:customStyle="1" w:styleId="227">
    <w:name w:val="报告书正文"/>
    <w:basedOn w:val="1"/>
    <w:qFormat/>
    <w:uiPriority w:val="0"/>
    <w:pPr>
      <w:spacing w:line="360" w:lineRule="auto"/>
      <w:ind w:firstLine="560" w:firstLineChars="200"/>
    </w:pPr>
    <w:rPr>
      <w:snapToGrid w:val="0"/>
      <w:kern w:val="0"/>
      <w:sz w:val="24"/>
      <w:szCs w:val="28"/>
    </w:rPr>
  </w:style>
  <w:style w:type="character" w:customStyle="1" w:styleId="228">
    <w:name w:val="正文文本_"/>
    <w:link w:val="229"/>
    <w:qFormat/>
    <w:uiPriority w:val="0"/>
    <w:rPr>
      <w:rFonts w:ascii="宋体" w:hAnsi="宋体" w:cs="宋体"/>
      <w:sz w:val="26"/>
      <w:szCs w:val="26"/>
      <w:shd w:val="clear" w:color="auto" w:fill="FFFFFF"/>
    </w:rPr>
  </w:style>
  <w:style w:type="paragraph" w:customStyle="1" w:styleId="229">
    <w:name w:val="正文文本1"/>
    <w:basedOn w:val="1"/>
    <w:link w:val="228"/>
    <w:qFormat/>
    <w:uiPriority w:val="0"/>
    <w:pPr>
      <w:widowControl/>
      <w:shd w:val="clear" w:color="auto" w:fill="FFFFFF"/>
      <w:spacing w:line="0" w:lineRule="atLeast"/>
      <w:jc w:val="distribute"/>
    </w:pPr>
    <w:rPr>
      <w:rFonts w:ascii="宋体" w:hAnsi="宋体" w:cs="宋体"/>
      <w:kern w:val="0"/>
      <w:sz w:val="26"/>
      <w:szCs w:val="26"/>
    </w:rPr>
  </w:style>
  <w:style w:type="paragraph" w:customStyle="1" w:styleId="230">
    <w:name w:val="Char1"/>
    <w:basedOn w:val="1"/>
    <w:qFormat/>
    <w:uiPriority w:val="0"/>
  </w:style>
  <w:style w:type="paragraph" w:customStyle="1" w:styleId="231">
    <w:name w:val="Char2"/>
    <w:basedOn w:val="1"/>
    <w:qFormat/>
    <w:uiPriority w:val="0"/>
  </w:style>
  <w:style w:type="paragraph" w:customStyle="1" w:styleId="232">
    <w:name w:val="Default1"/>
    <w:qFormat/>
    <w:uiPriority w:val="0"/>
    <w:pPr>
      <w:widowControl w:val="0"/>
      <w:autoSpaceDE w:val="0"/>
      <w:autoSpaceDN w:val="0"/>
      <w:adjustRightInd w:val="0"/>
    </w:pPr>
    <w:rPr>
      <w:rFonts w:ascii="宋体" w:hAnsi="Calibri" w:cs="宋体" w:eastAsiaTheme="minorEastAsia"/>
      <w:color w:val="000000"/>
      <w:sz w:val="24"/>
      <w:szCs w:val="24"/>
      <w:lang w:val="en-US" w:eastAsia="zh-CN" w:bidi="ar-SA"/>
    </w:rPr>
  </w:style>
  <w:style w:type="character" w:customStyle="1" w:styleId="233">
    <w:name w:val="正文格式 Char Char"/>
    <w:qFormat/>
    <w:uiPriority w:val="99"/>
    <w:rPr>
      <w:rFonts w:ascii="宋体" w:hAnsi="宋体"/>
      <w:sz w:val="24"/>
      <w:szCs w:val="24"/>
    </w:rPr>
  </w:style>
  <w:style w:type="paragraph" w:customStyle="1" w:styleId="234">
    <w:name w:val="Char Char Char Char Char Char Char1"/>
    <w:basedOn w:val="1"/>
    <w:qFormat/>
    <w:uiPriority w:val="0"/>
    <w:rPr>
      <w:sz w:val="24"/>
    </w:rPr>
  </w:style>
  <w:style w:type="paragraph" w:customStyle="1" w:styleId="235">
    <w:name w:val="表内文字"/>
    <w:basedOn w:val="1"/>
    <w:qFormat/>
    <w:uiPriority w:val="0"/>
    <w:pPr>
      <w:widowControl/>
      <w:adjustRightInd w:val="0"/>
      <w:snapToGrid w:val="0"/>
      <w:spacing w:after="200"/>
      <w:jc w:val="center"/>
    </w:pPr>
    <w:rPr>
      <w:rFonts w:ascii="Tahoma" w:hAnsi="Tahoma" w:eastAsia="微软雅黑"/>
      <w:kern w:val="0"/>
      <w:szCs w:val="21"/>
    </w:rPr>
  </w:style>
  <w:style w:type="paragraph" w:customStyle="1" w:styleId="236">
    <w:name w:val="表体"/>
    <w:qFormat/>
    <w:uiPriority w:val="0"/>
    <w:pPr>
      <w:spacing w:before="40" w:after="40"/>
      <w:jc w:val="center"/>
    </w:pPr>
    <w:rPr>
      <w:rFonts w:ascii="宋体" w:hAnsi="宋体" w:eastAsia="宋体" w:cs="宋体"/>
      <w:color w:val="000080"/>
      <w:kern w:val="2"/>
      <w:sz w:val="24"/>
      <w:szCs w:val="24"/>
      <w:lang w:val="en-US" w:eastAsia="zh-CN" w:bidi="ar-SA"/>
    </w:rPr>
  </w:style>
  <w:style w:type="paragraph" w:customStyle="1" w:styleId="237">
    <w:name w:val="Table Text"/>
    <w:basedOn w:val="1"/>
    <w:semiHidden/>
    <w:qFormat/>
    <w:uiPriority w:val="0"/>
    <w:rPr>
      <w:rFonts w:ascii="仿宋" w:hAnsi="仿宋" w:eastAsia="仿宋" w:cs="仿宋"/>
      <w:sz w:val="20"/>
      <w:szCs w:val="20"/>
      <w:lang w:val="en-US" w:eastAsia="en-US" w:bidi="ar-SA"/>
    </w:rPr>
  </w:style>
  <w:style w:type="table" w:customStyle="1" w:styleId="238">
    <w:name w:val="Table Normal"/>
    <w:semiHidden/>
    <w:unhideWhenUsed/>
    <w:qFormat/>
    <w:uiPriority w:val="0"/>
    <w:tblPr>
      <w:tblCellMar>
        <w:top w:w="0" w:type="dxa"/>
        <w:left w:w="0" w:type="dxa"/>
        <w:bottom w:w="0" w:type="dxa"/>
        <w:right w:w="0" w:type="dxa"/>
      </w:tblCellMar>
    </w:tblPr>
  </w:style>
  <w:style w:type="paragraph" w:customStyle="1" w:styleId="239">
    <w:name w:val="表格内"/>
    <w:basedOn w:val="1"/>
    <w:qFormat/>
    <w:uiPriority w:val="0"/>
    <w:pPr>
      <w:keepNext w:val="0"/>
      <w:keepLines w:val="0"/>
      <w:widowControl/>
      <w:suppressLineNumbers w:val="0"/>
      <w:adjustRightInd w:val="0"/>
      <w:snapToGrid w:val="0"/>
      <w:spacing w:after="200" w:afterAutospacing="0" w:line="360" w:lineRule="exact"/>
      <w:jc w:val="center"/>
    </w:pPr>
    <w:rPr>
      <w:rFonts w:hint="default" w:ascii="Times New Roman" w:hAnsi="Times New Roman" w:eastAsia="微软雅黑" w:cs="Times New Roman"/>
      <w:kern w:val="0"/>
      <w:sz w:val="22"/>
      <w:szCs w:val="22"/>
      <w:lang w:val="en-US" w:eastAsia="zh-CN" w:bidi="ar"/>
    </w:rPr>
  </w:style>
  <w:style w:type="paragraph" w:customStyle="1" w:styleId="240">
    <w:name w:val="表格内容"/>
    <w:next w:val="241"/>
    <w:qFormat/>
    <w:uiPriority w:val="0"/>
    <w:pPr>
      <w:jc w:val="center"/>
    </w:pPr>
    <w:rPr>
      <w:rFonts w:ascii="Times New Roman" w:hAnsi="Times New Roman" w:eastAsia="宋体" w:cs="Times New Roman"/>
      <w:kern w:val="2"/>
      <w:sz w:val="21"/>
      <w:szCs w:val="24"/>
      <w:lang w:val="zh-TW" w:eastAsia="zh-TW" w:bidi="ar-SA"/>
    </w:rPr>
  </w:style>
  <w:style w:type="paragraph" w:customStyle="1" w:styleId="241">
    <w:name w:val="文本正文"/>
    <w:basedOn w:val="1"/>
    <w:qFormat/>
    <w:uiPriority w:val="0"/>
    <w:pPr>
      <w:ind w:firstLine="480"/>
    </w:pPr>
  </w:style>
  <w:style w:type="paragraph" w:customStyle="1" w:styleId="242">
    <w:name w:val="表头字体"/>
    <w:basedOn w:val="1"/>
    <w:qFormat/>
    <w:uiPriority w:val="0"/>
    <w:pPr>
      <w:spacing w:line="240" w:lineRule="auto"/>
      <w:ind w:firstLine="0" w:firstLineChars="0"/>
      <w:jc w:val="center"/>
    </w:pPr>
    <w:rPr>
      <w:rFonts w:ascii="Times New Roman" w:hAnsi="Times New Roman" w:eastAsia="宋体"/>
      <w:b/>
    </w:rPr>
  </w:style>
  <w:style w:type="paragraph" w:customStyle="1" w:styleId="243">
    <w:name w:val="报告表格"/>
    <w:basedOn w:val="1"/>
    <w:qFormat/>
    <w:uiPriority w:val="0"/>
    <w:pPr>
      <w:autoSpaceDE w:val="0"/>
      <w:autoSpaceDN w:val="0"/>
      <w:adjustRightInd w:val="0"/>
      <w:spacing w:line="240" w:lineRule="auto"/>
      <w:ind w:firstLine="0" w:firstLineChars="0"/>
      <w:jc w:val="center"/>
      <w:textAlignment w:val="baseline"/>
    </w:pPr>
    <w:rPr>
      <w:kern w:val="0"/>
      <w:sz w:val="21"/>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9.pn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wmf"/><Relationship Id="rId11" Type="http://schemas.openxmlformats.org/officeDocument/2006/relationships/oleObject" Target="embeddings/oleObject2.bin"/><Relationship Id="rId10" Type="http://schemas.openxmlformats.org/officeDocument/2006/relationships/image" Target="media/image3.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67</Pages>
  <Words>11592</Words>
  <Characters>12157</Characters>
  <Lines>213</Lines>
  <Paragraphs>59</Paragraphs>
  <TotalTime>18</TotalTime>
  <ScaleCrop>false</ScaleCrop>
  <LinksUpToDate>false</LinksUpToDate>
  <CharactersWithSpaces>12243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2022-10-04T12:55:00Z</dcterms:created>
  <dc:creator>lhj</dc:creator>
  <cp:lastModifiedBy>勿忘心安</cp:lastModifiedBy>
  <cp:lastPrinted>2021-05-11T10:55:00Z</cp:lastPrinted>
  <dcterms:modified xsi:type="dcterms:W3CDTF">2026-10-19T10:57:36Z</dcterms:modified>
  <dc:title>附件2</dc:title>
  <cp:revision>155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C270057538914A59B454961B207A90A9</vt:lpwstr>
  </property>
  <property fmtid="{D5CDD505-2E9C-101B-9397-08002B2CF9AE}" pid="4" name="KSOTemplateDocerSaveRecord">
    <vt:lpwstr>eyJoZGlkIjoiOWM1M2FjYjYwNGY2NzliY2E1ZjZkOGM2ZDQzNjBmZTEiLCJ1c2VySWQiOiI0NjQxNjQyMzAifQ==</vt:lpwstr>
  </property>
</Properties>
</file>