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3F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州林草局“十四五”期间生态环境保护工作</w:t>
      </w:r>
    </w:p>
    <w:p w14:paraId="23606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落实情况报告</w:t>
      </w:r>
    </w:p>
    <w:p w14:paraId="54216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楷体_GBK" w:hAnsi="方正楷体_GBK" w:eastAsia="方正楷体_GBK" w:cs="方正楷体_GBK"/>
          <w:highlight w:val="none"/>
          <w:lang w:val="en-US" w:eastAsia="zh-CN"/>
        </w:rPr>
      </w:pPr>
    </w:p>
    <w:p w14:paraId="6C6FA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eastAsia="zh-CN"/>
        </w:rPr>
        <w:t>“</w:t>
      </w: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十四五</w:t>
      </w:r>
      <w:r>
        <w:rPr>
          <w:rFonts w:hint="eastAsia" w:ascii="Times New Roman" w:hAnsi="Times New Roman" w:eastAsia="方正仿宋_GBK" w:cs="Times New Roman"/>
          <w:highlight w:val="none"/>
          <w:lang w:eastAsia="zh-CN"/>
        </w:rPr>
        <w:t>”</w:t>
      </w: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期间</w:t>
      </w:r>
      <w:r>
        <w:rPr>
          <w:rFonts w:hint="default" w:ascii="Times New Roman" w:hAnsi="Times New Roman" w:eastAsia="方正仿宋_GBK" w:cs="Times New Roman"/>
          <w:highlight w:val="none"/>
        </w:rPr>
        <w:t>，在自治州党委、政府的坚强领导下，全州林草系统深入学习贯彻习近平新时代中国特色社会主义思想，全面贯彻落实党的二十大精神和二十届</w:t>
      </w: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历次</w:t>
      </w:r>
      <w:r>
        <w:rPr>
          <w:rFonts w:hint="default" w:ascii="Times New Roman" w:hAnsi="Times New Roman" w:eastAsia="方正仿宋_GBK" w:cs="Times New Roman"/>
          <w:highlight w:val="none"/>
        </w:rPr>
        <w:t>全会精神，完整准确</w:t>
      </w: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全面</w:t>
      </w:r>
      <w:r>
        <w:rPr>
          <w:rFonts w:hint="default" w:ascii="Times New Roman" w:hAnsi="Times New Roman" w:eastAsia="方正仿宋_GBK" w:cs="Times New Roman"/>
          <w:highlight w:val="none"/>
        </w:rPr>
        <w:t>贯彻新时代党的治疆方略，特别是习近平总书记视察新疆重要讲话重要指示精神，牢记习近平总书记关于荒漠化综合防治的重要讲话精神，坚持“绿水青山就是金山银山”发展理念，以推动高质量发展为主题，统筹山水林田湖草沙系统治理，将生态保护修复作为践行</w:t>
      </w:r>
      <w:r>
        <w:rPr>
          <w:rFonts w:hint="eastAsia" w:ascii="Times New Roman" w:hAnsi="Times New Roman" w:eastAsia="方正仿宋_GBK" w:cs="Times New Roman"/>
          <w:highlight w:val="none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highlight w:val="none"/>
        </w:rPr>
        <w:t>两个维护</w:t>
      </w:r>
      <w:r>
        <w:rPr>
          <w:rFonts w:hint="eastAsia" w:ascii="Times New Roman" w:hAnsi="Times New Roman" w:eastAsia="方正仿宋_GBK" w:cs="Times New Roman"/>
          <w:highlight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highlight w:val="none"/>
        </w:rPr>
        <w:t>的政治检验和民生答卷，凝心聚力、久久为功，推动全州林草生态保护修复工作取得显著成效。</w:t>
      </w: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根据会议安排，现将相关工作落实情况汇报如下。</w:t>
      </w:r>
    </w:p>
    <w:p w14:paraId="2202D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highlight w:val="none"/>
        </w:rPr>
        <w:t>一、</w:t>
      </w:r>
      <w:r>
        <w:rPr>
          <w:rFonts w:hint="eastAsia" w:ascii="方正黑体_GBK" w:hAnsi="方正黑体_GBK" w:eastAsia="方正黑体_GBK" w:cs="方正黑体_GBK"/>
          <w:highlight w:val="none"/>
          <w:lang w:val="en-US" w:eastAsia="zh-CN"/>
        </w:rPr>
        <w:t>重点工作开展情况及成效</w:t>
      </w:r>
    </w:p>
    <w:p w14:paraId="76B77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highlight w:val="none"/>
          <w:lang w:val="en-US" w:eastAsia="zh-CN"/>
        </w:rPr>
        <w:t>（一）防沙治沙扎实推进，筑牢生态安全屏障。</w:t>
      </w: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巴州沙化土地面积2492.12万公顷，州林草局科学制定防沙治沙规划及沙漠边缘阻击战实施方案，构建“四区、三战、两线、一片”战略布局，计划2030年完成治理1322.67万亩。</w:t>
      </w: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“十四五”</w:t>
      </w: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期间，累计完成营造林81.09万亩、人工种草14.75万亩，沙化土地治理367万亩，森林覆盖率达3.7%，草原综合植被盖度42.5%，沙化土地扩展趋势有效遏制。且末县老兵治沙队带动全民治沙，探索多元化种植模式，走出生态产业反哺生态工程的可持续路径。</w:t>
      </w:r>
    </w:p>
    <w:p w14:paraId="18737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（二）重大生态修复深入实施，生态质量持续提升。塔克拉玛干沙漠边缘阻击战成果丰硕，2024年、2025年完成治理397.06万亩、371.12万亩，超额完成251万亩、80.64万亩，实现全疆五个“率先”，为全疆提供可复制经验。建成8个国家沙化土地封禁保护区，面积153.18万亩，“十四五”沙化土地治理完成率达111.32%。塔里木河流域生态修复与胡杨林保护修复成效突出，2022年以来实际</w:t>
      </w: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引洪植绿</w:t>
      </w: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1154.54万亩。草原生态修复治理474.69万亩，发展沙产业19.31万亩，带动6000余人增收，实现生态与经济双赢。</w:t>
      </w:r>
    </w:p>
    <w:p w14:paraId="2EBAC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（三）保护管理体系完善，治理能力不断增强。全面推行林长制，构建“林长+管护站+管护员”模式，“十四五”期间停止天然林商业性采伐，新增国家级公益林68.07万亩，配备管护人员1365名，运用智能监控实现精细化管护，查处行政案件256件、移交刑事案件42件，严守资源安全底线。森林草原防灭火水平提升，火灾受害率控制在标准以内，采用直升机、无人机开展“空地一体化”巡护与演练，未发生重特大火灾。现有自然保护地20个，面积占全州国土27.05%，阿尔金山保护区生态持续向好，争取1.01亿元提升保护地能力，生物多样性保护扎实推进。依托各类宣传节点，多渠道开展普法宣传，提升群众生态保护意识，营造全民参与生态保护的良好氛围。</w:t>
      </w:r>
    </w:p>
    <w:p w14:paraId="56C28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二、存在的问题</w:t>
      </w:r>
    </w:p>
    <w:p w14:paraId="7837D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（一）生态系统质量与稳定性风险。受干旱少雨、土壤贫瘠的自然条件影响，部分区域林草生态系统仍存在退化、沙化问题，植被恢复难度大，生态系统自我修复能力和抗干扰能力弱。草原超载过牧、过度开发等问题尚未完全解决，部分区域草原植被盖度、生产力偏低，草场退化现象依然存在，生物多样性保护压力大。</w:t>
      </w:r>
    </w:p>
    <w:p w14:paraId="328FE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（二）绿化空间逐步压缩。受粮食安全政策驱动，城乡范围内适宜耕作、具备利用条件的地块均经三调划定为耕地。导致城乡区域绿化空间有限，出现无地造林的困境。而人类活动区域外围，多为水资源难以覆盖的区域，土地面临盐碱化、砾石化问题，不具备造林条件。当前造林空间已基本耗尽，加之巴州地处极干旱区，造林成本高、收益低且投入产出失衡，继续大规模造林已不符合实际情况。</w:t>
      </w:r>
    </w:p>
    <w:p w14:paraId="52FD8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（三）执法力量不足执法难。2019年机构改革后，州、县均未设立林草综合执法队伍，目前林业案件委托县市环境资源和食品药品犯罪侦查队伍，草原案件不在委托范围。林草违法行为多样且案件基数大，执法力量严重不足。</w:t>
      </w:r>
    </w:p>
    <w:p w14:paraId="22BCF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（四）部分林草项目地方配套资金难。超长期特别国债“三北”六期综合治理项目、中央预算内重点生态资源保护项目中的森林草原防灭火项目、国家级林草种质资源保存库项目、野生动植物保护及自然保护地建设项目，中央财政“三北”工程补助林草湿荒一体化保护修复项目，国家资金支持比例为80%，需地方配套20%。但州县两级财政困难，地方配套资金落实困难。</w:t>
      </w:r>
    </w:p>
    <w:p w14:paraId="5E2FA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三、下一步计划</w:t>
      </w:r>
    </w:p>
    <w:p w14:paraId="24298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（一）提升生态系统质量与稳定性。坚持山水林田湖草沙一体化保护修复，落实《巴州防沙治沙规划（2021-2030年）》，分区分类精准管控，优先推进退化林、退化草原修复，推广本土耐贫瘠、抗风沙物种，优化“乔-灌-草”配置。落实草原分级治理，推进禁牧休牧、划区轮牧，完善草原生态补奖政策，严控载畜量，提升草原生态功能。加强生物多样性保护，完善野生动植物监测网络，强化重要栖息地保护。</w:t>
      </w:r>
    </w:p>
    <w:p w14:paraId="3BDD3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（二）严守生态红线底线，强化资源管护与风险防控。完善林长制运行机制，压实各级林长和管护人员责任，强化林草资源网格化管护，严厉打击涉林草违法行为，深化“林长+警长+检察长”协作机制，形成监管合力。健全森林草原防火“人防+技防+物防”一体化防控体系，补齐防火基础设施短板，强化火源管控和隐患排查，严防重特大森林火灾发生。健全林业有害生物防控三级监测预警网络，深化联防联控，坚决守住重大检疫性有害生物“零入侵”底线。</w:t>
      </w:r>
    </w:p>
    <w:p w14:paraId="2FABD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（三）加强项目与资金监管。完善项目管理机制，加强项目前期谋划、过程监管与后期验收，推行项目全周期管理，提升项目推进效率与质量。强化资金监管，严格执行资金使用制度，加强审计与监督，规范资金拨付、使用流程，确保资金规范高效使用，防范资金风险。积极争取上级资金支持，优化财政支出结构，多方筹措资金，缓解地方配套资金压力；加强与科研院所、企业合作，引导社会资本参与林草项目建设，拓宽资金渠道。</w:t>
      </w:r>
    </w:p>
    <w:p w14:paraId="5A071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highlight w:val="none"/>
          <w:lang w:val="en-US" w:eastAsia="zh-CN"/>
        </w:rPr>
        <w:t>全州林草系统将持续巩固生态环境保护督察整改成效，深入践行习近平生态文明思想，聚焦防沙治沙、生态修复、资源保护等重点工作，持续完善生态保护治理体系，提升治理能力，推动林草生态工作高质量发展，为建设天蓝地绿水清的美丽巴州作出新的更大贡献。</w:t>
      </w:r>
    </w:p>
    <w:p w14:paraId="3E14C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highlight w:val="none"/>
          <w:lang w:val="en-US" w:eastAsia="zh-CN"/>
        </w:rPr>
      </w:pPr>
    </w:p>
    <w:p w14:paraId="317B1A6B">
      <w:pPr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1029B"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562C4C">
                          <w:pPr>
                            <w:pStyle w:val="3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562C4C">
                    <w:pPr>
                      <w:pStyle w:val="3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E161F"/>
    <w:rsid w:val="036A7762"/>
    <w:rsid w:val="0E777D20"/>
    <w:rsid w:val="116E161F"/>
    <w:rsid w:val="3183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仿宋_GB2312" w:cs="宋体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1185</Words>
  <Characters>1293</Characters>
  <Lines>0</Lines>
  <Paragraphs>0</Paragraphs>
  <TotalTime>6</TotalTime>
  <ScaleCrop>false</ScaleCrop>
  <LinksUpToDate>false</LinksUpToDate>
  <CharactersWithSpaces>1293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2026-11-04T02:39:00Z</dcterms:created>
  <dc:creator>李欣玉 </dc:creator>
  <cp:lastModifiedBy>李欣玉 </cp:lastModifiedBy>
  <cp:lastPrinted>2026-11-04T02:41:00Z</cp:lastPrinted>
  <dcterms:modified xsi:type="dcterms:W3CDTF">2026-11-04T03:27:14Z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A28E0AF6E01F4415A537B593D9206A2F_11</vt:lpwstr>
  </property>
  <property fmtid="{D5CDD505-2E9C-101B-9397-08002B2CF9AE}" pid="4" name="KSOTemplateDocerSaveRecord">
    <vt:lpwstr>eyJoZGlkIjoiMzFhNzg5MWYyNTQ0MGEyYWIyODg1MGM0OGRkYjdmMjMiLCJ1c2VySWQiOiI0MTQxMTE3MjYifQ==</vt:lpwstr>
  </property>
</Properties>
</file>